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7E22AF">
      <w:pPr>
        <w:jc w:val="center"/>
        <w:rPr>
          <w:rFonts w:ascii="宋体" w:hAnsi="宋体"/>
          <w:b/>
          <w:sz w:val="72"/>
          <w:szCs w:val="72"/>
        </w:rPr>
      </w:pPr>
    </w:p>
    <w:p w14:paraId="1C840BFE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北京邮电大学</w:t>
      </w:r>
    </w:p>
    <w:p w14:paraId="1DE1CAAF">
      <w:pPr>
        <w:jc w:val="center"/>
        <w:rPr>
          <w:rFonts w:hint="eastAsia" w:ascii="宋体" w:hAnsi="宋体"/>
          <w:b/>
          <w:sz w:val="72"/>
          <w:szCs w:val="72"/>
          <w:lang w:val="en-US" w:eastAsia="zh-CN"/>
        </w:rPr>
      </w:pPr>
      <w:r>
        <w:rPr>
          <w:rFonts w:hint="eastAsia" w:ascii="宋体" w:hAnsi="宋体"/>
          <w:b/>
          <w:sz w:val="72"/>
          <w:szCs w:val="72"/>
          <w:lang w:val="en-US" w:eastAsia="zh-CN"/>
        </w:rPr>
        <w:t>钢琴社，</w:t>
      </w:r>
    </w:p>
    <w:p w14:paraId="6D77D5BB">
      <w:pPr>
        <w:jc w:val="center"/>
        <w:rPr>
          <w:rFonts w:hint="eastAsia" w:ascii="宋体" w:hAnsi="宋体"/>
          <w:b/>
          <w:sz w:val="72"/>
          <w:szCs w:val="72"/>
          <w:lang w:eastAsia="zh-CN"/>
        </w:rPr>
      </w:pPr>
      <w:r>
        <w:rPr>
          <w:rFonts w:hint="eastAsia" w:ascii="宋体" w:hAnsi="宋体"/>
          <w:b/>
          <w:sz w:val="72"/>
          <w:szCs w:val="72"/>
          <w:lang w:val="en-US" w:eastAsia="zh-CN"/>
        </w:rPr>
        <w:t>MyWay电竞</w:t>
      </w:r>
      <w:r>
        <w:rPr>
          <w:rFonts w:hint="eastAsia" w:ascii="宋体" w:hAnsi="宋体"/>
          <w:b/>
          <w:sz w:val="72"/>
          <w:szCs w:val="72"/>
        </w:rPr>
        <w:t>社</w:t>
      </w:r>
      <w:r>
        <w:rPr>
          <w:rFonts w:hint="eastAsia" w:ascii="宋体" w:hAnsi="宋体"/>
          <w:b/>
          <w:sz w:val="72"/>
          <w:szCs w:val="72"/>
          <w:lang w:eastAsia="zh-CN"/>
        </w:rPr>
        <w:t>，</w:t>
      </w:r>
    </w:p>
    <w:p w14:paraId="03AB1F1C">
      <w:pPr>
        <w:jc w:val="center"/>
        <w:rPr>
          <w:rFonts w:hint="default" w:ascii="宋体" w:hAnsi="宋体" w:eastAsia="宋体"/>
          <w:b/>
          <w:sz w:val="72"/>
          <w:szCs w:val="72"/>
          <w:lang w:val="en-US" w:eastAsia="zh-CN"/>
        </w:rPr>
      </w:pPr>
      <w:r>
        <w:rPr>
          <w:rFonts w:hint="eastAsia" w:ascii="宋体" w:hAnsi="宋体"/>
          <w:b/>
          <w:sz w:val="72"/>
          <w:szCs w:val="72"/>
          <w:lang w:eastAsia="zh-CN"/>
        </w:rPr>
        <w:t>檐枫动漫社</w:t>
      </w:r>
    </w:p>
    <w:p w14:paraId="68A8F8F2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  <w:lang w:val="en-US" w:eastAsia="zh-CN"/>
        </w:rPr>
        <w:t>2025年百花节</w:t>
      </w:r>
    </w:p>
    <w:p w14:paraId="49305786">
      <w:pPr>
        <w:jc w:val="center"/>
        <w:rPr>
          <w:rFonts w:ascii="宋体" w:hAnsi="宋体"/>
          <w:b/>
          <w:sz w:val="72"/>
          <w:szCs w:val="72"/>
        </w:rPr>
      </w:pPr>
    </w:p>
    <w:p w14:paraId="76CBA446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策</w:t>
      </w:r>
    </w:p>
    <w:p w14:paraId="2E7F2203">
      <w:pPr>
        <w:jc w:val="center"/>
        <w:rPr>
          <w:rFonts w:ascii="宋体" w:hAnsi="宋体"/>
          <w:b/>
          <w:sz w:val="72"/>
          <w:szCs w:val="72"/>
        </w:rPr>
      </w:pPr>
    </w:p>
    <w:p w14:paraId="436809B5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划</w:t>
      </w:r>
    </w:p>
    <w:p w14:paraId="7465B748">
      <w:pPr>
        <w:jc w:val="center"/>
        <w:rPr>
          <w:rFonts w:ascii="宋体" w:hAnsi="宋体"/>
          <w:b/>
          <w:sz w:val="72"/>
          <w:szCs w:val="72"/>
        </w:rPr>
      </w:pPr>
    </w:p>
    <w:p w14:paraId="44D6841F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案</w:t>
      </w:r>
    </w:p>
    <w:p w14:paraId="489AFF04">
      <w:pPr>
        <w:tabs>
          <w:tab w:val="left" w:pos="3420"/>
          <w:tab w:val="left" w:pos="3600"/>
        </w:tabs>
        <w:wordWrap w:val="0"/>
        <w:ind w:right="560"/>
        <w:jc w:val="center"/>
        <w:rPr>
          <w:rFonts w:ascii="楷体_GB2312" w:hAnsi="宋体" w:eastAsia="楷体_GB2312"/>
          <w:b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 xml:space="preserve">    </w:t>
      </w:r>
    </w:p>
    <w:p w14:paraId="6B2737FE">
      <w:pPr>
        <w:tabs>
          <w:tab w:val="left" w:pos="3420"/>
          <w:tab w:val="left" w:pos="3600"/>
        </w:tabs>
        <w:wordWrap w:val="0"/>
        <w:ind w:right="560"/>
        <w:rPr>
          <w:rFonts w:ascii="楷体_GB2312" w:hAnsi="宋体" w:eastAsia="楷体_GB2312"/>
          <w:b/>
          <w:sz w:val="28"/>
          <w:szCs w:val="28"/>
        </w:rPr>
      </w:pPr>
    </w:p>
    <w:p w14:paraId="41AA3840">
      <w:pPr>
        <w:tabs>
          <w:tab w:val="left" w:pos="3420"/>
          <w:tab w:val="left" w:pos="3600"/>
        </w:tabs>
        <w:ind w:right="560"/>
        <w:rPr>
          <w:rFonts w:ascii="楷体_GB2312" w:hAnsi="宋体" w:eastAsia="楷体_GB2312"/>
          <w:b/>
          <w:sz w:val="28"/>
          <w:szCs w:val="28"/>
        </w:rPr>
      </w:pPr>
    </w:p>
    <w:p w14:paraId="5FEBFE45">
      <w:pPr>
        <w:tabs>
          <w:tab w:val="left" w:pos="3420"/>
          <w:tab w:val="left" w:pos="3600"/>
        </w:tabs>
        <w:ind w:right="560"/>
        <w:rPr>
          <w:rFonts w:ascii="楷体_GB2312" w:hAnsi="宋体" w:eastAsia="楷体_GB2312"/>
          <w:b/>
          <w:sz w:val="28"/>
          <w:szCs w:val="28"/>
        </w:rPr>
      </w:pPr>
    </w:p>
    <w:p w14:paraId="50EBF6D9">
      <w:pPr>
        <w:tabs>
          <w:tab w:val="left" w:pos="3420"/>
          <w:tab w:val="left" w:pos="3600"/>
        </w:tabs>
        <w:ind w:right="560"/>
        <w:jc w:val="right"/>
        <w:rPr>
          <w:rFonts w:hint="eastAsia" w:ascii="楷体_GB2312" w:hAnsi="宋体" w:eastAsia="楷体_GB2312"/>
          <w:b/>
          <w:sz w:val="28"/>
          <w:szCs w:val="28"/>
          <w:lang w:eastAsia="zh-CN"/>
        </w:rPr>
      </w:pPr>
      <w:r>
        <w:rPr>
          <w:rFonts w:hint="eastAsia" w:ascii="楷体_GB2312" w:hAnsi="宋体" w:eastAsia="楷体_GB2312"/>
          <w:b/>
          <w:sz w:val="28"/>
          <w:szCs w:val="28"/>
        </w:rPr>
        <w:t>主办部门：</w:t>
      </w:r>
      <w:r>
        <w:rPr>
          <w:rFonts w:hint="eastAsia" w:ascii="楷体_GB2312" w:hAnsi="宋体" w:eastAsia="楷体_GB2312"/>
          <w:b/>
          <w:sz w:val="28"/>
          <w:szCs w:val="28"/>
          <w:lang w:val="en-US" w:eastAsia="zh-CN"/>
        </w:rPr>
        <w:t>钢琴</w:t>
      </w:r>
      <w:r>
        <w:rPr>
          <w:rFonts w:hint="eastAsia" w:ascii="楷体_GB2312" w:hAnsi="宋体" w:eastAsia="楷体_GB2312"/>
          <w:sz w:val="28"/>
          <w:szCs w:val="28"/>
        </w:rPr>
        <w:t>社</w:t>
      </w:r>
      <w:r>
        <w:rPr>
          <w:rFonts w:hint="eastAsia" w:ascii="楷体_GB2312" w:hAnsi="宋体" w:eastAsia="楷体_GB2312"/>
          <w:sz w:val="28"/>
          <w:szCs w:val="28"/>
          <w:lang w:eastAsia="zh-CN"/>
        </w:rPr>
        <w:t>、MyWay电竞社，檐枫动漫社</w:t>
      </w:r>
    </w:p>
    <w:p w14:paraId="71877992">
      <w:pPr>
        <w:tabs>
          <w:tab w:val="left" w:pos="3420"/>
          <w:tab w:val="left" w:pos="3600"/>
        </w:tabs>
        <w:ind w:right="560"/>
        <w:jc w:val="right"/>
        <w:rPr>
          <w:rFonts w:ascii="楷体_GB2312" w:hAnsi="宋体" w:eastAsia="楷体_GB2312"/>
          <w:b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>活动时间：</w:t>
      </w:r>
      <w:r>
        <w:rPr>
          <w:rFonts w:hint="eastAsia" w:ascii="楷体_GB2312" w:hAnsi="宋体" w:eastAsia="楷体_GB2312"/>
          <w:b/>
          <w:sz w:val="28"/>
          <w:szCs w:val="28"/>
          <w:lang w:val="en-US" w:eastAsia="zh-CN"/>
        </w:rPr>
        <w:t>2025</w:t>
      </w:r>
      <w:r>
        <w:rPr>
          <w:rFonts w:hint="eastAsia" w:ascii="楷体_GB2312" w:hAnsi="宋体" w:eastAsia="楷体_GB2312"/>
          <w:sz w:val="28"/>
          <w:szCs w:val="28"/>
        </w:rPr>
        <w:t>年</w:t>
      </w:r>
      <w:r>
        <w:rPr>
          <w:rFonts w:hint="eastAsia" w:ascii="楷体_GB2312" w:hAnsi="宋体" w:eastAsia="楷体_GB2312"/>
          <w:sz w:val="28"/>
          <w:szCs w:val="28"/>
          <w:lang w:val="en-US" w:eastAsia="zh-CN"/>
        </w:rPr>
        <w:t>5</w:t>
      </w:r>
      <w:r>
        <w:rPr>
          <w:rFonts w:hint="eastAsia" w:ascii="楷体_GB2312" w:hAnsi="宋体" w:eastAsia="楷体_GB2312"/>
          <w:sz w:val="28"/>
          <w:szCs w:val="28"/>
        </w:rPr>
        <w:t>月</w:t>
      </w:r>
      <w:r>
        <w:rPr>
          <w:rFonts w:hint="eastAsia" w:ascii="楷体_GB2312" w:hAnsi="宋体" w:eastAsia="楷体_GB2312"/>
          <w:sz w:val="28"/>
          <w:szCs w:val="28"/>
          <w:lang w:val="en-US" w:eastAsia="zh-CN"/>
        </w:rPr>
        <w:t>17</w:t>
      </w:r>
      <w:r>
        <w:rPr>
          <w:rFonts w:hint="eastAsia" w:ascii="楷体_GB2312" w:hAnsi="宋体" w:eastAsia="楷体_GB2312"/>
          <w:sz w:val="28"/>
          <w:szCs w:val="28"/>
        </w:rPr>
        <w:t>日</w:t>
      </w:r>
    </w:p>
    <w:p w14:paraId="1268848D">
      <w:pPr>
        <w:tabs>
          <w:tab w:val="left" w:pos="3420"/>
          <w:tab w:val="left" w:pos="3600"/>
        </w:tabs>
        <w:ind w:right="560"/>
        <w:jc w:val="right"/>
        <w:rPr>
          <w:rFonts w:hint="default" w:ascii="楷体_GB2312" w:hAnsi="宋体" w:eastAsia="楷体_GB2312"/>
          <w:b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/>
          <w:b/>
          <w:sz w:val="28"/>
          <w:szCs w:val="28"/>
        </w:rPr>
        <w:t>活动地点：</w:t>
      </w:r>
      <w:r>
        <w:rPr>
          <w:rFonts w:hint="eastAsia" w:ascii="楷体_GB2312" w:hAnsi="宋体" w:eastAsia="楷体_GB2312"/>
          <w:sz w:val="28"/>
          <w:szCs w:val="28"/>
        </w:rPr>
        <w:t>北京邮电大学</w:t>
      </w:r>
      <w:r>
        <w:rPr>
          <w:rFonts w:hint="eastAsia" w:ascii="楷体_GB2312" w:hAnsi="宋体" w:eastAsia="楷体_GB2312"/>
          <w:sz w:val="28"/>
          <w:szCs w:val="28"/>
          <w:lang w:val="en-US" w:eastAsia="zh-CN"/>
        </w:rPr>
        <w:t>沙河</w:t>
      </w:r>
      <w:r>
        <w:rPr>
          <w:rFonts w:hint="eastAsia" w:ascii="楷体_GB2312" w:hAnsi="宋体" w:eastAsia="楷体_GB2312"/>
          <w:sz w:val="28"/>
          <w:szCs w:val="28"/>
        </w:rPr>
        <w:t>校区</w:t>
      </w:r>
      <w:r>
        <w:rPr>
          <w:rFonts w:hint="eastAsia" w:ascii="楷体_GB2312" w:hAnsi="宋体" w:eastAsia="楷体_GB2312"/>
          <w:sz w:val="28"/>
          <w:szCs w:val="28"/>
          <w:lang w:val="en-US" w:eastAsia="zh-CN"/>
        </w:rPr>
        <w:t>二维码广场</w:t>
      </w:r>
    </w:p>
    <w:p w14:paraId="064B1612">
      <w:pPr>
        <w:rPr>
          <w:rFonts w:ascii="仿宋" w:hAnsi="黑体" w:eastAsia="仿宋"/>
          <w:sz w:val="32"/>
        </w:rPr>
      </w:pPr>
    </w:p>
    <w:p w14:paraId="185CB3C9">
      <w:pPr>
        <w:numPr>
          <w:ilvl w:val="0"/>
          <w:numId w:val="1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活动内容</w:t>
      </w:r>
    </w:p>
    <w:p w14:paraId="13ED7179">
      <w:pPr>
        <w:pStyle w:val="6"/>
        <w:numPr>
          <w:ilvl w:val="0"/>
          <w:numId w:val="2"/>
        </w:numPr>
        <w:ind w:firstLineChars="0"/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 xml:space="preserve"> </w:t>
      </w:r>
      <w:r>
        <w:rPr>
          <w:rFonts w:ascii="仿宋" w:hAnsi="黑体" w:eastAsia="仿宋"/>
          <w:sz w:val="32"/>
        </w:rPr>
        <w:t xml:space="preserve"> </w:t>
      </w:r>
      <w:r>
        <w:rPr>
          <w:rFonts w:hint="eastAsia" w:ascii="仿宋" w:hAnsi="黑体" w:eastAsia="仿宋"/>
          <w:sz w:val="32"/>
        </w:rPr>
        <w:t>无畏契约solo赛：在My</w:t>
      </w:r>
      <w:r>
        <w:rPr>
          <w:rFonts w:ascii="仿宋" w:hAnsi="黑体" w:eastAsia="仿宋"/>
          <w:sz w:val="32"/>
        </w:rPr>
        <w:t xml:space="preserve"> </w:t>
      </w:r>
      <w:r>
        <w:rPr>
          <w:rFonts w:hint="eastAsia" w:ascii="仿宋" w:hAnsi="黑体" w:eastAsia="仿宋"/>
          <w:sz w:val="32"/>
        </w:rPr>
        <w:t>Way电竞社摊位架设笔记本电脑以及直播大屏，使用提前线上报名的方式让同学们在现场进行游戏《无畏契约》的solo比赛，获胜者将会获得精美礼品。</w:t>
      </w:r>
    </w:p>
    <w:p w14:paraId="3CBF069C">
      <w:pPr>
        <w:pStyle w:val="6"/>
        <w:numPr>
          <w:ilvl w:val="0"/>
          <w:numId w:val="2"/>
        </w:numPr>
        <w:ind w:firstLineChars="0"/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转发集赞抽奖:转发百花节推送至朋友圈或QQ 空间并满15赞后即可参与现场抽奖活动。即开即中现场兑奖需要注意兑奖队伍只持一路，先查验转发情况，出示二维码扫码后查看抽奖结果并发奖签领。</w:t>
      </w:r>
    </w:p>
    <w:p w14:paraId="58FAE8AA">
      <w:pPr>
        <w:pStyle w:val="6"/>
        <w:numPr>
          <w:ilvl w:val="0"/>
          <w:numId w:val="2"/>
        </w:numPr>
        <w:ind w:firstLineChars="0"/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在摊位上使用电脑设备进行格斗游戏《东方绯想天则》、音乐游戏《中二节奏》，《歌姬计划》等二次元电子游戏的游玩。《东方非想天则》为双人对战格斗游戏，使用键盘或游戏手柄在笔记本电脑上进行游玩，以击败对手为目标。《中二节奏》为音乐游戏（简称音游），使用游戏手柄在电脑上进行游玩，通过音乐节奏对应点击按键来获得分数，以准确点按与时机把握来获取更高的游戏分数为目标。在《东方非想天则》中获得两次及以上连胜且在音游《中二节奏》或《歌姬计划》中获得全连击可参与抽奖，二等奖为此次预算中购买的飘带。</w:t>
      </w:r>
    </w:p>
    <w:p w14:paraId="171FA389">
      <w:pPr>
        <w:pStyle w:val="6"/>
        <w:numPr>
          <w:ilvl w:val="0"/>
          <w:numId w:val="2"/>
        </w:numPr>
        <w:ind w:firstLineChars="0"/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  <w:lang w:val="en-US" w:eastAsia="zh-CN"/>
        </w:rPr>
        <w:t>听电钢琴演奏流行歌曲，猜出歌名可赢得奖品。参与完成游戏/动漫主题的音乐演奏可赢得奖品。</w:t>
      </w:r>
    </w:p>
    <w:p w14:paraId="1B8678B5">
      <w:pPr>
        <w:rPr>
          <w:rFonts w:ascii="仿宋" w:hAnsi="黑体" w:eastAsia="仿宋"/>
          <w:sz w:val="32"/>
        </w:rPr>
      </w:pPr>
    </w:p>
    <w:p w14:paraId="158C0C0E">
      <w:pPr>
        <w:rPr>
          <w:rFonts w:ascii="仿宋" w:hAnsi="黑体" w:eastAsia="仿宋"/>
          <w:sz w:val="32"/>
        </w:rPr>
      </w:pPr>
    </w:p>
    <w:p w14:paraId="33CCCF5F">
      <w:pPr>
        <w:numPr>
          <w:ilvl w:val="0"/>
          <w:numId w:val="3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活动分工</w:t>
      </w:r>
    </w:p>
    <w:p w14:paraId="38CC52B8">
      <w:pPr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（一）活动准备阶段：</w:t>
      </w:r>
    </w:p>
    <w:p w14:paraId="4A2889C7">
      <w:pPr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主要负责人负责人员调配与策划案编写；一位副社负责奖品购置与活动经费预算申请表填写；另一位副社负责公众号推送与场地宣传；</w:t>
      </w:r>
    </w:p>
    <w:p w14:paraId="773196FD">
      <w:pPr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（二）活动进行阶段：</w:t>
      </w:r>
    </w:p>
    <w:p w14:paraId="7B4067B7">
      <w:pPr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主要负责人负责人员调动与现场指挥；一位副社负责游戏环节与奖品发放；另一位副社负责场地宣传；其余中心组成员负责秩序维持。</w:t>
      </w:r>
    </w:p>
    <w:p w14:paraId="1EFD6F99">
      <w:pPr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（三）活动结束后：</w:t>
      </w:r>
    </w:p>
    <w:p w14:paraId="376B0F79">
      <w:pPr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主要负责人负责监督场地的干净整洁并做活动总结，为社员大会做准备；一位副社负责统计奖品发放数量，与剩余奖品整理工作；其余中心组成员负责场地的打扫。</w:t>
      </w:r>
    </w:p>
    <w:p w14:paraId="52A83B1A">
      <w:pPr>
        <w:rPr>
          <w:rFonts w:ascii="仿宋" w:hAnsi="黑体" w:eastAsia="仿宋"/>
          <w:sz w:val="32"/>
        </w:rPr>
      </w:pPr>
    </w:p>
    <w:p w14:paraId="7BD15F61">
      <w:pPr>
        <w:numPr>
          <w:ilvl w:val="0"/>
          <w:numId w:val="4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宣传概述（如有宣传需求须填写）</w:t>
      </w:r>
    </w:p>
    <w:p w14:paraId="694582B0">
      <w:pPr>
        <w:rPr>
          <w:rFonts w:hint="default" w:ascii="仿宋" w:hAnsi="黑体" w:eastAsia="仿宋"/>
          <w:sz w:val="32"/>
          <w:lang w:val="en-US" w:eastAsia="zh-CN"/>
        </w:rPr>
      </w:pPr>
      <w:r>
        <w:rPr>
          <w:rFonts w:hint="eastAsia" w:ascii="仿宋" w:hAnsi="黑体" w:eastAsia="仿宋"/>
          <w:sz w:val="32"/>
        </w:rPr>
        <w:t>线上宣传：使用社团公众号以及社团QQ群提前通知社员。</w:t>
      </w:r>
    </w:p>
    <w:p w14:paraId="1A2A4630">
      <w:pPr>
        <w:numPr>
          <w:ilvl w:val="0"/>
          <w:numId w:val="0"/>
        </w:numPr>
        <w:rPr>
          <w:rFonts w:ascii="黑体" w:hAnsi="黑体" w:eastAsia="黑体"/>
          <w:sz w:val="32"/>
        </w:rPr>
      </w:pPr>
    </w:p>
    <w:p w14:paraId="165EC7DA">
      <w:pPr>
        <w:widowControl/>
        <w:jc w:val="left"/>
        <w:rPr>
          <w:rFonts w:ascii="仿宋" w:hAnsi="黑体" w:eastAsia="仿宋"/>
          <w:sz w:val="32"/>
          <w:lang w:bidi="ar"/>
        </w:rPr>
      </w:pPr>
    </w:p>
    <w:p w14:paraId="04E67D6B">
      <w:pPr>
        <w:numPr>
          <w:ilvl w:val="0"/>
          <w:numId w:val="4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活动经费</w:t>
      </w:r>
    </w:p>
    <w:p w14:paraId="37D84B32">
      <w:pPr>
        <w:widowControl/>
        <w:jc w:val="left"/>
        <w:rPr>
          <w:rFonts w:hint="eastAsia" w:ascii="仿宋" w:hAnsi="仿宋" w:eastAsia="仿宋" w:cs="仿宋"/>
          <w:kern w:val="0"/>
          <w:sz w:val="32"/>
          <w:szCs w:val="32"/>
          <w:lang w:eastAsia="zh-CN" w:bidi="ar"/>
        </w:rPr>
      </w:pPr>
      <w:r>
        <w:rPr>
          <w:rFonts w:hint="eastAsia" w:ascii="仿宋" w:hAnsi="仿宋" w:eastAsia="仿宋" w:cs="仿宋"/>
          <w:kern w:val="0"/>
          <w:sz w:val="32"/>
          <w:szCs w:val="32"/>
          <w:lang w:bidi="ar"/>
        </w:rPr>
        <w:t>详见活动经费预算申请表</w:t>
      </w:r>
      <w:r>
        <w:rPr>
          <w:rFonts w:hint="eastAsia" w:ascii="仿宋" w:hAnsi="仿宋" w:eastAsia="仿宋" w:cs="仿宋"/>
          <w:kern w:val="0"/>
          <w:sz w:val="32"/>
          <w:szCs w:val="32"/>
          <w:lang w:eastAsia="zh-CN" w:bidi="ar"/>
        </w:rPr>
        <w:t>。</w:t>
      </w:r>
    </w:p>
    <w:p w14:paraId="4D81E828">
      <w:pPr>
        <w:widowControl/>
        <w:jc w:val="left"/>
        <w:rPr>
          <w:rFonts w:hint="eastAsia" w:ascii="仿宋" w:hAnsi="仿宋" w:eastAsia="仿宋" w:cs="仿宋"/>
          <w:kern w:val="0"/>
          <w:sz w:val="32"/>
          <w:szCs w:val="32"/>
          <w:lang w:eastAsia="zh-CN" w:bidi="ar"/>
        </w:rPr>
      </w:pPr>
    </w:p>
    <w:p w14:paraId="06897EAF">
      <w:pPr>
        <w:numPr>
          <w:ilvl w:val="0"/>
          <w:numId w:val="4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活动注意事项</w:t>
      </w:r>
    </w:p>
    <w:p w14:paraId="1914B2D0">
      <w:pPr>
        <w:rPr>
          <w:rFonts w:hint="eastAsia" w:ascii="仿宋" w:hAnsi="黑体" w:eastAsia="仿宋"/>
          <w:sz w:val="32"/>
          <w:lang w:eastAsia="zh-CN"/>
        </w:rPr>
      </w:pPr>
      <w:r>
        <w:rPr>
          <w:rFonts w:hint="eastAsia" w:ascii="仿宋" w:hAnsi="黑体" w:eastAsia="仿宋"/>
          <w:sz w:val="32"/>
        </w:rPr>
        <w:t>注意场地秩序，不要过于拥挤，保持场地整洁</w:t>
      </w:r>
      <w:r>
        <w:rPr>
          <w:rFonts w:hint="eastAsia" w:ascii="仿宋" w:hAnsi="黑体" w:eastAsia="仿宋"/>
          <w:sz w:val="32"/>
          <w:lang w:eastAsia="zh-CN"/>
        </w:rPr>
        <w:t>。</w:t>
      </w:r>
    </w:p>
    <w:p w14:paraId="332C0917">
      <w:pPr>
        <w:rPr>
          <w:rFonts w:ascii="楷体_GB2312" w:hAnsi="宋体" w:eastAsia="楷体_GB2312"/>
          <w:sz w:val="28"/>
          <w:szCs w:val="28"/>
        </w:rPr>
      </w:pPr>
    </w:p>
    <w:p w14:paraId="2DFF0F91">
      <w:pPr>
        <w:numPr>
          <w:ilvl w:val="0"/>
          <w:numId w:val="5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活动应急预案</w:t>
      </w:r>
    </w:p>
    <w:p w14:paraId="0CE4CEAF">
      <w:pPr>
        <w:rPr>
          <w:rFonts w:hint="eastAsia" w:ascii="仿宋" w:hAnsi="黑体" w:eastAsia="仿宋"/>
          <w:sz w:val="32"/>
        </w:rPr>
      </w:pPr>
      <w:r>
        <w:rPr>
          <w:rFonts w:hint="eastAsia" w:ascii="仿宋" w:hAnsi="仿宋" w:eastAsia="仿宋" w:cs="仿宋"/>
          <w:sz w:val="32"/>
          <w:szCs w:val="32"/>
        </w:rPr>
        <w:t>1、</w:t>
      </w:r>
      <w:r>
        <w:rPr>
          <w:rFonts w:hint="eastAsia" w:ascii="仿宋" w:hAnsi="黑体" w:eastAsia="仿宋"/>
          <w:sz w:val="32"/>
        </w:rPr>
        <w:t>遇事要冷静，措施要果断。</w:t>
      </w:r>
    </w:p>
    <w:p w14:paraId="40D9DA81">
      <w:pPr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2、谨防现场人员秩序混乱，社长组负责维护秩序</w:t>
      </w:r>
    </w:p>
    <w:p w14:paraId="206510DE">
      <w:pPr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3、遇到恶劣天气，快速进行有通知，更改活动时间。</w:t>
      </w:r>
    </w:p>
    <w:p w14:paraId="5BC61E2F">
      <w:pPr>
        <w:rPr>
          <w:rFonts w:ascii="黑体" w:hAnsi="黑体" w:eastAsia="黑体"/>
          <w:sz w:val="32"/>
        </w:rPr>
      </w:pPr>
    </w:p>
    <w:p w14:paraId="7D5F88F1">
      <w:pPr>
        <w:numPr>
          <w:ilvl w:val="0"/>
          <w:numId w:val="5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疫情防控方案</w:t>
      </w:r>
    </w:p>
    <w:p w14:paraId="545ED7A3">
      <w:pPr>
        <w:rPr>
          <w:rFonts w:ascii="楷体_GB2312" w:hAnsi="宋体" w:eastAsia="楷体_GB2312"/>
          <w:sz w:val="28"/>
          <w:szCs w:val="28"/>
        </w:rPr>
      </w:pPr>
    </w:p>
    <w:p w14:paraId="64DCC4B7">
      <w:pPr>
        <w:wordWrap w:val="0"/>
        <w:jc w:val="right"/>
        <w:rPr>
          <w:rFonts w:hint="default" w:ascii="仿宋" w:hAnsi="黑体" w:eastAsia="仿宋"/>
          <w:sz w:val="32"/>
          <w:lang w:val="en-US" w:eastAsia="zh-CN"/>
        </w:rPr>
      </w:pPr>
      <w:bookmarkStart w:id="0" w:name="_GoBack"/>
      <w:r>
        <w:rPr>
          <w:rFonts w:hint="eastAsia" w:ascii="仿宋" w:hAnsi="黑体" w:eastAsia="仿宋"/>
          <w:sz w:val="32"/>
          <w:lang w:val="en-US" w:eastAsia="zh-CN"/>
        </w:rPr>
        <w:t>钢琴社  Myway电竞社 檐枫动漫社</w:t>
      </w:r>
    </w:p>
    <w:bookmarkEnd w:id="0"/>
    <w:p w14:paraId="1AC7D7F9">
      <w:pPr>
        <w:jc w:val="righ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 xml:space="preserve">                               </w:t>
      </w:r>
      <w:r>
        <w:rPr>
          <w:rFonts w:hint="eastAsia" w:ascii="仿宋" w:hAnsi="黑体" w:eastAsia="仿宋"/>
          <w:sz w:val="32"/>
          <w:lang w:val="en-US" w:eastAsia="zh-CN"/>
        </w:rPr>
        <w:t>2025</w:t>
      </w:r>
      <w:r>
        <w:rPr>
          <w:rFonts w:hint="eastAsia" w:ascii="仿宋" w:hAnsi="黑体" w:eastAsia="仿宋"/>
          <w:sz w:val="32"/>
        </w:rPr>
        <w:t>年</w:t>
      </w:r>
      <w:r>
        <w:rPr>
          <w:rFonts w:hint="eastAsia" w:ascii="仿宋" w:hAnsi="黑体" w:eastAsia="仿宋"/>
          <w:sz w:val="32"/>
          <w:lang w:val="en-US" w:eastAsia="zh-CN"/>
        </w:rPr>
        <w:t>5</w:t>
      </w:r>
      <w:r>
        <w:rPr>
          <w:rFonts w:hint="eastAsia" w:ascii="仿宋" w:hAnsi="黑体" w:eastAsia="仿宋"/>
          <w:sz w:val="32"/>
        </w:rPr>
        <w:t>月</w:t>
      </w:r>
      <w:r>
        <w:rPr>
          <w:rFonts w:hint="eastAsia" w:ascii="仿宋" w:hAnsi="黑体" w:eastAsia="仿宋"/>
          <w:sz w:val="32"/>
          <w:lang w:val="en-US" w:eastAsia="zh-CN"/>
        </w:rPr>
        <w:t>7</w:t>
      </w:r>
      <w:r>
        <w:rPr>
          <w:rFonts w:hint="eastAsia" w:ascii="仿宋" w:hAnsi="黑体" w:eastAsia="仿宋"/>
          <w:sz w:val="32"/>
        </w:rPr>
        <w:t>日</w:t>
      </w:r>
    </w:p>
    <w:p w14:paraId="1AE0EFA5">
      <w:pPr>
        <w:wordWrap w:val="0"/>
        <w:jc w:val="righ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 xml:space="preserve">负责人签字：  </w:t>
      </w:r>
      <w:r>
        <w:rPr>
          <w:rFonts w:hint="eastAsia" w:ascii="宋体" w:hAnsi="宋体" w:eastAsia="宋体"/>
          <w:szCs w:val="24"/>
          <w:lang w:val="en-US" w:eastAsia="zh-CN"/>
        </w:rPr>
        <w:drawing>
          <wp:inline distT="0" distB="0" distL="114300" distR="114300">
            <wp:extent cx="688340" cy="393065"/>
            <wp:effectExtent l="0" t="0" r="10160" b="635"/>
            <wp:docPr id="1" name="图片 1" descr="16214fc8ef072e6a95e80b84bc4a0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214fc8ef072e6a95e80b84bc4a0a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黑体" w:eastAsia="仿宋"/>
          <w:sz w:val="32"/>
        </w:rPr>
        <w:t xml:space="preserve"> </w:t>
      </w:r>
      <w:r>
        <w:rPr>
          <w:rFonts w:hint="eastAsia" w:ascii="仿宋" w:hAnsi="黑体" w:eastAsia="仿宋"/>
          <w:sz w:val="32"/>
        </w:rPr>
        <w:drawing>
          <wp:inline distT="0" distB="0" distL="114300" distR="114300">
            <wp:extent cx="676275" cy="389890"/>
            <wp:effectExtent l="0" t="0" r="9525" b="3810"/>
            <wp:docPr id="3" name="图片 3" descr="74644546241e15b2b272cf73bbdb2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4644546241e15b2b272cf73bbdb2a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黑体" w:eastAsia="仿宋"/>
          <w:sz w:val="32"/>
        </w:rPr>
        <w:t xml:space="preserve">    </w:t>
      </w:r>
      <w:r>
        <w:rPr>
          <w:rFonts w:hint="eastAsia" w:ascii="仿宋" w:hAnsi="黑体" w:eastAsia="仿宋"/>
          <w:sz w:val="32"/>
        </w:rPr>
        <w:drawing>
          <wp:inline distT="0" distB="0" distL="0" distR="0">
            <wp:extent cx="818515" cy="406400"/>
            <wp:effectExtent l="0" t="0" r="6985" b="0"/>
            <wp:docPr id="1739277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77515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37" t="36932" r="27793" b="41027"/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66D2">
      <w:pPr>
        <w:wordWrap w:val="0"/>
        <w:jc w:val="righ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 xml:space="preserve">指导教师签字：    </w:t>
      </w:r>
      <w:r>
        <w:drawing>
          <wp:inline distT="0" distB="0" distL="114300" distR="114300">
            <wp:extent cx="717550" cy="450215"/>
            <wp:effectExtent l="0" t="0" r="6350" b="698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黑体" w:eastAsia="仿宋"/>
          <w:sz w:val="32"/>
        </w:rPr>
        <w:t xml:space="preserve"> </w:t>
      </w:r>
      <w:r>
        <w:rPr>
          <w:rFonts w:hint="eastAsia" w:ascii="仿宋" w:hAnsi="黑体" w:eastAsia="仿宋"/>
          <w:sz w:val="32"/>
        </w:rPr>
        <w:drawing>
          <wp:inline distT="0" distB="0" distL="114300" distR="114300">
            <wp:extent cx="509905" cy="940435"/>
            <wp:effectExtent l="0" t="0" r="12065" b="10795"/>
            <wp:docPr id="4" name="图片 4" descr="644362148fca392126569a547c6b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44362148fca392126569a547c6b9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990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黑体" w:eastAsia="仿宋"/>
          <w:sz w:val="32"/>
        </w:rPr>
        <w:t xml:space="preserve">  </w:t>
      </w:r>
      <w:r>
        <w:rPr>
          <w:rFonts w:hint="eastAsia" w:ascii="仿宋" w:hAnsi="黑体" w:eastAsia="仿宋"/>
          <w:sz w:val="32"/>
        </w:rPr>
        <w:drawing>
          <wp:inline distT="0" distB="0" distL="114300" distR="114300">
            <wp:extent cx="835025" cy="367665"/>
            <wp:effectExtent l="0" t="0" r="3175" b="635"/>
            <wp:docPr id="2" name="图片 2" descr="指导教师签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指导教师签名"/>
                    <pic:cNvPicPr>
                      <a:picLocks noChangeAspect="1"/>
                    </pic:cNvPicPr>
                  </pic:nvPicPr>
                  <pic:blipFill>
                    <a:blip r:embed="rId9"/>
                    <a:srcRect l="29359" t="30175" r="10960" b="34285"/>
                    <a:stretch>
                      <a:fillRect/>
                    </a:stretch>
                  </pic:blipFill>
                  <pic:spPr>
                    <a:xfrm>
                      <a:off x="0" y="0"/>
                      <a:ext cx="83502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4087">
      <w:pPr>
        <w:rPr>
          <w:rFonts w:ascii="仿宋" w:hAnsi="黑体" w:eastAsia="仿宋"/>
          <w:sz w:val="32"/>
        </w:rPr>
      </w:pPr>
    </w:p>
    <w:p w14:paraId="27ECD343">
      <w:pPr>
        <w:rPr>
          <w:rFonts w:ascii="仿宋" w:hAnsi="黑体" w:eastAsia="仿宋"/>
          <w:sz w:val="32"/>
        </w:rPr>
      </w:pPr>
    </w:p>
    <w:p w14:paraId="527790D2">
      <w:pPr>
        <w:rPr>
          <w:rFonts w:ascii="仿宋" w:hAnsi="黑体" w:eastAsia="仿宋"/>
          <w:sz w:val="32"/>
        </w:rPr>
      </w:pPr>
    </w:p>
    <w:p w14:paraId="30994121">
      <w:pPr>
        <w:rPr>
          <w:rFonts w:ascii="仿宋" w:hAnsi="黑体" w:eastAsia="仿宋"/>
          <w:sz w:val="32"/>
        </w:rPr>
      </w:pPr>
    </w:p>
    <w:p w14:paraId="03EDDD5B">
      <w:pPr>
        <w:rPr>
          <w:rFonts w:ascii="仿宋" w:hAnsi="黑体" w:eastAsia="仿宋"/>
          <w:sz w:val="32"/>
        </w:rPr>
      </w:pPr>
    </w:p>
    <w:p w14:paraId="07B1F31D">
      <w:pPr>
        <w:rPr>
          <w:rFonts w:ascii="仿宋" w:hAnsi="黑体" w:eastAsia="仿宋"/>
          <w:sz w:val="32"/>
        </w:rPr>
      </w:pPr>
    </w:p>
    <w:p w14:paraId="0A915256">
      <w:pPr>
        <w:rPr>
          <w:rFonts w:ascii="仿宋" w:hAnsi="黑体" w:eastAsia="仿宋"/>
          <w:sz w:val="32"/>
        </w:rPr>
      </w:pPr>
    </w:p>
    <w:p w14:paraId="0BDAB613">
      <w:pPr>
        <w:rPr>
          <w:rFonts w:ascii="仿宋" w:hAnsi="黑体" w:eastAsia="仿宋"/>
          <w:sz w:val="32"/>
        </w:rPr>
      </w:pPr>
    </w:p>
    <w:p w14:paraId="58DA4E3F">
      <w:pPr>
        <w:rPr>
          <w:rFonts w:ascii="仿宋" w:hAnsi="黑体" w:eastAsia="仿宋"/>
          <w:sz w:val="32"/>
        </w:rPr>
      </w:pPr>
    </w:p>
    <w:p w14:paraId="6162D7D9">
      <w:pPr>
        <w:rPr>
          <w:rFonts w:ascii="仿宋" w:hAnsi="黑体" w:eastAsia="仿宋"/>
          <w:sz w:val="32"/>
        </w:rPr>
      </w:pPr>
    </w:p>
    <w:p w14:paraId="27956279">
      <w:pPr>
        <w:rPr>
          <w:rFonts w:ascii="仿宋" w:hAnsi="黑体" w:eastAsia="仿宋"/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A31FF2"/>
    <w:multiLevelType w:val="singleLevel"/>
    <w:tmpl w:val="B9A31FF2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C8390A23"/>
    <w:multiLevelType w:val="singleLevel"/>
    <w:tmpl w:val="C8390A23"/>
    <w:lvl w:ilvl="0" w:tentative="0">
      <w:start w:val="10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1215007"/>
    <w:multiLevelType w:val="singleLevel"/>
    <w:tmpl w:val="61215007"/>
    <w:lvl w:ilvl="0" w:tentative="0">
      <w:start w:val="7"/>
      <w:numFmt w:val="chineseCounting"/>
      <w:suff w:val="space"/>
      <w:lvlText w:val="%1、"/>
      <w:lvlJc w:val="left"/>
      <w:rPr>
        <w:rFonts w:hint="eastAsia"/>
      </w:rPr>
    </w:lvl>
  </w:abstractNum>
  <w:abstractNum w:abstractNumId="3">
    <w:nsid w:val="73AD1A90"/>
    <w:multiLevelType w:val="singleLevel"/>
    <w:tmpl w:val="73AD1A90"/>
    <w:lvl w:ilvl="0" w:tentative="0">
      <w:start w:val="6"/>
      <w:numFmt w:val="chineseCounting"/>
      <w:suff w:val="space"/>
      <w:lvlText w:val="%1、"/>
      <w:lvlJc w:val="left"/>
      <w:rPr>
        <w:rFonts w:hint="eastAsia"/>
      </w:rPr>
    </w:lvl>
  </w:abstractNum>
  <w:abstractNum w:abstractNumId="4">
    <w:nsid w:val="7F77486A"/>
    <w:multiLevelType w:val="multilevel"/>
    <w:tmpl w:val="7F7748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B9"/>
    <w:rsid w:val="00061914"/>
    <w:rsid w:val="0075759A"/>
    <w:rsid w:val="008322B9"/>
    <w:rsid w:val="00AF2523"/>
    <w:rsid w:val="00DF016F"/>
    <w:rsid w:val="06036076"/>
    <w:rsid w:val="089D0110"/>
    <w:rsid w:val="122F2ED6"/>
    <w:rsid w:val="138123B9"/>
    <w:rsid w:val="28D71B2F"/>
    <w:rsid w:val="28FC15DB"/>
    <w:rsid w:val="2A37629C"/>
    <w:rsid w:val="2D3477D9"/>
    <w:rsid w:val="32FD34E2"/>
    <w:rsid w:val="35943715"/>
    <w:rsid w:val="37C524EA"/>
    <w:rsid w:val="439B7B82"/>
    <w:rsid w:val="73D24D0F"/>
    <w:rsid w:val="7C166FC1"/>
    <w:rsid w:val="7E7972DC"/>
    <w:rsid w:val="7FF7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字符"/>
    <w:basedOn w:val="4"/>
    <w:link w:val="2"/>
    <w:semiHidden/>
    <w:uiPriority w:val="99"/>
    <w:rPr>
      <w:kern w:val="2"/>
      <w:sz w:val="18"/>
      <w:szCs w:val="18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924</Words>
  <Characters>954</Characters>
  <Lines>3</Lines>
  <Paragraphs>1</Paragraphs>
  <TotalTime>0</TotalTime>
  <ScaleCrop>false</ScaleCrop>
  <LinksUpToDate>false</LinksUpToDate>
  <CharactersWithSpaces>1010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2021-10-22T18:37:00Z</dcterms:created>
  <dc:creator>刘靖轩</dc:creator>
  <cp:lastModifiedBy>胖鱼</cp:lastModifiedBy>
  <dcterms:modified xsi:type="dcterms:W3CDTF">2025-05-11T14:19:36Z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5BF06589AEDA46209469BA8EA5598B69_13</vt:lpwstr>
  </property>
  <property fmtid="{D5CDD505-2E9C-101B-9397-08002B2CF9AE}" pid="4" name="KSOTemplateDocerSaveRecord">
    <vt:lpwstr>eyJoZGlkIjoiNGU5YTk2NWU3OTRhNTU0YjZlNWE0ODExMjY4YzM0MTgiLCJ1c2VySWQiOiI4NDAzMDE3NzYifQ==</vt:lpwstr>
  </property>
</Properties>
</file>