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Terms and definitions from Course 1, Module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Asset: An item perceived as having value to an organization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Availability: The idea that data is accessible to those who are authorized to access 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Compliance: The process of adhering to internal standards and external regulations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Confidentiality: The idea that only authorized users can access specific assets or 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Confidentiality, integrity, availability (CIA) triad: A model that helps inform how organizations consider risk when setting up systems and security policies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Hacktivist: A person who uses hacking to achieve a political goal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Health Insurance Portability and Accountability Act (HIPAA): A U.S. federal law established to protect patients' health information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Integrity: The idea that the data is correct, authentic, and reliable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National Institute of Standards and Technology (NIST) Cyber Security Framework (CSF): A voluntary framework that consists of standards, guidelines, and best practices to manage cybersecurity risk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Privacy protection: The act of safeguarding personal information from unauthorized use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Protected health information (PHI): Information that relates to the past, present, or future physical or mental health or condition of an individual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Security architecture: A type of security design composed of multiple components, such as tools and processes, that are used to protect an organization from risks and external threats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Security controls: Safeguards designed to reduce specific security risks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Security ethics: Guidelines for making appropriate decisions as a security professional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Security frameworks: Guidelines used for building plans to help mitigate risk and threats to data and privacy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Security governance: Practices that help support, define, and direct security efforts of an organization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Sensitive personally identifiable information (SPII): A specific type of PII that falls under stricter handling guidelines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