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3C" w:rsidRDefault="000E3BEA">
      <w:pPr>
        <w:spacing w:after="0" w:line="259" w:lineRule="auto"/>
        <w:ind w:left="0" w:right="338" w:firstLine="0"/>
        <w:jc w:val="center"/>
      </w:pPr>
      <w:r>
        <w:rPr>
          <w:sz w:val="48"/>
        </w:rPr>
        <w:t>COSC 4316</w:t>
      </w:r>
      <w:r>
        <w:t xml:space="preserve"> </w:t>
      </w:r>
    </w:p>
    <w:p w:rsidR="00D8063C" w:rsidRDefault="000E3BEA">
      <w:pPr>
        <w:spacing w:after="174" w:line="259" w:lineRule="auto"/>
        <w:ind w:left="10" w:right="334"/>
        <w:jc w:val="center"/>
      </w:pPr>
      <w:r>
        <w:rPr>
          <w:sz w:val="27"/>
        </w:rPr>
        <w:t xml:space="preserve">Take Home Exam </w:t>
      </w:r>
    </w:p>
    <w:p w:rsidR="00D8063C" w:rsidRDefault="000E3BEA">
      <w:pPr>
        <w:spacing w:after="0" w:line="259" w:lineRule="auto"/>
        <w:ind w:left="10" w:right="333"/>
        <w:jc w:val="center"/>
      </w:pPr>
      <w:r>
        <w:rPr>
          <w:sz w:val="27"/>
        </w:rPr>
        <w:t>Due Tuesday</w:t>
      </w:r>
      <w:r>
        <w:rPr>
          <w:sz w:val="27"/>
        </w:rPr>
        <w:t>, April 17</w:t>
      </w:r>
      <w:r>
        <w:rPr>
          <w:sz w:val="27"/>
        </w:rPr>
        <w:t>, 11:59</w:t>
      </w:r>
      <w:r>
        <w:rPr>
          <w:sz w:val="27"/>
        </w:rPr>
        <w:t xml:space="preserve"> p.m. </w:t>
      </w:r>
    </w:p>
    <w:p w:rsidR="00D8063C" w:rsidRDefault="000E3BEA">
      <w:pPr>
        <w:spacing w:after="77" w:line="259" w:lineRule="auto"/>
        <w:ind w:left="0" w:right="278" w:firstLine="0"/>
        <w:jc w:val="center"/>
      </w:pPr>
      <w:r>
        <w:t xml:space="preserve"> </w:t>
      </w:r>
    </w:p>
    <w:p w:rsidR="00D8063C" w:rsidRDefault="000E3BEA">
      <w:pPr>
        <w:ind w:left="7" w:right="312"/>
      </w:pPr>
      <w:r>
        <w:t xml:space="preserve">This exam is a take-home examination. The exam is open book, but </w:t>
      </w:r>
      <w:r>
        <w:rPr>
          <w:b/>
        </w:rPr>
        <w:t>no collaboration is allowed.</w:t>
      </w:r>
      <w:r>
        <w:t xml:space="preserve"> </w:t>
      </w:r>
      <w:r>
        <w:t xml:space="preserve">Specifically, you may not communicate with any person about any aspect of the exam until after the hand-in deadline, even if you have already handed in your exam. 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</w:p>
    <w:p w:rsidR="00D8063C" w:rsidRDefault="000E3BEA">
      <w:pPr>
        <w:ind w:left="7" w:right="312"/>
      </w:pPr>
      <w:r>
        <w:t>Attach this cover sheet and the problem sheet to your exam solutions as you turn it in yo</w:t>
      </w:r>
      <w:r>
        <w:t xml:space="preserve">ur work.  </w:t>
      </w:r>
    </w:p>
    <w:p w:rsidR="00D8063C" w:rsidRDefault="000E3BEA">
      <w:pPr>
        <w:spacing w:after="11" w:line="259" w:lineRule="auto"/>
        <w:ind w:left="12" w:firstLine="0"/>
      </w:pPr>
      <w:r>
        <w:t xml:space="preserve">   </w:t>
      </w:r>
    </w:p>
    <w:p w:rsidR="00D8063C" w:rsidRDefault="000E3BEA">
      <w:pPr>
        <w:spacing w:after="0" w:line="259" w:lineRule="auto"/>
        <w:ind w:left="0" w:right="335" w:firstLine="0"/>
        <w:jc w:val="center"/>
      </w:pPr>
      <w:r>
        <w:t>Name</w:t>
      </w:r>
      <w:r>
        <w:rPr>
          <w:sz w:val="20"/>
        </w:rPr>
        <w:t xml:space="preserve"> _______________________________________</w:t>
      </w:r>
      <w:r>
        <w:t xml:space="preserve"> </w:t>
      </w:r>
    </w:p>
    <w:p w:rsidR="00D8063C" w:rsidRDefault="000E3BEA">
      <w:pPr>
        <w:spacing w:after="0" w:line="259" w:lineRule="auto"/>
        <w:ind w:left="382" w:firstLine="0"/>
        <w:jc w:val="center"/>
      </w:pPr>
      <w:r>
        <w:rPr>
          <w:sz w:val="15"/>
        </w:rPr>
        <w:t>(</w:t>
      </w:r>
      <w:proofErr w:type="gramStart"/>
      <w:r>
        <w:rPr>
          <w:sz w:val="15"/>
        </w:rPr>
        <w:t>printed</w:t>
      </w:r>
      <w:proofErr w:type="gramEnd"/>
      <w:r>
        <w:rPr>
          <w:sz w:val="15"/>
        </w:rPr>
        <w:t>)</w:t>
      </w:r>
      <w:r>
        <w:t xml:space="preserve">  </w:t>
      </w:r>
    </w:p>
    <w:p w:rsidR="00D8063C" w:rsidRDefault="000E3BEA">
      <w:pPr>
        <w:spacing w:after="0" w:line="259" w:lineRule="auto"/>
        <w:ind w:left="0" w:right="216" w:firstLine="0"/>
        <w:jc w:val="center"/>
      </w:pPr>
      <w:r>
        <w:t xml:space="preserve">   </w:t>
      </w:r>
    </w:p>
    <w:p w:rsidR="00D8063C" w:rsidRDefault="000E3BEA">
      <w:pPr>
        <w:spacing w:after="0" w:line="259" w:lineRule="auto"/>
        <w:ind w:left="0" w:right="216" w:firstLine="0"/>
        <w:jc w:val="center"/>
      </w:pPr>
      <w:r>
        <w:t xml:space="preserve">   </w:t>
      </w:r>
    </w:p>
    <w:p w:rsidR="00D8063C" w:rsidRDefault="000E3BEA">
      <w:pPr>
        <w:spacing w:after="0" w:line="259" w:lineRule="auto"/>
        <w:ind w:left="0" w:right="278" w:firstLine="0"/>
        <w:jc w:val="center"/>
      </w:pPr>
      <w:r>
        <w:t xml:space="preserve"> </w:t>
      </w:r>
    </w:p>
    <w:p w:rsidR="00D8063C" w:rsidRDefault="000E3BEA">
      <w:pPr>
        <w:ind w:left="7" w:right="312"/>
      </w:pPr>
      <w:r>
        <w:t xml:space="preserve">I certify that I have not collaborated with anyone else in the solution of these problems.  I understand that the penalty for any academic dishonesty will be severe, up to, and including failure for this course. 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</w:p>
    <w:p w:rsidR="00D8063C" w:rsidRDefault="000E3BEA">
      <w:pPr>
        <w:spacing w:after="9" w:line="259" w:lineRule="auto"/>
        <w:ind w:left="12" w:firstLine="0"/>
      </w:pPr>
      <w:r>
        <w:t xml:space="preserve">   </w:t>
      </w:r>
    </w:p>
    <w:p w:rsidR="00D8063C" w:rsidRDefault="000E3BEA">
      <w:pPr>
        <w:spacing w:after="0" w:line="259" w:lineRule="auto"/>
        <w:ind w:left="2177" w:firstLine="0"/>
      </w:pPr>
      <w:r>
        <w:t>Signature</w:t>
      </w:r>
      <w:r>
        <w:rPr>
          <w:sz w:val="20"/>
        </w:rPr>
        <w:t>_________________________</w:t>
      </w:r>
      <w:r>
        <w:rPr>
          <w:sz w:val="20"/>
        </w:rPr>
        <w:t>_____________________</w:t>
      </w:r>
      <w:r>
        <w:t xml:space="preserve">  </w:t>
      </w:r>
    </w:p>
    <w:p w:rsidR="00D8063C" w:rsidRDefault="000E3BEA">
      <w:pPr>
        <w:spacing w:after="0" w:line="259" w:lineRule="auto"/>
        <w:ind w:left="0" w:right="278" w:firstLine="0"/>
        <w:jc w:val="center"/>
      </w:pPr>
      <w:r>
        <w:t xml:space="preserve">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</w:p>
    <w:p w:rsidR="00D8063C" w:rsidRDefault="000E3BEA">
      <w:pPr>
        <w:spacing w:after="0" w:line="259" w:lineRule="auto"/>
        <w:ind w:left="1092" w:firstLine="0"/>
      </w:pPr>
      <w:r>
        <w:t xml:space="preserve"> </w:t>
      </w:r>
    </w:p>
    <w:p w:rsidR="00D8063C" w:rsidRDefault="000E3BEA">
      <w:pPr>
        <w:spacing w:after="0" w:line="259" w:lineRule="auto"/>
        <w:ind w:left="1092" w:firstLine="0"/>
      </w:pPr>
      <w:r>
        <w:t xml:space="preserve"> </w:t>
      </w:r>
    </w:p>
    <w:p w:rsidR="000E3BEA" w:rsidRDefault="000E3BEA">
      <w:pPr>
        <w:spacing w:after="0" w:line="238" w:lineRule="auto"/>
        <w:ind w:left="12" w:right="9060" w:firstLine="0"/>
      </w:pPr>
      <w:r>
        <w:t xml:space="preserve">   </w:t>
      </w:r>
    </w:p>
    <w:p w:rsidR="000E3BEA" w:rsidRDefault="000E3BEA">
      <w:pPr>
        <w:spacing w:after="160" w:line="259" w:lineRule="auto"/>
        <w:ind w:left="0" w:firstLine="0"/>
      </w:pPr>
      <w:r>
        <w:br w:type="page"/>
      </w:r>
    </w:p>
    <w:p w:rsidR="000E3BEA" w:rsidRDefault="000E3BEA">
      <w:pPr>
        <w:numPr>
          <w:ilvl w:val="0"/>
          <w:numId w:val="1"/>
        </w:numPr>
        <w:spacing w:after="47"/>
        <w:ind w:right="312" w:hanging="360"/>
      </w:pPr>
      <w:r>
        <w:lastRenderedPageBreak/>
        <w:t>Construct a CFG for parsing regular expressions over the binary alphabet Σ = {</w:t>
      </w:r>
      <w:r>
        <w:rPr>
          <w:i/>
        </w:rPr>
        <w:t>a, b</w:t>
      </w:r>
      <w:r>
        <w:t xml:space="preserve">}.  (No, the language for generating regular expressions is not regular, but is context-free.  </w:t>
      </w:r>
      <w:r>
        <w:rPr>
          <w:i/>
        </w:rPr>
        <w:t>Hint:  think about our grammar for infix expressions</w:t>
      </w:r>
      <w:r>
        <w:t xml:space="preserve">.)   Draw a parse tree for the </w:t>
      </w:r>
      <w:proofErr w:type="spellStart"/>
      <w:r>
        <w:t>r.e</w:t>
      </w:r>
      <w:proofErr w:type="spellEnd"/>
      <w:r>
        <w:t>.:</w:t>
      </w:r>
    </w:p>
    <w:p w:rsidR="00D8063C" w:rsidRDefault="000E3BEA" w:rsidP="000E3BEA">
      <w:pPr>
        <w:spacing w:after="47"/>
        <w:ind w:left="360" w:right="312" w:firstLine="0"/>
      </w:pPr>
      <w:r>
        <w:t xml:space="preserve">   </w:t>
      </w:r>
      <w:r>
        <w:tab/>
        <w:t xml:space="preserve"> </w:t>
      </w:r>
      <w:r>
        <w:tab/>
        <w:t xml:space="preserve">  </w:t>
      </w:r>
      <w:proofErr w:type="gramStart"/>
      <w:r>
        <w:rPr>
          <w:rFonts w:ascii="Courier New" w:eastAsia="Courier New" w:hAnsi="Courier New" w:cs="Courier New"/>
          <w:b/>
          <w:i/>
        </w:rPr>
        <w:t>a</w:t>
      </w:r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  <w:i/>
        </w:rPr>
        <w:t>ab</w:t>
      </w:r>
      <w:r>
        <w:rPr>
          <w:rFonts w:ascii="Courier New" w:eastAsia="Courier New" w:hAnsi="Courier New" w:cs="Courier New"/>
          <w:b/>
        </w:rPr>
        <w:t>)*(</w:t>
      </w:r>
      <w:proofErr w:type="spellStart"/>
      <w:r>
        <w:rPr>
          <w:rFonts w:ascii="Courier New" w:eastAsia="Courier New" w:hAnsi="Courier New" w:cs="Courier New"/>
          <w:b/>
          <w:i/>
        </w:rPr>
        <w:t>a</w:t>
      </w:r>
      <w:r>
        <w:rPr>
          <w:rFonts w:ascii="Courier New" w:eastAsia="Courier New" w:hAnsi="Courier New" w:cs="Courier New"/>
          <w:b/>
        </w:rPr>
        <w:t>|</w:t>
      </w:r>
      <w:r>
        <w:rPr>
          <w:rFonts w:ascii="Courier New" w:eastAsia="Courier New" w:hAnsi="Courier New" w:cs="Courier New"/>
          <w:b/>
          <w:i/>
        </w:rPr>
        <w:t>b</w:t>
      </w:r>
      <w:proofErr w:type="spellEnd"/>
      <w:r>
        <w:rPr>
          <w:rFonts w:ascii="Courier New" w:eastAsia="Courier New" w:hAnsi="Courier New" w:cs="Courier New"/>
          <w:b/>
        </w:rPr>
        <w:t>)</w:t>
      </w:r>
      <w:r>
        <w:t xml:space="preserve"> </w:t>
      </w:r>
    </w:p>
    <w:p w:rsidR="00D8063C" w:rsidRDefault="000E3BEA">
      <w:pPr>
        <w:spacing w:after="0" w:line="259" w:lineRule="auto"/>
        <w:ind w:left="372" w:firstLine="0"/>
      </w:pPr>
      <w:r>
        <w:t xml:space="preserve"> </w:t>
      </w:r>
    </w:p>
    <w:p w:rsidR="00D8063C" w:rsidRDefault="000E3BEA">
      <w:pPr>
        <w:numPr>
          <w:ilvl w:val="0"/>
          <w:numId w:val="1"/>
        </w:numPr>
        <w:ind w:right="312" w:hanging="360"/>
      </w:pPr>
      <w:r>
        <w:t xml:space="preserve">C and Java allows loop exits using the “break” and “continue” statements. A “break” statement leaves the current loop entirely, and a “continue” </w:t>
      </w:r>
      <w:r>
        <w:t xml:space="preserve">statement jumps to the end of the current loop. A break statement can only appear inside a loop or a switch statement, and </w:t>
      </w:r>
      <w:proofErr w:type="gramStart"/>
      <w:r>
        <w:t>a continue</w:t>
      </w:r>
      <w:proofErr w:type="gramEnd"/>
      <w:r>
        <w:t xml:space="preserve"> can only appear inside a loop. If we add “break” and “continue” to </w:t>
      </w:r>
      <w:proofErr w:type="spellStart"/>
      <w:r>
        <w:t>ZinC</w:t>
      </w:r>
      <w:proofErr w:type="spellEnd"/>
      <w:r>
        <w:t>, what changes would have to be made to the semanti</w:t>
      </w:r>
      <w:r>
        <w:t>c analyzer to ensure that these statements only appear within loops? What changes would be needed for the abstract stack machine for which you wrote the assembler in order</w:t>
      </w:r>
      <w:r>
        <w:t xml:space="preserve"> to implement “break” and “continue”? </w:t>
      </w:r>
    </w:p>
    <w:p w:rsidR="00D8063C" w:rsidRDefault="000E3BEA">
      <w:pPr>
        <w:spacing w:after="0" w:line="259" w:lineRule="auto"/>
        <w:ind w:left="372" w:firstLine="0"/>
      </w:pPr>
      <w:r>
        <w:t xml:space="preserve"> </w:t>
      </w:r>
    </w:p>
    <w:p w:rsidR="00D8063C" w:rsidRDefault="000E3BEA">
      <w:pPr>
        <w:numPr>
          <w:ilvl w:val="0"/>
          <w:numId w:val="1"/>
        </w:numPr>
        <w:ind w:right="312" w:hanging="360"/>
      </w:pPr>
      <w:r>
        <w:t>Use the action/</w:t>
      </w:r>
      <w:proofErr w:type="spellStart"/>
      <w:r>
        <w:t>goto</w:t>
      </w:r>
      <w:proofErr w:type="spellEnd"/>
      <w:r>
        <w:t xml:space="preserve"> table for the grammar below (where the productions are as numb</w:t>
      </w:r>
      <w:r>
        <w:t xml:space="preserve">ered) to parse the incorrect input string: </w:t>
      </w:r>
    </w:p>
    <w:p w:rsidR="00D8063C" w:rsidRDefault="000E3BEA">
      <w:pPr>
        <w:spacing w:after="0" w:line="259" w:lineRule="auto"/>
        <w:ind w:left="382"/>
      </w:pPr>
      <w:r>
        <w:t xml:space="preserve">  </w:t>
      </w:r>
      <w:proofErr w:type="gramStart"/>
      <w:r>
        <w:rPr>
          <w:rFonts w:ascii="Courier New" w:eastAsia="Courier New" w:hAnsi="Courier New" w:cs="Courier New"/>
          <w:b/>
        </w:rPr>
        <w:t>( 2</w:t>
      </w:r>
      <w:proofErr w:type="gramEnd"/>
      <w:r>
        <w:rPr>
          <w:rFonts w:ascii="Courier New" w:eastAsia="Courier New" w:hAnsi="Courier New" w:cs="Courier New"/>
          <w:b/>
        </w:rPr>
        <w:t xml:space="preserve"> () ) 5 )6 )</w:t>
      </w:r>
      <w:r>
        <w:t xml:space="preserve"> </w:t>
      </w:r>
    </w:p>
    <w:p w:rsidR="00D8063C" w:rsidRDefault="000E3BEA">
      <w:pPr>
        <w:ind w:left="382" w:right="312"/>
      </w:pPr>
      <w:r>
        <w:t xml:space="preserve">When the syntax error is detected, a) what does the stack look like, b) what was the last action and c) what is the </w:t>
      </w:r>
      <w:proofErr w:type="spellStart"/>
      <w:r>
        <w:t>lookahead</w:t>
      </w:r>
      <w:proofErr w:type="spellEnd"/>
      <w:r>
        <w:t xml:space="preserve">? </w:t>
      </w:r>
    </w:p>
    <w:p w:rsidR="00D8063C" w:rsidRDefault="000E3BEA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204204" cy="219456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20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063C" w:rsidRDefault="000E3BEA">
      <w:pPr>
        <w:spacing w:after="0" w:line="259" w:lineRule="auto"/>
        <w:ind w:left="372" w:firstLine="0"/>
      </w:pPr>
      <w:r>
        <w:t xml:space="preserve"> </w:t>
      </w:r>
    </w:p>
    <w:p w:rsidR="00D8063C" w:rsidRDefault="000E3BEA">
      <w:pPr>
        <w:numPr>
          <w:ilvl w:val="0"/>
          <w:numId w:val="1"/>
        </w:numPr>
        <w:ind w:right="312" w:hanging="360"/>
      </w:pPr>
      <w:r>
        <w:t xml:space="preserve">The grammar in the previous </w:t>
      </w:r>
      <w:proofErr w:type="gramStart"/>
      <w:r>
        <w:t>problem  (</w:t>
      </w:r>
      <w:proofErr w:type="gramEnd"/>
      <w:r>
        <w:t xml:space="preserve">with start symbol R and non-terminal symbols R, S and L)  generates ‘lists’ of integers and lists. For example,  </w:t>
      </w:r>
    </w:p>
    <w:p w:rsidR="00D8063C" w:rsidRDefault="000E3BEA">
      <w:pPr>
        <w:ind w:left="382" w:right="5717"/>
      </w:pPr>
      <w:r>
        <w:t xml:space="preserve">  </w:t>
      </w:r>
      <w:proofErr w:type="gramStart"/>
      <w:r>
        <w:rPr>
          <w:rFonts w:ascii="Courier New" w:eastAsia="Courier New" w:hAnsi="Courier New" w:cs="Courier New"/>
          <w:b/>
        </w:rPr>
        <w:t>( 1</w:t>
      </w:r>
      <w:proofErr w:type="gramEnd"/>
      <w:r>
        <w:rPr>
          <w:rFonts w:ascii="Courier New" w:eastAsia="Courier New" w:hAnsi="Courier New" w:cs="Courier New"/>
          <w:b/>
        </w:rPr>
        <w:t xml:space="preserve"> ( 3 7 6 ) 2 ( 4 ) )</w:t>
      </w:r>
      <w:r>
        <w:t xml:space="preserve">  can be generated using the grammar. </w:t>
      </w:r>
    </w:p>
    <w:p w:rsidR="00D8063C" w:rsidRDefault="000E3BEA">
      <w:pPr>
        <w:numPr>
          <w:ilvl w:val="1"/>
          <w:numId w:val="1"/>
        </w:numPr>
        <w:ind w:right="312" w:hanging="360"/>
      </w:pPr>
      <w:r>
        <w:t>Write rules for each production that com</w:t>
      </w:r>
      <w:r>
        <w:t xml:space="preserve">pute the sum of the items in the list. For the example above, you would want ‘23’ printed out at the end. Clearly state what attribute(s) you intend to use; do not use any global variables. You may use either </w:t>
      </w:r>
      <w:proofErr w:type="spellStart"/>
      <w:r>
        <w:rPr>
          <w:rFonts w:ascii="Courier New" w:eastAsia="Courier New" w:hAnsi="Courier New" w:cs="Courier New"/>
          <w:b/>
        </w:rPr>
        <w:t>yacc</w:t>
      </w:r>
      <w:proofErr w:type="spellEnd"/>
      <w:r>
        <w:t xml:space="preserve"> notation or the attribute grammar notation</w:t>
      </w:r>
      <w:r>
        <w:t xml:space="preserve"> used on the slides. In general, I don’t care about the correctness of your syntax but your meaning should be clear. You can assume the </w:t>
      </w:r>
      <w:proofErr w:type="spellStart"/>
      <w:r>
        <w:t>int</w:t>
      </w:r>
      <w:proofErr w:type="spellEnd"/>
      <w:r>
        <w:t xml:space="preserve"> token has a </w:t>
      </w:r>
      <w:proofErr w:type="spellStart"/>
      <w:proofErr w:type="gramStart"/>
      <w:r>
        <w:t>val</w:t>
      </w:r>
      <w:proofErr w:type="spellEnd"/>
      <w:proofErr w:type="gramEnd"/>
      <w:r>
        <w:t xml:space="preserve"> attribute that holds the integer value of the lexeme. </w:t>
      </w:r>
    </w:p>
    <w:p w:rsidR="00D8063C" w:rsidRDefault="000E3BEA">
      <w:pPr>
        <w:numPr>
          <w:ilvl w:val="1"/>
          <w:numId w:val="1"/>
        </w:numPr>
        <w:ind w:right="312" w:hanging="360"/>
      </w:pPr>
      <w:r>
        <w:t>Draw the parse tree for the input above and s</w:t>
      </w:r>
      <w:r>
        <w:t xml:space="preserve">how how your attributes are used for the computation. </w:t>
      </w:r>
    </w:p>
    <w:p w:rsidR="00D8063C" w:rsidRDefault="000E3BEA">
      <w:pPr>
        <w:spacing w:after="0" w:line="259" w:lineRule="auto"/>
        <w:ind w:left="0" w:firstLine="0"/>
      </w:pPr>
      <w:r>
        <w:t xml:space="preserve"> </w:t>
      </w:r>
    </w:p>
    <w:p w:rsidR="00D8063C" w:rsidRDefault="000E3BEA">
      <w:pPr>
        <w:numPr>
          <w:ilvl w:val="0"/>
          <w:numId w:val="1"/>
        </w:numPr>
        <w:ind w:right="312" w:hanging="360"/>
      </w:pPr>
      <w:r>
        <w:t xml:space="preserve">Rewrite the following grammar to be LL(1): </w:t>
      </w:r>
      <w:r>
        <w:br/>
        <w:t xml:space="preserve"> </w:t>
      </w:r>
      <w:r>
        <w:tab/>
      </w:r>
      <w:r>
        <w:t xml:space="preserve">A → </w:t>
      </w:r>
      <w:proofErr w:type="spellStart"/>
      <w:r>
        <w:t>Abb</w:t>
      </w:r>
      <w:proofErr w:type="spellEnd"/>
      <w:r>
        <w:t xml:space="preserve"> | </w:t>
      </w:r>
      <w:proofErr w:type="spellStart"/>
      <w:r>
        <w:t>Abc</w:t>
      </w:r>
      <w:proofErr w:type="spellEnd"/>
      <w:r>
        <w:t xml:space="preserve"> | cc </w:t>
      </w:r>
    </w:p>
    <w:p w:rsidR="00D8063C" w:rsidRDefault="000E3BEA">
      <w:pPr>
        <w:spacing w:after="0" w:line="259" w:lineRule="auto"/>
        <w:ind w:left="372" w:firstLine="0"/>
      </w:pPr>
      <w:r>
        <w:lastRenderedPageBreak/>
        <w:t xml:space="preserve"> </w:t>
      </w:r>
    </w:p>
    <w:p w:rsidR="00D8063C" w:rsidRDefault="000E3BEA">
      <w:pPr>
        <w:spacing w:after="0" w:line="259" w:lineRule="auto"/>
        <w:ind w:left="372" w:firstLine="0"/>
      </w:pPr>
      <w:r>
        <w:t xml:space="preserve"> </w:t>
      </w:r>
    </w:p>
    <w:p w:rsidR="00D8063C" w:rsidRDefault="000E3BEA">
      <w:pPr>
        <w:numPr>
          <w:ilvl w:val="0"/>
          <w:numId w:val="1"/>
        </w:numPr>
        <w:ind w:right="312" w:hanging="360"/>
      </w:pPr>
      <w:r>
        <w:t xml:space="preserve">How Much </w:t>
      </w:r>
      <w:proofErr w:type="gramStart"/>
      <w:r>
        <w:t>Wood ...</w:t>
      </w:r>
      <w:proofErr w:type="gramEnd"/>
      <w:r>
        <w:t xml:space="preserve"> ?   </w:t>
      </w:r>
    </w:p>
    <w:p w:rsidR="00D8063C" w:rsidRDefault="000E3BEA">
      <w:pPr>
        <w:spacing w:after="474"/>
        <w:ind w:left="382" w:right="312"/>
      </w:pPr>
      <w:r>
        <w:t xml:space="preserve">Consider the following grammar over the tokens {if, wood, could, chuck, a, </w:t>
      </w:r>
      <w:proofErr w:type="spellStart"/>
      <w:r>
        <w:t>howmuch</w:t>
      </w:r>
      <w:proofErr w:type="spellEnd"/>
      <w:r>
        <w:t xml:space="preserve">}: </w:t>
      </w:r>
    </w:p>
    <w:p w:rsidR="00D8063C" w:rsidRDefault="000E3BEA">
      <w:pPr>
        <w:ind w:left="742" w:right="312"/>
      </w:pPr>
      <w:r>
        <w:t xml:space="preserve"> S →</w:t>
      </w:r>
      <w:r>
        <w:rPr>
          <w:rFonts w:ascii="Calibri" w:eastAsia="Calibri" w:hAnsi="Calibri" w:cs="Calibri"/>
        </w:rPr>
        <w:t xml:space="preserve"> </w:t>
      </w:r>
      <w:r>
        <w:t xml:space="preserve">Q </w:t>
      </w:r>
      <w:proofErr w:type="spellStart"/>
      <w:r>
        <w:t>OptCond</w:t>
      </w:r>
      <w:proofErr w:type="spellEnd"/>
      <w:r>
        <w:rPr>
          <w:rFonts w:ascii="Calibri" w:eastAsia="Calibri" w:hAnsi="Calibri" w:cs="Calibri"/>
          <w:sz w:val="37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OptCond</w:t>
      </w:r>
      <w:proofErr w:type="spellEnd"/>
      <w:r>
        <w:t xml:space="preserve"> </w:t>
      </w:r>
    </w:p>
    <w:p w:rsidR="00D8063C" w:rsidRDefault="000E3BEA">
      <w:pPr>
        <w:spacing w:after="82"/>
        <w:ind w:left="742" w:right="312"/>
      </w:pPr>
      <w:r>
        <w:t xml:space="preserve"> </w:t>
      </w:r>
      <w:proofErr w:type="spellStart"/>
      <w:r>
        <w:t>OptCond</w:t>
      </w:r>
      <w:proofErr w:type="spellEnd"/>
      <w:r>
        <w:t xml:space="preserve"> </w:t>
      </w:r>
      <w:proofErr w:type="gramStart"/>
      <w:r>
        <w:t>→</w:t>
      </w:r>
      <w:r>
        <w:rPr>
          <w:rFonts w:ascii="Calibri" w:eastAsia="Calibri" w:hAnsi="Calibri" w:cs="Calibri"/>
        </w:rPr>
        <w:t xml:space="preserve">  </w:t>
      </w:r>
      <w:r>
        <w:rPr>
          <w:rFonts w:ascii="Courier New" w:eastAsia="Courier New" w:hAnsi="Courier New" w:cs="Courier New"/>
          <w:b/>
        </w:rPr>
        <w:t>if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| ε  </w:t>
      </w:r>
    </w:p>
    <w:p w:rsidR="00D8063C" w:rsidRDefault="000E3BEA">
      <w:pPr>
        <w:ind w:left="742" w:right="312"/>
      </w:pPr>
      <w:r>
        <w:t xml:space="preserve"> </w:t>
      </w:r>
      <w:proofErr w:type="spellStart"/>
      <w:r>
        <w:t>Stmt</w:t>
      </w:r>
      <w:proofErr w:type="spellEnd"/>
      <w:r>
        <w:t xml:space="preserve"> → N V </w:t>
      </w:r>
      <w:proofErr w:type="spellStart"/>
      <w:r>
        <w:t>OptObj</w:t>
      </w:r>
      <w:proofErr w:type="spellEnd"/>
      <w:r>
        <w:t xml:space="preserve"> </w:t>
      </w:r>
    </w:p>
    <w:p w:rsidR="00D8063C" w:rsidRDefault="000E3BEA">
      <w:pPr>
        <w:spacing w:after="0" w:line="259" w:lineRule="auto"/>
        <w:ind w:left="727"/>
      </w:pPr>
      <w:r>
        <w:t xml:space="preserve"> V </w:t>
      </w:r>
      <w:r>
        <w:rPr>
          <w:sz w:val="37"/>
          <w:vertAlign w:val="subscript"/>
        </w:rPr>
        <w:t>→</w:t>
      </w:r>
      <w:r>
        <w:t xml:space="preserve"> </w:t>
      </w:r>
      <w:r>
        <w:rPr>
          <w:rFonts w:ascii="Courier New" w:eastAsia="Courier New" w:hAnsi="Courier New" w:cs="Courier New"/>
          <w:b/>
        </w:rPr>
        <w:t>wood</w:t>
      </w:r>
      <w:r>
        <w:t xml:space="preserve"> V </w:t>
      </w:r>
      <w:proofErr w:type="gramStart"/>
      <w:r>
        <w:t xml:space="preserve">|  </w:t>
      </w:r>
      <w:r>
        <w:rPr>
          <w:rFonts w:ascii="Courier New" w:eastAsia="Courier New" w:hAnsi="Courier New" w:cs="Courier New"/>
          <w:b/>
        </w:rPr>
        <w:t>could</w:t>
      </w:r>
      <w:proofErr w:type="gramEnd"/>
      <w:r>
        <w:t xml:space="preserve"> V | </w:t>
      </w:r>
      <w:r>
        <w:rPr>
          <w:rFonts w:ascii="Courier New" w:eastAsia="Courier New" w:hAnsi="Courier New" w:cs="Courier New"/>
          <w:b/>
        </w:rPr>
        <w:t>chuck</w:t>
      </w:r>
      <w:r>
        <w:t xml:space="preserve"> </w:t>
      </w:r>
    </w:p>
    <w:p w:rsidR="00D8063C" w:rsidRDefault="000E3BEA">
      <w:pPr>
        <w:ind w:left="742" w:right="312"/>
      </w:pPr>
      <w:r>
        <w:t xml:space="preserve"> </w:t>
      </w:r>
      <w:proofErr w:type="spellStart"/>
      <w:r>
        <w:t>OptObj</w:t>
      </w:r>
      <w:proofErr w:type="spellEnd"/>
      <w:r>
        <w:t xml:space="preserve"> → N | ε  </w:t>
      </w:r>
    </w:p>
    <w:p w:rsidR="00D8063C" w:rsidRDefault="000E3BEA">
      <w:pPr>
        <w:spacing w:after="0" w:line="259" w:lineRule="auto"/>
        <w:ind w:left="727"/>
      </w:pPr>
      <w:r>
        <w:t xml:space="preserve"> N </w:t>
      </w:r>
      <w:r>
        <w:rPr>
          <w:sz w:val="37"/>
          <w:vertAlign w:val="subscript"/>
        </w:rPr>
        <w:t>→</w:t>
      </w:r>
      <w:r>
        <w:t xml:space="preserve"> </w:t>
      </w:r>
      <w:r>
        <w:rPr>
          <w:rFonts w:ascii="Courier New" w:eastAsia="Courier New" w:hAnsi="Courier New" w:cs="Courier New"/>
          <w:b/>
        </w:rPr>
        <w:t>a woodchuck</w:t>
      </w:r>
      <w:r>
        <w:t xml:space="preserve"> | </w:t>
      </w:r>
      <w:r>
        <w:rPr>
          <w:rFonts w:ascii="Courier New" w:eastAsia="Courier New" w:hAnsi="Courier New" w:cs="Courier New"/>
          <w:b/>
        </w:rPr>
        <w:t>wood</w:t>
      </w:r>
      <w:r>
        <w:t xml:space="preserve"> </w:t>
      </w:r>
    </w:p>
    <w:p w:rsidR="00D8063C" w:rsidRDefault="000E3BEA">
      <w:pPr>
        <w:spacing w:after="0" w:line="259" w:lineRule="auto"/>
        <w:ind w:left="727"/>
      </w:pPr>
      <w:r>
        <w:t xml:space="preserve"> Q </w:t>
      </w:r>
      <w:r>
        <w:rPr>
          <w:sz w:val="37"/>
          <w:vertAlign w:val="subscript"/>
        </w:rPr>
        <w:t>→</w:t>
      </w:r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howmuch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>wood</w:t>
      </w:r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wood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gramStart"/>
      <w:r>
        <w:t xml:space="preserve">|  </w:t>
      </w:r>
      <w:r>
        <w:rPr>
          <w:rFonts w:ascii="Courier New" w:eastAsia="Courier New" w:hAnsi="Courier New" w:cs="Courier New"/>
          <w:b/>
        </w:rPr>
        <w:t>could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</w:t>
      </w:r>
    </w:p>
    <w:p w:rsidR="00D8063C" w:rsidRDefault="000E3BEA">
      <w:pPr>
        <w:spacing w:after="16" w:line="259" w:lineRule="auto"/>
        <w:ind w:left="732" w:firstLine="0"/>
      </w:pPr>
      <w:r>
        <w:t xml:space="preserve"> </w:t>
      </w:r>
    </w:p>
    <w:p w:rsidR="00D8063C" w:rsidRDefault="000E3BEA">
      <w:pPr>
        <w:spacing w:after="53" w:line="259" w:lineRule="auto"/>
        <w:ind w:left="727"/>
      </w:pPr>
      <w:r>
        <w:t>This grammar allows us to generate sentences such as "</w:t>
      </w:r>
      <w:proofErr w:type="spellStart"/>
      <w:r>
        <w:rPr>
          <w:rFonts w:ascii="Courier New" w:eastAsia="Courier New" w:hAnsi="Courier New" w:cs="Courier New"/>
          <w:b/>
        </w:rPr>
        <w:t>howmuch</w:t>
      </w:r>
      <w:proofErr w:type="spellEnd"/>
      <w:r>
        <w:rPr>
          <w:rFonts w:ascii="Courier New" w:eastAsia="Courier New" w:hAnsi="Courier New" w:cs="Courier New"/>
          <w:b/>
        </w:rPr>
        <w:t xml:space="preserve"> wood </w:t>
      </w:r>
      <w:proofErr w:type="spellStart"/>
      <w:r>
        <w:rPr>
          <w:rFonts w:ascii="Courier New" w:eastAsia="Courier New" w:hAnsi="Courier New" w:cs="Courier New"/>
          <w:b/>
        </w:rPr>
        <w:t>wood</w:t>
      </w:r>
      <w:proofErr w:type="spellEnd"/>
      <w:r>
        <w:rPr>
          <w:rFonts w:ascii="Courier New" w:eastAsia="Courier New" w:hAnsi="Courier New" w:cs="Courier New"/>
          <w:b/>
        </w:rPr>
        <w:t xml:space="preserve"> a woodchuck chuck if a woodchuck could chuck wood</w:t>
      </w:r>
      <w:r>
        <w:t xml:space="preserve">." </w:t>
      </w:r>
    </w:p>
    <w:p w:rsidR="00D8063C" w:rsidRDefault="000E3BEA">
      <w:pPr>
        <w:spacing w:after="218" w:line="259" w:lineRule="auto"/>
        <w:ind w:left="732" w:firstLine="0"/>
      </w:pPr>
      <w:r>
        <w:t xml:space="preserve"> </w:t>
      </w:r>
    </w:p>
    <w:p w:rsidR="00D8063C" w:rsidRDefault="000E3BEA">
      <w:pPr>
        <w:numPr>
          <w:ilvl w:val="1"/>
          <w:numId w:val="2"/>
        </w:numPr>
        <w:spacing w:after="237"/>
        <w:ind w:right="312" w:hanging="312"/>
      </w:pPr>
      <w:r>
        <w:t xml:space="preserve">The professor verified that this grammar is unambiguous using a piece of software you should be familiar with. In one sentence, how do you think he did this? </w:t>
      </w:r>
    </w:p>
    <w:p w:rsidR="00D8063C" w:rsidRDefault="000E3BEA">
      <w:pPr>
        <w:numPr>
          <w:ilvl w:val="1"/>
          <w:numId w:val="2"/>
        </w:numPr>
        <w:spacing w:after="238"/>
        <w:ind w:right="312" w:hanging="312"/>
      </w:pPr>
      <w:r>
        <w:t xml:space="preserve">In one sentence, what are the drawbacks to the method proposed above? </w:t>
      </w:r>
    </w:p>
    <w:p w:rsidR="00D8063C" w:rsidRDefault="000E3BEA">
      <w:pPr>
        <w:spacing w:after="0" w:line="259" w:lineRule="auto"/>
        <w:ind w:left="12" w:firstLine="0"/>
      </w:pPr>
      <w:r>
        <w:t xml:space="preserve"> </w:t>
      </w:r>
      <w:bookmarkStart w:id="0" w:name="_GoBack"/>
      <w:bookmarkEnd w:id="0"/>
    </w:p>
    <w:sectPr w:rsidR="00D8063C">
      <w:pgSz w:w="12240" w:h="15840"/>
      <w:pgMar w:top="1116" w:right="888" w:bottom="1242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96E"/>
    <w:multiLevelType w:val="hybridMultilevel"/>
    <w:tmpl w:val="E752D0C6"/>
    <w:lvl w:ilvl="0" w:tplc="B858B7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661F6">
      <w:start w:val="1"/>
      <w:numFmt w:val="lowerLetter"/>
      <w:lvlText w:val="%2.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A8F04">
      <w:start w:val="1"/>
      <w:numFmt w:val="lowerRoman"/>
      <w:lvlText w:val="%3"/>
      <w:lvlJc w:val="left"/>
      <w:pPr>
        <w:ind w:left="1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2361E">
      <w:start w:val="1"/>
      <w:numFmt w:val="decimal"/>
      <w:lvlText w:val="%4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6B654">
      <w:start w:val="1"/>
      <w:numFmt w:val="lowerLetter"/>
      <w:lvlText w:val="%5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4A906">
      <w:start w:val="1"/>
      <w:numFmt w:val="lowerRoman"/>
      <w:lvlText w:val="%6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EBF9C">
      <w:start w:val="1"/>
      <w:numFmt w:val="decimal"/>
      <w:lvlText w:val="%7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6D202">
      <w:start w:val="1"/>
      <w:numFmt w:val="lowerLetter"/>
      <w:lvlText w:val="%8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CEFEC">
      <w:start w:val="1"/>
      <w:numFmt w:val="lowerRoman"/>
      <w:lvlText w:val="%9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C64C8B"/>
    <w:multiLevelType w:val="hybridMultilevel"/>
    <w:tmpl w:val="82928E5E"/>
    <w:lvl w:ilvl="0" w:tplc="22EADD2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B84446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A582A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25AB0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4E926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E87D2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0798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C0C9E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68CEE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3C"/>
    <w:rsid w:val="000E3BEA"/>
    <w:rsid w:val="00D8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A174D-E34B-4A34-887F-DE09825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2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Take Home Exam</vt:lpstr>
    </vt:vector>
  </TitlesOfParts>
  <Company>Sam Houston State University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Home Exam</dc:title>
  <dc:subject/>
  <dc:creator>Tim McGuire</dc:creator>
  <cp:keywords/>
  <cp:lastModifiedBy>SHSU</cp:lastModifiedBy>
  <cp:revision>2</cp:revision>
  <dcterms:created xsi:type="dcterms:W3CDTF">2018-04-12T05:06:00Z</dcterms:created>
  <dcterms:modified xsi:type="dcterms:W3CDTF">2018-04-12T05:06:00Z</dcterms:modified>
</cp:coreProperties>
</file>