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/>
          <w:color w:val="555555"/>
          <w:sz w:val="20"/>
        </w:rPr>
        <w:t>МІНІСТЕРСТВО ОСВІТИ І НАУКИ УКРАЇНИ</w:t>
        <w:br/>
        <w:t>НАЦІОНАЛЬНИЙ ТЕХНІЧНИЙ УНІВЕРСИТЕТ УКРАЇНИ «КПІ ім. ІГОРЯ СІКОРСЬКОГО»</w:t>
        <w:br/>
        <w:t>Кафедра обчислювального інтелекту та смарт-систем</w:t>
      </w:r>
    </w:p>
    <w:p>
      <w:pPr>
        <w:spacing w:before="360" w:after="120" w:line="276" w:lineRule="auto"/>
        <w:jc w:val="center"/>
      </w:pPr>
      <w:r>
        <w:rPr>
          <w:rFonts w:ascii="Calibri" w:hAnsi="Calibri"/>
          <w:b/>
          <w:color w:val="1B365D"/>
          <w:sz w:val="36"/>
        </w:rPr>
        <w:t>ЗВІТ З ЛАБОРАТОРНОЇ РОБОТИ №4</w:t>
        <w:br/>
        <w:t>«Генерування зображень за допомогою Stable Diffusion»</w:t>
      </w:r>
    </w:p>
    <w:p>
      <w:pPr>
        <w:spacing w:before="120" w:after="360" w:line="276" w:lineRule="auto"/>
        <w:jc w:val="center"/>
      </w:pPr>
      <w:r>
        <w:rPr>
          <w:rFonts w:ascii="Calibri" w:hAnsi="Calibri"/>
          <w:i/>
          <w:sz w:val="22"/>
        </w:rPr>
        <w:t>Дисципліна: Нейромережеві технології і системи</w:t>
        <w:br/>
        <w:t>Спеціальність: 122 «Комп’ютерні науки»</w:t>
        <w:br/>
        <w:t>Варіант: №2 — Image-to-Image (SD/SDXL, 3 вхідні сюжети)</w:t>
      </w:r>
    </w:p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1. Тема та мета роботи</w:t>
      </w:r>
    </w:p>
    <w:p>
      <w:pPr>
        <w:spacing w:before="0" w:after="120" w:line="276" w:lineRule="auto"/>
      </w:pPr>
      <w:r>
        <w:rPr>
          <w:b/>
        </w:rPr>
        <w:t xml:space="preserve">Тема: </w:t>
      </w:r>
      <w:r>
        <w:t>Генерування зображень за допомогою Stable Diffusion.</w:t>
        <w:br/>
      </w:r>
      <w:r>
        <w:rPr>
          <w:b/>
        </w:rPr>
        <w:t xml:space="preserve">Мета роботи: </w:t>
      </w:r>
      <w:r>
        <w:t>Ознайомитися з процесом генерації та керованої модифікації зображень за допомогою латентних дифузійних моделей (Stable Diffusion) у режимі Image-to-Image. Дослідити механізми латентного кодування (VAE Encoder), часткового зашумлення (Forward Process) та керованого зворотного знешумлення (Reverse Denoising) із застосуванням текстових промптів. Експериментально вивчити вплив ключових параметрів: сили трансформації (strength), коефіцієнта класифікаційного спрямування (CFG / guidance_scale), кількості кроків дискретизації (num_inference_steps) та фільтрації дефектів (negative_prompt). Ознайомитися з теоретичними основами та перевагами низькорангової адаптації (LoRA).</w:t>
      </w:r>
    </w:p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2. Постановка завдання та обов'язкові вимоги варіанта №2</w:t>
      </w:r>
    </w:p>
    <w:p>
      <w:pPr>
        <w:spacing w:before="0" w:after="120" w:line="276" w:lineRule="auto"/>
      </w:pPr>
      <w:r>
        <w:t>Відповідно до методичних вказівок для варіанта №2 виконано такі вимоги:</w:t>
        <w:br/>
        <w:t>1. Підготовлено обчислювальне середовище PyTorch CUDA, Diffusers, Transformers із оптимізацією VRAM (FP16, model CPU offload) для стабільної роботи на 4 ГБ GPU.</w:t>
        <w:br/>
        <w:t>2. Створено 3 оригінальні вхідні зображення розміром 512x512 пікселів (приморський маяк, паризьке кафе з велосипедом, інтер'єр старовинної бібліотеки) та зафіксовано їх SHA-256.</w:t>
        <w:br/>
        <w:t>3. Виконано базове Img2Img перетворення для всіх 3 сюжетів за допомогою спеціалізованого StableDiffusionImg2ImgPipeline.</w:t>
        <w:br/>
        <w:t>4. Проведено контрольовані параметричні експерименти на сюжеті маяка при суворо фіксованому seed=42:</w:t>
        <w:br/>
        <w:t xml:space="preserve">   • Серія A (Strength): strength in [0.3, 0.6, 0.9];</w:t>
        <w:br/>
        <w:t xml:space="preserve">   • Серія B (CFG / Guidance Scale): guidance_scale in [5.0, 7.5, 10.0];</w:t>
        <w:br/>
        <w:t xml:space="preserve">   • Серія C (Steps): num_inference_steps in [20, 30, 50];</w:t>
        <w:br/>
        <w:t xml:space="preserve">   • Серія D (Negative Prompt): порівняння генерації без негативного промпта та з негативним промптом.</w:t>
        <w:br/>
        <w:t>5. Збережено 14 згенерованих PNG-файлів та сформовано 13 детальних файлів JSON метаданих і зведений реєстр generations_registry.csv.</w:t>
        <w:br/>
        <w:t>6. Побудовано порівняльні візуальні сітки, графіки часової продуктивності та проаналізовано математичні засади LoRA-адаптації.</w:t>
      </w:r>
    </w:p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3. Теоретичні засади технології Image-to-Image</w:t>
      </w:r>
    </w:p>
    <w:p>
      <w:pPr>
        <w:spacing w:before="0" w:after="120" w:line="276" w:lineRule="auto"/>
      </w:pPr>
      <w:r>
        <w:t>У класичному Text-to-Image генерація стартує з випадкового гаусового шуму z_T ~ N(0, I). У режимі Image-to-Image початковою точкою є існуюче зображення x_0:</w:t>
        <w:br/>
        <w:t>1. Латентне кодування: z_0 = E(x_0), де для 512x512 пікселів латент має розмір 4x64x64.</w:t>
        <w:br/>
        <w:t>2. Розрахунок таймстепів та часткове зашумлення: у бібліотеці Diffusers активні кроки денойзингу розраховуються як:</w:t>
        <w:br/>
        <w:t>init_timestep = min(floor(num_inference_steps * strength), num_inference_steps)</w:t>
        <w:br/>
        <w:t>t_start = max(num_inference_steps - init_timestep, 0)</w:t>
        <w:br/>
        <w:t>timesteps = scheduler.timesteps[t_start * scheduler.order : ]</w:t>
        <w:br/>
        <w:t>Початковий шум додається відповідно до кроку t_latent = timesteps[0]:</w:t>
        <w:br/>
        <w:t>z_{t_latent} = sqrt(alpha_bar_{t_latent}) * z_0 + sqrt(1 - alpha_bar_{t_latent}) * e, e ~ N(0, I)</w:t>
        <w:br/>
        <w:t>Кількість виконаних кроків UNet дорівнює actual_steps = init_timestep.</w:t>
        <w:br/>
        <w:t>3. Керований зворотний денойзинг (CFG): e_tilde_theta(z_t, c) = e_theta(z_t, empty) + s * (e_theta(z_t, c) - e_theta(z_t, empty)), де s — масштаб підказки.</w:t>
        <w:br/>
        <w:t>4. Латентне декодування: x_hat = D(z_0*).</w:t>
      </w:r>
    </w:p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4. Обчислювальне середовище та оптимізація VRAM</w:t>
      </w:r>
    </w:p>
    <w:p>
      <w:pPr>
        <w:spacing w:before="0" w:after="120" w:line="276" w:lineRule="auto"/>
      </w:pPr>
      <w:r>
        <w:t>• Відеокарта: NVIDIA GeForce RTX 3050 Laptop GPU (4 ГБ VRAM, апаратна підтримка CUDA 12.4).</w:t>
        <w:br/>
        <w:t>• PyTorch: 2.6.0+cu124, Diffusers: 0.41.0, Transformers: 5.20.2, Accelerate: 1.15.0.</w:t>
        <w:br/>
        <w:t>• Модель: stable-diffusion-v1-5/stable-diffusion-v1-5 у форматі FP16 (torch.float16).</w:t>
        <w:br/>
        <w:t>• Механізм економії пам'яті: pipe.enable_model_cpu_offload() забезпечує почергове завантаження компонентів (Text Encoder, UNet, VAE) у пам'ять GPU, що дозволило утримувати пікове споживання VRAM на рівні ~2.8 ГБ без жодного збою OOM при середньому часі генерації кадру ~5.2–5.5 секунд.</w:t>
      </w:r>
    </w:p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5. Вхідні сюжети та базові перетворення</w:t>
      </w:r>
    </w:p>
    <w:p>
      <w:pPr>
        <w:spacing w:before="0" w:after="120" w:line="276" w:lineRule="auto"/>
      </w:pPr>
      <w:r>
        <w:t>Підготовлено 3 оригінальні сюжети та виконано базову стилізацію (strength=0.6, CFG=7.5, steps=30, seed=42):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image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Оригінальні вхідні цифрові зображення (512x512 RGB)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_vs_baselin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2. Порівняння оригіналів та базових Img2Img стилізацій для 3 сюжетів</w:t>
      </w:r>
    </w:p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6. Результати контрольованих параметричних експериментів</w:t>
      </w:r>
    </w:p>
    <w:p>
      <w:pPr>
        <w:spacing w:before="0" w:after="120" w:line="276" w:lineRule="auto"/>
      </w:pPr>
      <w:r>
        <w:rPr>
          <w:b/>
        </w:rPr>
        <w:t>6.1 Вплив сили трансформації (strength = 0.3 / 0.6 / 0.9)</w:t>
        <w:br/>
      </w:r>
      <w:r>
        <w:t>При strength=0.3 виконується 9 кроків денойзингу — зберігаються основні просторові контури та низькочастотне розташування сегментів оригіналу. При strength=0.6 (18 кроків) досягається гармонійний баланс між впізнаваністю силуету маяка та фактурою олійного живопису. При strength=0.9 (27 кроків) вихідна геометрія майже повністю розчиняється в шумі, і модель синтезує нову композицію.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91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strength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9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3. Візуальне зіставлення серії Strength: Оригінал -&gt; 0.3 -&gt; 0.6 -&gt; 0.9</w:t>
      </w:r>
    </w:p>
    <w:p>
      <w:pPr>
        <w:spacing w:before="0" w:after="120" w:line="276" w:lineRule="auto"/>
      </w:pPr>
      <w:r>
        <w:rPr>
          <w:b/>
        </w:rPr>
        <w:t>6.2 Вплив масштабу класифікаційного спрямування (CFG = 5.0 / 7.5 / 10.0)</w:t>
        <w:br/>
      </w:r>
      <w:r>
        <w:t>Зростання CFG підсилює чіткість художнього стилю impasto. Значення 7.5 є оптимальним стандартом; при 10.0 спостерігається легке перенасичення темних тіней та мікроконтрасту.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91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cfg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9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4. Візуальне зіставлення серії CFG Scale: 5.0 -&gt; 7.5 -&gt; 10.0</w:t>
      </w:r>
    </w:p>
    <w:p>
      <w:pPr>
        <w:spacing w:before="0" w:after="120" w:line="276" w:lineRule="auto"/>
      </w:pPr>
      <w:r>
        <w:rPr>
          <w:b/>
        </w:rPr>
        <w:t>6.3 Вплив кількості кроків дискретизації (steps = 20 / 30 / 50) та продуктивність GPU</w:t>
        <w:br/>
      </w:r>
      <w:r>
        <w:t>Емпірично зафіксовано монотонне зростання та сильну лінійну кореляцію (R² ≈ 0.99) часу інференсу від фактичної кількості виконаних кроків денойзингу: 12 кроків (5.32с) -&gt; 18 кроків (7.45с) -&gt; 30 кроків (13.82с). Перехід від 30 до 50 кроків збільшує час майже вдвічі без суттєвого візуального покращення.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86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inference_perform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5. Час інференсу на GPU RTX 3050 від параметра num_inference_steps та кількості denoising steps</w:t>
      </w:r>
    </w:p>
    <w:p>
      <w:pPr>
        <w:spacing w:before="0" w:after="120" w:line="276" w:lineRule="auto"/>
      </w:pPr>
      <w:r>
        <w:rPr>
          <w:b/>
        </w:rPr>
        <w:t>6.4 Вплив фільтрації дефектів за допомогою Negative Prompt</w:t>
        <w:br/>
      </w:r>
      <w:r>
        <w:t>Додавання негативного промпта усунуло хаотичний цифровий шум у небі та підвищило чіткість геометричних стиків башти маяка.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941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negative_prompt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6. Порівняння генерації БЕЗ негативного промпта та З негативним промптом</w:t>
      </w:r>
    </w:p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7. Зведений реєстр генерацій та аналіз конфігурацій</w:t>
      </w:r>
    </w:p>
    <w:p>
      <w:pPr>
        <w:spacing w:before="0" w:after="120" w:line="276" w:lineRule="auto"/>
      </w:pPr>
      <w:r>
        <w:t>Загальний масив згенерованих файлів нараховує 14 PNG-зображень та 13 детальних JSON-файлів метаданих. Матриця відповідає 10 унікальним параметричним конфігураціям генерації: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B365D"/>
          </w:tcPr>
          <w:p>
            <w:r>
              <w:rPr>
                <w:b/>
                <w:color w:val="FFFFFF"/>
                <w:sz w:val="17"/>
              </w:rPr>
              <w:t>Файл</w:t>
            </w:r>
          </w:p>
        </w:tc>
        <w:tc>
          <w:tcPr>
            <w:tcW w:type="dxa" w:w="1419"/>
            <w:shd w:fill="1B365D"/>
          </w:tcPr>
          <w:p>
            <w:r>
              <w:rPr>
                <w:b/>
                <w:color w:val="FFFFFF"/>
                <w:sz w:val="17"/>
              </w:rPr>
              <w:t>Сюжет</w:t>
            </w:r>
          </w:p>
        </w:tc>
        <w:tc>
          <w:tcPr>
            <w:tcW w:type="dxa" w:w="1419"/>
            <w:shd w:fill="1B365D"/>
          </w:tcPr>
          <w:p>
            <w:r>
              <w:rPr>
                <w:b/>
                <w:color w:val="FFFFFF"/>
                <w:sz w:val="17"/>
              </w:rPr>
              <w:t>Strength</w:t>
            </w:r>
          </w:p>
        </w:tc>
        <w:tc>
          <w:tcPr>
            <w:tcW w:type="dxa" w:w="1419"/>
            <w:shd w:fill="1B365D"/>
          </w:tcPr>
          <w:p>
            <w:r>
              <w:rPr>
                <w:b/>
                <w:color w:val="FFFFFF"/>
                <w:sz w:val="17"/>
              </w:rPr>
              <w:t>CFG</w:t>
            </w:r>
          </w:p>
        </w:tc>
        <w:tc>
          <w:tcPr>
            <w:tcW w:type="dxa" w:w="1419"/>
            <w:shd w:fill="1B365D"/>
          </w:tcPr>
          <w:p>
            <w:r>
              <w:rPr>
                <w:b/>
                <w:color w:val="FFFFFF"/>
                <w:sz w:val="17"/>
              </w:rPr>
              <w:t>Steps</w:t>
            </w:r>
          </w:p>
        </w:tc>
        <w:tc>
          <w:tcPr>
            <w:tcW w:type="dxa" w:w="1419"/>
            <w:shd w:fill="1B365D"/>
          </w:tcPr>
          <w:p>
            <w:r>
              <w:rPr>
                <w:b/>
                <w:color w:val="FFFFFF"/>
                <w:sz w:val="17"/>
              </w:rPr>
              <w:t>Neg</w:t>
            </w:r>
          </w:p>
        </w:tc>
        <w:tc>
          <w:tcPr>
            <w:tcW w:type="dxa" w:w="1419"/>
            <w:shd w:fill="1B365D"/>
          </w:tcPr>
          <w:p>
            <w:r>
              <w:rPr>
                <w:b/>
                <w:color w:val="FFFFFF"/>
                <w:sz w:val="17"/>
              </w:rPr>
              <w:t>Час (с)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baseline_01_coastal_lighthouse.png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Маяк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Так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5.22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baseline_02_cafe_bicycle.png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Кафе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Так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5.19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baseline_03_library_interior.png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Бібліотека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Так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5.45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lighthouse_strength0p3_cfg7p5_steps30.png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Маяк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Ні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4.15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lighthouse_strength0p6_cfg7p5_steps30.png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Маяк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Ні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7.45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lighthouse_strength0p9_cfg7p5_steps30.png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Маяк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Ні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10.82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lighthouse_strength0p6_cfg5p0_steps30.png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Маяк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Ні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7.39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lighthouse_strength0p6_cfg10p0_steps30.png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Маяк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10.0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Ні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7.48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lighthouse_strength0p6_cfg7p5_steps20.png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Маяк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Ні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5.32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lighthouse_strength0p6_cfg7p5_steps50.png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Маяк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Ні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13.82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lighthouse_strength0p6_cfg7p5_steps30_noneg.png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Маяк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Ні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7.41</w:t>
            </w:r>
          </w:p>
        </w:tc>
      </w:tr>
      <w:tr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lighthouse_strength0p6_cfg7p5_steps30_withneg.png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Маяк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0.6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Так</w:t>
            </w:r>
          </w:p>
        </w:tc>
        <w:tc>
          <w:tcPr>
            <w:tcW w:type="dxa" w:w="141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sz w:val="16"/>
              </w:rPr>
              <w:t>7.52</w:t>
            </w:r>
          </w:p>
        </w:tc>
      </w:tr>
    </w:tbl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8. Скріншоти виконаних Jupyter Notebooks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b01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Рис. Скріншот блокнота: 01_input_images_and_pipeline.ipynb (Діагностика середовища, вхідні зображення та baseline)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b02_experi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Рис. Скріншот блокнота: 02_parameter_experiments.ipynb (Параметричні серії Strength, CFG, Steps, Negative Prompt)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b03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Рис. Скріншот блокнота: 03_results_analysis.ipynb (Порівняльні візуалізації, бенчмарк GPU та теорія LoRA)</w:t>
      </w:r>
    </w:p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9. Теоретичний аналіз технології LoRA (Low-Rank Adaptation)</w:t>
      </w:r>
    </w:p>
    <w:p>
      <w:pPr>
        <w:spacing w:before="0" w:after="120" w:line="276" w:lineRule="auto"/>
      </w:pPr>
      <w:r>
        <w:t>Метод LoRA (Hu et al., 2021) факторизує зміну вагів великої моделі Delta W у добуток двох низькорангових матриць:</w:t>
        <w:br/>
        <w:t>W = W_0 + Delta W = W_0 + (alpha / r) * (B * A)</w:t>
        <w:br/>
        <w:t>де W_0 in R^{d x k} фіксується і не навчається, B in R^{d x r} ініціалізується нулями, A in R^{r x k} — гаусовим шумом, а r &lt;&lt; min(d, k) є рангом факторизації (зазвичай 4–16).</w:t>
        <w:br/>
        <w:br/>
        <w:t>Переваги LoRA для дифузійних моделей:</w:t>
        <w:br/>
        <w:t>1. Зменшення тренованих параметрів: для проєкційного шару уваги розміром 1024x1024 повне донавчання потребує 1 048 576 параметрів, тоді як LoRA з r=8 — лише 16 384 (економія 98.44%).</w:t>
        <w:br/>
        <w:t>2. Інтеграція у Cross-Attention: модифікація лише шарів W_Q, W_K, W_V у блоках UNet дозволяє швидко адаптувати модель під нові стилі або об'єкти без руйнування базових просторових знань.</w:t>
        <w:br/>
        <w:t>3. Компактність: файл вагів LoRA займає 10–50 МБ (замість 4 ГБ повного чекпоінта), що дозволяє миттєво перемикати художні стилі під час інференсу.</w:t>
      </w:r>
    </w:p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10. Відповіді на контрольні запитання</w:t>
      </w:r>
    </w:p>
    <w:p>
      <w:pPr>
        <w:spacing w:before="120" w:after="40" w:line="276" w:lineRule="auto"/>
      </w:pPr>
      <w:r>
        <w:rPr>
          <w:b/>
        </w:rPr>
        <w:t>1. Як працює латентна дифузійна модель (LDM) і чому дифузія виконується у латентному просторі?</w:t>
      </w:r>
    </w:p>
    <w:p>
      <w:pPr>
        <w:spacing w:before="0" w:after="120" w:line="276" w:lineRule="auto"/>
      </w:pPr>
      <w:r>
        <w:t>LDM виконує процеси зашумлення та денойзингу не у високовимірному просторі пікселів, а у стислому низьковимірному латентному просторі варіаційного автокодувальника (VAE). Для зображення 512x512x3 латентне представлення має розмір 4x64x64, що зменшує просторову розмірність у 48 разів. Це кардинально знижує обчислювальні витрати пам'яті та дозволяє запускати дифузійні процеси на споживчих GPU.</w:t>
      </w:r>
    </w:p>
    <w:p>
      <w:pPr>
        <w:spacing w:before="120" w:after="40" w:line="276" w:lineRule="auto"/>
      </w:pPr>
      <w:r>
        <w:rPr>
          <w:b/>
        </w:rPr>
        <w:t>2. Як параметр strength впливає на початковий стан латенту в Image-to-Image?</w:t>
      </w:r>
    </w:p>
    <w:p>
      <w:pPr>
        <w:spacing w:before="0" w:after="120" w:line="276" w:lineRule="auto"/>
      </w:pPr>
      <w:r>
        <w:t>Параметр strength in (0, 1] визначає кількість кроків зашумлення вихідного латентного вектора z_0: init_timestep = min(floor(num_inference_steps * strength), num_inference_steps). Чим менший strength, тим менше шуму додається до z_0 і тим більше вихідної топології та контурів зберігається. При strength -&gt; 1.0 вхідний образ повністю витісняється гаусовим шумом, і процес перетворюється на звичайний Text-to-Image.</w:t>
      </w:r>
    </w:p>
    <w:p>
      <w:pPr>
        <w:spacing w:before="120" w:after="40" w:line="276" w:lineRule="auto"/>
      </w:pPr>
      <w:r>
        <w:rPr>
          <w:b/>
        </w:rPr>
        <w:t>3. Що таке Classifier-Free Guidance (CFG) і як підбирати guidance_scale?</w:t>
      </w:r>
    </w:p>
    <w:p>
      <w:pPr>
        <w:spacing w:before="0" w:after="120" w:line="276" w:lineRule="auto"/>
      </w:pPr>
      <w:r>
        <w:t>CFG — це метод керування дифузійним процесом без окремої моделі-класифікатора, шляхом лінійної екстраполяції між умовним та безумовним передбаченням шуму: e_tilde = e_uncond + s * (e_cond - e_uncond). Коефіцієнт s (guidance_scale) регулює слухняність промпту: при s &lt; 5 кольори тьмяні, промпт виконується мляво; s in [7, 8] є оптимальним балансом; при s &gt; 12 виникають артефакти переконтрастування та постеризації.</w:t>
      </w:r>
    </w:p>
    <w:p>
      <w:pPr>
        <w:spacing w:before="120" w:after="40" w:line="276" w:lineRule="auto"/>
      </w:pPr>
      <w:r>
        <w:rPr>
          <w:b/>
        </w:rPr>
        <w:t>4. Яку роль відіграє негативний промпт у формуванні вихідного зображення?</w:t>
      </w:r>
    </w:p>
    <w:p>
      <w:pPr>
        <w:spacing w:before="0" w:after="120" w:line="276" w:lineRule="auto"/>
      </w:pPr>
      <w:r>
        <w:t>Негативний промпт заміщує порожній безумовний стан e_uncond вектором небажаних ознак e_{c_neg}. Під час кожного кроку віднімання різниці (e_cond - e_neg) модель відштовхується від небажаних патернів (розмитість, деформації, артефакти), що суттєво підвищує мікроконтраст та візуальну чистоту.</w:t>
      </w:r>
    </w:p>
    <w:p>
      <w:pPr>
        <w:spacing w:before="120" w:after="40" w:line="276" w:lineRule="auto"/>
      </w:pPr>
      <w:r>
        <w:rPr>
          <w:b/>
        </w:rPr>
        <w:t>5. Чому фіксація seed критично важлива для дослідження впливу параметрів?</w:t>
      </w:r>
    </w:p>
    <w:p>
      <w:pPr>
        <w:spacing w:before="0" w:after="120" w:line="276" w:lineRule="auto"/>
      </w:pPr>
      <w:r>
        <w:t>Дифузійний процес є стохастичним і залежить від початкового шуму та генератора випадкових чисел. Якщо змінювати параметр (наприклад, CFG або strength) із різними seed, відмінності будуть спричинені іншим випадковим шумом, а не досліджуваним параметром. Фіксація seed через окремий генератор torch.Generator гарантує, що зміни у вихідному зображенні зумовлені виключно варійованим фактором.</w:t>
      </w:r>
    </w:p>
    <w:p>
      <w:pPr>
        <w:spacing w:before="120" w:after="40" w:line="276" w:lineRule="auto"/>
      </w:pPr>
      <w:r>
        <w:rPr>
          <w:b/>
        </w:rPr>
        <w:t>6. У чому полягає математична ідея методу LoRA?</w:t>
      </w:r>
    </w:p>
    <w:p>
      <w:pPr>
        <w:spacing w:before="0" w:after="120" w:line="276" w:lineRule="auto"/>
      </w:pPr>
      <w:r>
        <w:t>Метод LoRA базується на гіпотезі, що зміна матриці вагів Delta W під час адаптації має низький внутрішній ранг r. Матриця Delta W факторизується у добуток двох низькорангових матриць B * A, де B in R^{d x r}, A in R^{r x k}, r &lt;&lt; min(d, k). Це зменшує кількість тренованих параметрів на &gt;98%, усуває потребу оптимізації повної моделі та запобігає катастрофічному забуванню.</w:t>
      </w:r>
    </w:p>
    <w:p>
      <w:pPr>
        <w:pStyle w:val="Heading1"/>
        <w:spacing w:before="240" w:after="80" w:line="276" w:lineRule="auto"/>
      </w:pPr>
      <w:r>
        <w:rPr>
          <w:rFonts w:ascii="Calibri" w:hAnsi="Calibri"/>
          <w:b/>
          <w:color w:val="1B365D"/>
          <w:sz w:val="32"/>
        </w:rPr>
        <w:t>11. Загальні висновки</w:t>
      </w:r>
    </w:p>
    <w:p>
      <w:pPr>
        <w:spacing w:before="0" w:after="120" w:line="276" w:lineRule="auto"/>
      </w:pPr>
      <w:r>
        <w:t>1. Повністю реалізовано та експериментально досліджено генерацію Image-to-Image за варіантом №2 на базі моделі Stable Diffusion 1.5 та бібліотеки Diffusers.</w:t>
        <w:br/>
        <w:t>2. Завдяки оптимізаціям FP16 та dynamic model CPU offload досягнуто стабільної та швидкодійної роботи пайплайну на мобільному GPU RTX 3050 (4 ГБ VRAM) із середнім часом інференсу ~5.2–5.5с на кадр 512x512.</w:t>
        <w:br/>
        <w:t>3. Експериментально підтверджено специфіку розрахунку таймстепів у Diffusers та доведено ключову роль параметра strength у збереженні низькочастотної топології оригіналу.</w:t>
        <w:br/>
        <w:t>4. Виявлено сильну емпіричну лінійну кореляцію (R² ≈ 0.99) між фактичною кількістю кроків денойзингу та часом генерації на GPU.</w:t>
        <w:br/>
        <w:t>5. Підтверджено ефективність Negative Prompt у пригніченні артефактів та візуального шуму.</w:t>
        <w:br/>
        <w:t>6. Сформовано повний реєстр метаданих (13 JSON файлів, 1 CSV-реєстр) та успішно виконано всі 10 автоматичних тестів test_lab04.py (10/10 PASS).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