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差旅报销政策</w:t>
      </w:r>
    </w:p>
    <w:p>
      <w:r>
        <w:t>TABLE: 类别政策</w:t>
      </w:r>
    </w:p>
    <w:tbl>
      <w:tr>
        <w:tc>
          <w:p>
            <w:r>
              <w:t>类别</w:t>
            </w:r>
          </w:p>
        </w:tc>
        <w:tc>
          <w:p>
            <w:r>
              <w:t>是否允许</w:t>
            </w:r>
          </w:p>
        </w:tc>
        <w:tc>
          <w:p>
            <w:r>
              <w:t>单笔上限</w:t>
            </w:r>
          </w:p>
        </w:tc>
      </w:tr>
      <w:tr>
        <w:tc>
          <w:p>
            <w:r>
              <w:t>出租车</w:t>
            </w:r>
          </w:p>
        </w:tc>
        <w:tc>
          <w:p>
            <w:r>
              <w:t>是</w:t>
            </w:r>
          </w:p>
        </w:tc>
        <w:tc>
          <w:p>
            <w:r>
              <w:t>200.00</w:t>
            </w:r>
          </w:p>
        </w:tc>
      </w:tr>
      <w:tr>
        <w:tc>
          <w:p>
            <w:r>
              <w:t>酒店</w:t>
            </w:r>
          </w:p>
        </w:tc>
        <w:tc>
          <w:p>
            <w:r>
              <w:t>是</w:t>
            </w:r>
          </w:p>
        </w:tc>
        <w:tc>
          <w:p>
            <w:r>
              <w:t>800.00</w:t>
            </w:r>
          </w:p>
        </w:tc>
      </w:tr>
      <w:tr>
        <w:tc>
          <w:p>
            <w:r>
              <w:t>迷你吧</w:t>
            </w:r>
          </w:p>
        </w:tc>
        <w:tc>
          <w:p>
            <w:r>
              <w:t>否</w:t>
            </w:r>
          </w:p>
        </w:tc>
        <w:tc>
          <w:p>
            <w:r>
              <w:t>0.00</w:t>
            </w:r>
          </w:p>
        </w:tc>
      </w:tr>
    </w:tbl>
    <w:sectPr/>
  </w:body>
</w:document>
</file>