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8.png" ContentType="image/png"/>
  <Override PartName="/word/media/rId50.png" ContentType="image/png"/>
  <Override PartName="/word/media/rId43.png" ContentType="image/png"/>
  <Override PartName="/word/media/rId45.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r>
        <w:t xml:space="preserve">Pieter A. Zuidema</w:t>
      </w:r>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p>
    <w:p>
      <w:pPr>
        <w:pStyle w:val="FirstParagraph"/>
      </w:pPr>
      <w:r>
        <w:t xml:space="preserve">** Current address: Decision and Infrastructure Sciences, Argonne National Laboratory; Lamont, IL.</w:t>
      </w:r>
    </w:p>
    <w:p>
      <w:pPr>
        <w:numPr>
          <w:ilvl w:val="0"/>
          <w:numId w:val="1002"/>
        </w:numPr>
      </w:pPr>
      <w:r>
        <w:t xml:space="preserve">Department of Geography &amp; Environmental Studies, University of New Mexico; Albuquerque, NM 87131 USA</w:t>
      </w:r>
    </w:p>
    <w:p>
      <w:pPr>
        <w:numPr>
          <w:ilvl w:val="0"/>
          <w:numId w:val="1002"/>
        </w:numPr>
      </w:pPr>
      <w:r>
        <w:t xml:space="preserve">Biology Department, Wilfrid Laurier University, 75 University Ave W, Waterloo, ON, N2L 3C5</w:t>
      </w:r>
    </w:p>
    <w:p>
      <w:pPr>
        <w:numPr>
          <w:ilvl w:val="0"/>
          <w:numId w:val="1002"/>
        </w:numPr>
      </w:pPr>
      <w:r>
        <w:t xml:space="preserve">School of Natural Resources, University of Nebraska-Lincoln, Lincoln, NE 68588-0118, USA</w:t>
      </w:r>
    </w:p>
    <w:p>
      <w:pPr>
        <w:numPr>
          <w:ilvl w:val="0"/>
          <w:numId w:val="1002"/>
        </w:numPr>
      </w:pPr>
      <w:r>
        <w:t xml:space="preserve">School of Ecosystem and Forest Sciences, University of Melbourne, Richmond VIC 3121, Australia</w:t>
      </w:r>
    </w:p>
    <w:p>
      <w:pPr>
        <w:numPr>
          <w:ilvl w:val="0"/>
          <w:numId w:val="1002"/>
        </w:numPr>
      </w:pPr>
      <w:r>
        <w:t xml:space="preserve">University of Alberta; Edmonton, Alberta, Canada</w:t>
      </w:r>
    </w:p>
    <w:p>
      <w:pPr>
        <w:numPr>
          <w:ilvl w:val="0"/>
          <w:numId w:val="1002"/>
        </w:numPr>
      </w:pPr>
      <w:r>
        <w:t xml:space="preserve">National Parks Wildlife and Plant Conservation Department, Chatuchak, Bangkok 10900, Thailand</w:t>
      </w:r>
    </w:p>
    <w:p>
      <w:pPr>
        <w:numPr>
          <w:ilvl w:val="0"/>
          <w:numId w:val="1002"/>
        </w:numPr>
      </w:pPr>
      <w:r>
        <w:t xml:space="preserve">Swiss Federal Institute for Forest, Snow and Landscape Research, CH-8903 Birmensdorf, Switzerland</w:t>
      </w:r>
    </w:p>
    <w:p>
      <w:pPr>
        <w:numPr>
          <w:ilvl w:val="0"/>
          <w:numId w:val="1002"/>
        </w:numPr>
      </w:pPr>
      <w:r>
        <w:t xml:space="preserve">Faculty of Forestry, University of British Columbia, Vancouver BC, Canada</w:t>
      </w:r>
    </w:p>
    <w:p>
      <w:pPr>
        <w:numPr>
          <w:ilvl w:val="0"/>
          <w:numId w:val="1002"/>
        </w:numPr>
      </w:pPr>
      <w:r>
        <w:t xml:space="preserve">Department of Forestry, Purdue University, West Lafayette, IN 47907, USA</w:t>
      </w:r>
    </w:p>
    <w:p>
      <w:pPr>
        <w:numPr>
          <w:ilvl w:val="0"/>
          <w:numId w:val="1002"/>
        </w:numPr>
      </w:pPr>
      <w:r>
        <w:t xml:space="preserve">Department of Forest Ecology, The Silva Tarouca Research Institute for Landscape and Ornamental Gardening, Lidická 25/27, 602 00 Brno, Czech Republic</w:t>
      </w:r>
    </w:p>
    <w:p>
      <w:pPr>
        <w:numPr>
          <w:ilvl w:val="0"/>
          <w:numId w:val="1002"/>
        </w:numPr>
      </w:pPr>
      <w:r>
        <w:t xml:space="preserve">S. J. &amp; Jessie E. Quinney College of Natural Resources and the Ecology Center, Utah State University, Logan, UT 84322, USA</w:t>
      </w:r>
    </w:p>
    <w:p>
      <w:pPr>
        <w:numPr>
          <w:ilvl w:val="0"/>
          <w:numId w:val="1002"/>
        </w:numPr>
      </w:pPr>
      <w:r>
        <w:t xml:space="preserve">U.S. Geological Survey, Fort Collins Science Center, New Mexico Landscapes Field Station, Los Alamos, NM 87544, USA</w:t>
      </w:r>
    </w:p>
    <w:p>
      <w:pPr>
        <w:numPr>
          <w:ilvl w:val="0"/>
          <w:numId w:val="1002"/>
        </w:numPr>
      </w:pPr>
      <w:r>
        <w:t xml:space="preserve">Department of Geography, Indiana University, Bloomington, Indiana, USA</w:t>
      </w:r>
    </w:p>
    <w:p>
      <w:pPr>
        <w:numPr>
          <w:ilvl w:val="0"/>
          <w:numId w:val="1002"/>
        </w:numPr>
      </w:pPr>
      <w:r>
        <w:t xml:space="preserve">Smithsonian Environmental Research Center, Edgewater, MD, USA</w:t>
      </w:r>
    </w:p>
    <w:p>
      <w:pPr>
        <w:numPr>
          <w:ilvl w:val="0"/>
          <w:numId w:val="1002"/>
        </w:numPr>
      </w:pPr>
      <w:r>
        <w:t xml:space="preserve">CIRAD, Montpellier, France</w:t>
      </w:r>
    </w:p>
    <w:p>
      <w:pPr>
        <w:numPr>
          <w:ilvl w:val="0"/>
          <w:numId w:val="1002"/>
        </w:numPr>
      </w:pPr>
      <w:r>
        <w:t xml:space="preserve">School of Biological Sciences, University of Nebraska-Lincoln, USA 68588</w:t>
      </w:r>
    </w:p>
    <w:p>
      <w:pPr>
        <w:numPr>
          <w:ilvl w:val="0"/>
          <w:numId w:val="1002"/>
        </w:numPr>
      </w:pPr>
      <w:r>
        <w:t xml:space="preserve">Center for Plant Science Innovation, University of Nebraska – Lincoln, USA 68588</w:t>
      </w:r>
    </w:p>
    <w:p>
      <w:pPr>
        <w:numPr>
          <w:ilvl w:val="0"/>
          <w:numId w:val="1002"/>
        </w:numPr>
      </w:pPr>
      <w:r>
        <w:t xml:space="preserve">Canadian Forest Service, Northern Forestry Centre, Edmonton, Alberta, Canada</w:t>
      </w:r>
    </w:p>
    <w:p>
      <w:pPr>
        <w:numPr>
          <w:ilvl w:val="0"/>
          <w:numId w:val="1002"/>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 uniquely valuable long-term record for understanding how climate and other environmental drivers shape individual tree growth and forest productivity.</w:t>
      </w:r>
      <w:r>
        <w:t xml:space="preserve"> </w:t>
      </w:r>
      <w:r>
        <w:t xml:space="preserve">However, conventional tree-ring analysis methods are not designed to simultaneously account for the effects of climate, tree size, and other environmental drivers on individual tree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tree-ring data from 3811 trees representing 40 species at 10 globally distributed sites, showing that water, temperature, DBH, and time have additively, and often interactively, influenced annual growth over the past 120 years.</w:t>
      </w:r>
      <w:r>
        <w:t xml:space="preserve"> </w:t>
      </w:r>
      <w:r>
        <w:t xml:space="preserve">Growth responses were predominantly positive to precipitation and negative to temperature, with both included in 78% of top models, and with non-linear responses prevalent (</w:t>
      </w:r>
      <w:r>
        <w:rPr>
          <w:iCs/>
          <w:i/>
        </w:rPr>
        <w:t xml:space="preserve">##%</w:t>
      </w:r>
      <w:r>
        <w:t xml:space="preserve"> </w:t>
      </w:r>
      <w:r>
        <w:t xml:space="preserve">of relationships).</w:t>
      </w:r>
      <w:r>
        <w:t xml:space="preserve"> </w:t>
      </w:r>
      <w:r>
        <w:t xml:space="preserve">Interactions between DBH and climate were common (44% of cases tested).</w:t>
      </w:r>
      <w:r>
        <w:t xml:space="preserve"> </w:t>
      </w:r>
      <w:r>
        <w:t xml:space="preserve">Growth rates – expressed as ring widths, basal area increments, or biomass increments – varied non-linearly with DBH.</w:t>
      </w:r>
      <w:r>
        <w:t xml:space="preserve"> </w:t>
      </w:r>
      <w:r>
        <w:t xml:space="preserve">Accounting for DBH, growth rate declined over time for 90% of species-site combinations.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r>
        <w:t xml:space="preserve"> </w:t>
      </w:r>
      <w:r>
        <w:rPr>
          <w:iCs/>
          <w:i/>
        </w:rPr>
        <w:t xml:space="preserve">As global change pressures intensify and the need to understand changing forest dynamics becomes increasingly urgent, we expect that this approach will prove valuable to understanding drivers of tree growth and forest change.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 </w:t>
      </w:r>
      <w:r>
        <w:t xml:space="preserve">and how it has changed through time</w:t>
      </w:r>
      <w:r>
        <w:t xml:space="preserve"> </w:t>
      </w:r>
      <w:r>
        <w:t xml:space="preserve">(Au et al., 2020; Babst et al., 2019; Maxwell et al., 2016; Sniderhan &amp; Baltzer, 2016; Wilmking et al., 2020)</w:t>
      </w:r>
      <w:r>
        <w:t xml:space="preserve">.</w:t>
      </w:r>
      <w:r>
        <w:t xml:space="preserve"> </w:t>
      </w:r>
      <w:r>
        <w:t xml:space="preserve">Combined with forest censuses, they can be used to estimate forest woody productivity</w:t>
      </w:r>
      <w:r>
        <w:t xml:space="preserve"> </w:t>
      </w:r>
      <w:r>
        <w:t xml:space="preserve">(Davis et al., 2009; Dye et al., 2016; Graumlich et al., 1989; Teets, Fraver, Hollinger, et al., 2018)</w:t>
      </w:r>
      <w:r>
        <w:t xml:space="preserve"> </w:t>
      </w:r>
      <w:r>
        <w:t xml:space="preserve">and its climate sensitivity</w:t>
      </w:r>
      <w:r>
        <w:t xml:space="preserve"> </w:t>
      </w:r>
      <w:r>
        <w:t xml:space="preserve">(Helcoski et al., 2019; Klesse et al., 2018; Teets, Fraver, Weiskittel, et al., 2018)</w:t>
      </w:r>
      <w:r>
        <w:t xml:space="preserve">.</w:t>
      </w:r>
      <w:r>
        <w:t xml:space="preserve"> </w:t>
      </w:r>
      <w:r>
        <w:t xml:space="preserve">Tree rings also provide the long-term perspective critical to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particularly climate change, and thereby reducing the enormous uncertainty surrounding future contributions of Earth’s forests to the global carbon cycle</w:t>
      </w:r>
      <w:r>
        <w:t xml:space="preserve"> </w:t>
      </w:r>
      <w:r>
        <w:t xml:space="preserve">(Arora et al., 2020)</w:t>
      </w:r>
      <w:r>
        <w:t xml:space="preserve">.</w:t>
      </w:r>
    </w:p>
    <w:p>
      <w:pPr>
        <w:pStyle w:val="BodyText"/>
      </w:pP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and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productivity in the current era of rapid environmental change.</w:t>
      </w:r>
      <w:r>
        <w:t xml:space="preserve"> </w:t>
      </w:r>
      <w:r>
        <w:t xml:space="preserve">To realistically estimate forest woody productivity, it is necessary to measure or model the growth rate of the individual trees within the stand based on the primary biotic and environmental drivers.</w:t>
      </w:r>
      <w:r>
        <w:t xml:space="preserve"> </w:t>
      </w:r>
      <w:r>
        <w:t xml:space="preserve">Needed is an analysis framework that can capture the additive and interactive effects of climate, tree size (most commonly diameter breast height, DBH), and other environmental drivers</w:t>
      </w:r>
      <w:r>
        <w:t xml:space="preserve"> </w:t>
      </w:r>
      <w:r>
        <w:t xml:space="preserve">(e.g., Evans et al., 2017; Klesse et al., 2020; Rollinson et al., 2021)</w:t>
      </w:r>
      <w:r>
        <w:t xml:space="preserve">, which may often be best described by nonlinear functions</w:t>
      </w:r>
      <w:r>
        <w:t xml:space="preserve"> </w:t>
      </w:r>
      <w:r>
        <w:t xml:space="preserve">(REFS, Rollinson et al., 2021)</w:t>
      </w:r>
      <w:r>
        <w:t xml:space="preserve">.</w:t>
      </w:r>
      <w:r>
        <w:t xml:space="preserve"> </w:t>
      </w:r>
      <w:r>
        <w:t xml:space="preserve">While multifactorial and sometimes non-linear individual-based analysis frameworks have been applied</w:t>
      </w:r>
      <w:r>
        <w:t xml:space="preserve"> </w:t>
      </w:r>
      <w:r>
        <w:t xml:space="preserve">(e.g., REFS, Evans et al., 2017; Rollinson et al., 2021)</w:t>
      </w:r>
      <w:r>
        <w:t xml:space="preserve">, their use has been relatively limited, and as a result we lack synthetic, global-scale understanding of some of the key questions that may be addressed using this such an approach (Table 1).</w:t>
      </w:r>
      <w:r>
        <w:t xml:space="preserve"> </w:t>
      </w:r>
      <w:r>
        <w:rPr>
          <w:iCs/>
          <w:i/>
        </w:rPr>
        <w:t xml:space="preserve">Moreover, while tree-ring data has been used for benchmarking dynamic global vegetation models [DGVMs, e.g., klesse_combined_2018], an individual-based analysis approach focusing on multiple drivers including DBH would offer more opportunities for using tree-ring data as benchmarking tools for demographic DGVMs [</w:t>
      </w:r>
      <w:hyperlink r:id="rId30">
        <w:r>
          <w:rPr>
            <w:rStyle w:val="Hyperlink"/>
            <w:iCs/>
            <w:i/>
          </w:rPr>
          <w:t xml:space="preserve">REFS?</w:t>
        </w:r>
      </w:hyperlink>
      <w:r>
        <w:rPr>
          <w:iCs/>
          <w:i/>
        </w:rPr>
        <w:t xml:space="preserve">].</w:t>
      </w:r>
    </w:p>
    <w:p>
      <w:pPr>
        <w:pStyle w:val="BodyText"/>
      </w:pPr>
      <w:r>
        <w:t xml:space="preserve">Understanding the climate sensitivity of tree growth is critical to predicting forest dynamics and productivity as the climate changes.</w:t>
      </w:r>
      <w:r>
        <w:t xml:space="preserve"> </w:t>
      </w:r>
      <w:r>
        <w:t xml:space="preserve">Over the vast majority of Earth’s forested regions, water is the primary climatic factor limiting tree growth, whereas low temperatures are the strongest limitation in some high latitude or high elevation sites</w:t>
      </w:r>
      <w:r>
        <w:t xml:space="preserve"> </w:t>
      </w:r>
      <w:r>
        <w:t xml:space="preserve">(Babst et al., 2019)</w:t>
      </w:r>
      <w:r>
        <w:t xml:space="preserve">.</w:t>
      </w:r>
      <w:r>
        <w:t xml:space="preserve"> </w:t>
      </w:r>
      <w:r>
        <w:t xml:space="preserve">The classic dendrochronological approach to characterizing the climate sensitivity of tree growth describes linear relationships between the main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w:t>
      </w:r>
      <w:r>
        <w:t xml:space="preserve"> </w:t>
      </w:r>
      <w:r>
        <w:rPr>
          <w:bCs/>
          <w:b/>
        </w:rPr>
        <w:t xml:space="preserve">REFS</w:t>
      </w:r>
      <w:r>
        <w:t xml:space="preserve">, Buntgen et al., 2011)</w:t>
      </w:r>
      <w:r>
        <w:t xml:space="preserve">, more in-depth characterization of climate sensitivity across a representative sample of all trees in a forest stand is desirable for efforts to understand forest productivity and its climate responses</w:t>
      </w:r>
      <w:r>
        <w:t xml:space="preserve"> </w:t>
      </w:r>
      <w:r>
        <w:t xml:space="preserve">(Babst et al., 2018)</w:t>
      </w:r>
      <w:r>
        <w:t xml:space="preserve">.</w:t>
      </w:r>
      <w:r>
        <w:t xml:space="preserve"> </w:t>
      </w:r>
      <w:r>
        <w:t xml:space="preserve">First, moisture and temperature are known to jointly shape tree growth</w:t>
      </w:r>
      <w:r>
        <w:t xml:space="preserve"> </w:t>
      </w:r>
      <w:r>
        <w:t xml:space="preserve">(Beedlow et al., 2013; Foster et al., 2016)</w:t>
      </w:r>
      <w:r>
        <w:t xml:space="preserve"> </w:t>
      </w:r>
      <w:r>
        <w:t xml:space="preserve">and forest productivity</w:t>
      </w:r>
      <w:r>
        <w:t xml:space="preserve"> </w:t>
      </w:r>
      <w:r>
        <w:t xml:space="preserve">(e.g., Alexander et al., 2018; Banbury Morgan et al., 2021)</w:t>
      </w:r>
      <w:r>
        <w:t xml:space="preserve">, yet growth sensitivity to their additive or interactive effects is not commonly considered</w:t>
      </w:r>
      <w:r>
        <w:t xml:space="preserve"> </w:t>
      </w:r>
      <w:r>
        <w:t xml:space="preserve">(but see Foster et al., 2016; Meko et al., 2011; Sánchez-Salguero et al., 2015)</w:t>
      </w:r>
      <w:r>
        <w:t xml:space="preserve">.</w:t>
      </w:r>
      <w:r>
        <w:t xml:space="preserve"> </w:t>
      </w:r>
      <w:r>
        <w:t xml:space="preserve">While drought metrics such as the Standardised Precipitation-Evapotranspiration Index [SPEI, REF] are commonly used to assess the joint influence of moisture and temperature, we hypothesize hypothesize that they commonly influence growth over different seasonal windows (Table 1) such that their effects cannot be fully captured by a single metric such as SPEI.</w:t>
      </w:r>
      <w:r>
        <w:t xml:space="preserve"> </w:t>
      </w:r>
      <w:r>
        <w:t xml:space="preserve">In addition, based on the predominance of nonlinear climate responses of tree growth over both smaller and larger spatiotemporal scales</w:t>
      </w:r>
      <w:r>
        <w:t xml:space="preserve"> </w:t>
      </w:r>
      <w:r>
        <w:t xml:space="preserve">(Banbury Morgan et al., 2021; e.g., Kumarathunge et al., 2019)</w:t>
      </w:r>
      <w:r>
        <w:t xml:space="preserve">,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while the influence of DBH is typically removed through detrending</w:t>
      </w:r>
      <w:r>
        <w:t xml:space="preserve"> </w:t>
      </w:r>
      <w:r>
        <w:t xml:space="preserve">(Cook &amp; Peters, 1997)</w:t>
      </w:r>
      <w:r>
        <w:t xml:space="preserve">, thereby eliminating the potential to directly model its influence on climate sensitivity, we hypothesize that interactive effects of DBH and climate are, in fact, quite common in forest settings</w:t>
      </w:r>
      <w:r>
        <w:t xml:space="preserve"> </w:t>
      </w:r>
      <w:r>
        <w:t xml:space="preserve">(Bennett et al., 2015; McGregor et al., 2020; Rollinson et al., 2021; Table 1, Trouillier et al., 2019)</w:t>
      </w:r>
      <w:r>
        <w:t xml:space="preserve">.</w:t>
      </w:r>
    </w:p>
    <w:bookmarkStart w:id="31" w:name="dbh"/>
    <w:p>
      <w:pPr>
        <w:pStyle w:val="Heading2"/>
      </w:pPr>
      <w:r>
        <w:rPr>
          <w:rStyle w:val="SectionNumber"/>
        </w:rPr>
        <w:t xml:space="preserve">0.1</w:t>
      </w:r>
      <w:r>
        <w:tab/>
      </w:r>
      <w:r>
        <w:t xml:space="preserve">DBH</w:t>
      </w:r>
    </w:p>
    <w:p>
      <w:pPr>
        <w:pStyle w:val="FirstParagraph"/>
      </w:pPr>
      <w:r>
        <w:t xml:space="preserve">Tree stem diameter, DBH, scales predictably with numerous traits affecting tree physiology [e.g., height, crown size and position, root mass, hydraulic architecture,</w:t>
      </w:r>
      <w:r>
        <w:t xml:space="preserve"> </w:t>
      </w:r>
      <w:r>
        <w:t xml:space="preserve">Enquist &amp; Niklas (2002)</w:t>
      </w:r>
      <w:r>
        <w:t xml:space="preserve">;</w:t>
      </w:r>
      <w:r>
        <w:t xml:space="preserve"> </w:t>
      </w:r>
      <w:r>
        <w:t xml:space="preserve">Niklas (2004)</w:t>
      </w:r>
      <w:r>
        <w:t xml:space="preserve">;</w:t>
      </w:r>
      <w:r>
        <w:t xml:space="preserve"> </w:t>
      </w:r>
      <w:r>
        <w:rPr>
          <w:bCs/>
          <w:b/>
        </w:rPr>
        <w:t xml:space="preserve">REF</w:t>
      </w:r>
      <w:r>
        <w:t xml:space="preserve">] and therefore is itself linked to growth</w:t>
      </w:r>
      <w:r>
        <w:t xml:space="preserve"> </w:t>
      </w:r>
      <w:r>
        <w:t xml:space="preserve">(Foster et al., 2016; e.g., Muller-Landau et al., 2006)</w:t>
      </w:r>
      <w:r>
        <w:t xml:space="preserve"> </w:t>
      </w:r>
      <w:r>
        <w:t xml:space="preserve">and its climate sensitivity</w:t>
      </w:r>
      <w:r>
        <w:t xml:space="preserve"> </w:t>
      </w:r>
      <w:r>
        <w:t xml:space="preserve">(e.g., Bennett et al., 2015; McGregor et al., 2020)</w:t>
      </w:r>
      <w:r>
        <w:t xml:space="preserve">.</w:t>
      </w:r>
      <w:r>
        <w:t xml:space="preserve"> </w:t>
      </w:r>
      <w:r>
        <w:t xml:space="preserve">To use tree rings to predict tree growth, ecosystem productivity, and forest dynamics, we need models that include DBH</w:t>
      </w:r>
      <w:r>
        <w:t xml:space="preserve"> </w:t>
      </w:r>
      <w:r>
        <w:t xml:space="preserve">(e.g., Evans et al., 2017; Klesse et al., 2020)</w:t>
      </w:r>
      <w:r>
        <w:t xml:space="preserve"> </w:t>
      </w:r>
      <w:r>
        <w:t xml:space="preserve">and its potential climate interactions</w:t>
      </w:r>
      <w:r>
        <w:t xml:space="preserve"> </w:t>
      </w:r>
      <w:r>
        <w:t xml:space="preserve">(e.g., Rollinson et al., 2021)</w:t>
      </w:r>
      <w:r>
        <w:t xml:space="preserve">.</w:t>
      </w:r>
      <w:r>
        <w:t xml:space="preserve"> </w:t>
      </w:r>
      <w:r>
        <w:t xml:space="preserve">Despite the fundamental importance of a solid understanding of the relationship between DBH and growth, there remain inconsistencies as to what is considered a typical growth pattern.</w:t>
      </w:r>
      <w:r>
        <w:t xml:space="preserve"> </w:t>
      </w:r>
      <w:r>
        <w:t xml:space="preserve">In dendrochonology, the</w:t>
      </w:r>
      <w:r>
        <w:t xml:space="preserve"> </w:t>
      </w:r>
      <w:r>
        <w:t xml:space="preserve">“</w:t>
      </w:r>
      <w:r>
        <w:t xml:space="preserve">textbook</w:t>
      </w:r>
      <w:r>
        <w:t xml:space="preserve">”</w:t>
      </w:r>
      <w:r>
        <w:t xml:space="preserve"> </w:t>
      </w:r>
      <w:r>
        <w:t xml:space="preserve">pattern of radial stem growth increments (ring width, RW) is one of rapid initial growth followed by a slow decline</w:t>
      </w:r>
      <w:r>
        <w:t xml:space="preserve"> </w:t>
      </w:r>
      <w:r>
        <w:t xml:space="preserve">(Fritts, 1976)</w:t>
      </w:r>
      <w:r>
        <w:t xml:space="preserve">, whereas forest census data reveals a pattern of increasing RW with DBH across globally distributed forests</w:t>
      </w:r>
      <w:r>
        <w:t xml:space="preserve"> </w:t>
      </w:r>
      <w:r>
        <w:t xml:space="preserve">(K. J. Anderson-Teixeira, McGarvey, et al., 2015; Muller-Landau et al., 2006)</w:t>
      </w:r>
      <w:r>
        <w:t xml:space="preserve">.</w:t>
      </w:r>
      <w:r>
        <w:t xml:space="preserve"> </w:t>
      </w:r>
      <w:r>
        <w:t xml:space="preserve">We hypothesize that this discrepancy is primarily a distinction between trees that established in the open, as opposed to in the understory (Table 1).</w:t>
      </w:r>
      <w:r>
        <w:t xml:space="preserve"> </w:t>
      </w:r>
      <w:r>
        <w:t xml:space="preserve">In addition, dendrochonology studies often observe or assume that basal area increment (BAI) is constant with DBH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biomass increment</w:t>
      </w:r>
      <w:r>
        <w:t xml:space="preserve"> </w:t>
      </w:r>
      <m:oMath>
        <m:r>
          <m:t>Δ</m:t>
        </m:r>
      </m:oMath>
      <w:r>
        <w:t xml:space="preserve">AGB increases continuously with DBH</w:t>
      </w:r>
      <w:r>
        <w:t xml:space="preserve"> </w:t>
      </w:r>
      <w:r>
        <w:t xml:space="preserve">(Foster et al., 2016; Meakem et al., 2018; Stephenson et al., 2014)</w:t>
      </w:r>
      <w:r>
        <w:t xml:space="preserve"> </w:t>
      </w:r>
      <w:r>
        <w:t xml:space="preserve">or peaks and declines as trees divert carbon to other functions such as respiration [</w:t>
      </w:r>
      <w:r>
        <w:rPr>
          <w:bCs/>
          <w:b/>
        </w:rPr>
        <w:t xml:space="preserve">REFS</w:t>
      </w:r>
      <w:r>
        <w:t xml:space="preserve">] and reproduction</w:t>
      </w:r>
      <w:r>
        <w:t xml:space="preserve"> </w:t>
      </w:r>
      <w:r>
        <w:t xml:space="preserve">(Thomas, 2011)</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A solid understanding of the ontogeny of tree growth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Rising atmospheric CO</w:t>
      </w:r>
      <w:r>
        <w:rPr>
          <w:vertAlign w:val="subscript"/>
        </w:rPr>
        <w:t xml:space="preserve">2</w:t>
      </w:r>
      <w:r>
        <w:t xml:space="preserve"> </w:t>
      </w:r>
      <w:r>
        <w:t xml:space="preserve">concentrations, and changes in atmospheric deposition of sulfur dioxide (SO</w:t>
      </w:r>
      <w:r>
        <w:rPr>
          <w:vertAlign w:val="subscript"/>
        </w:rPr>
        <w:t xml:space="preserve">2</w:t>
      </w:r>
      <w:r>
        <w:t xml:space="preserve">) and nitrogen oxides (NO</w:t>
      </w:r>
      <w:r>
        <w:rPr>
          <w:vertAlign w:val="subscript"/>
        </w:rPr>
        <w:t xml:space="preserve">x</w:t>
      </w:r>
      <w:r>
        <w:t xml:space="preserve">), and indirect effects of climate change are all potentially influencing tree growth</w:t>
      </w:r>
      <w:r>
        <w:t xml:space="preserve"> </w:t>
      </w:r>
      <w:r>
        <w:t xml:space="preserve">(Belmecheri et al., 2021; Levesque et al., 2017; Mathias &amp; Thomas, 2018; Maxwell et al., 2019; Takahashi et al., 2020; Walker et al., 2020)</w:t>
      </w:r>
      <w:r>
        <w:t xml:space="preserve">, and 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that may not be universal in forest settings.</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ontogenetic growth trends,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 fundamentally driven by the limitation that it is not possible to use a contemporary set of tree cores to obtain a representative sample of a species’s population at all points throughout the history of a dynamically changing stand.</w:t>
      </w:r>
      <w:r>
        <w:br/>
      </w:r>
      <w:r>
        <w:t xml:space="preserve">Stand dynamics strongly influence growth: tree growth rates are sensitive to competition, the intensity of which tends to increase as forests mature, affecting ecosystem level patterns of C allocation.</w:t>
      </w:r>
      <w:r>
        <w:t xml:space="preserve"> </w:t>
      </w:r>
      <w:r>
        <w:t xml:space="preserve">Ecosystem-level carbon allocation to woody growth – as opposed to leaf or fine root production, reproduction, defenses, etc. – is known to decline as forest stands age</w:t>
      </w:r>
      <w:r>
        <w:t xml:space="preserve"> </w:t>
      </w:r>
      <w:r>
        <w:t xml:space="preserve">(Collalti et al., 2020; DeLucia et al., 2007; Goulden et al., 2011; Pregitzer &amp; Euskirchen, 2004)</w:t>
      </w:r>
      <w:r>
        <w:t xml:space="preserve">.</w:t>
      </w:r>
      <w:r>
        <w:t xml:space="preserve"> </w:t>
      </w:r>
      <w:r>
        <w:t xml:space="preserve">Thus, we hypothesize that size-corrected growth rates of tree populations sampled from within secondary or severely disturbed stands (i.e., those with large recruitment pulses within the past couple centuries) will generally decline, whereas populations sampled from old-growth stands will display mixed growth trends that are more dependent on external environmental drivers (Table 1).</w:t>
      </w:r>
    </w:p>
    <w:p>
      <w:pPr>
        <w:pStyle w:val="BodyText"/>
      </w:pPr>
      <w:r>
        <w:t xml:space="preserve">Here, we develop, and apply to ten forested sites spanning 52 degrees latitude, a new method that allows simultaneous consideration of the effects of primary climate drivers (i.e., the most influential climate variables and the seasonal window over which they operate), tree size, and calendar year on annual tree growth.</w:t>
      </w:r>
      <w:r>
        <w:t xml:space="preserve"> </w:t>
      </w:r>
      <w:r>
        <w:t xml:space="preserve">This approach allows us to address the following questions and associated hypotheses (Table 1) for a globally distributed tree-ring dataset:</w:t>
      </w:r>
      <w:r>
        <w:t xml:space="preserve"> </w:t>
      </w:r>
      <w:r>
        <w:t xml:space="preserve">(1) How does interannual climate variation shape annual tree growth (ring width, RW)?</w:t>
      </w:r>
      <w:r>
        <w:t xml:space="preserve"> </w:t>
      </w:r>
      <w:r>
        <w:t xml:space="preserve">(2) How does growth rate vary with DBH?</w:t>
      </w:r>
      <w:r>
        <w:t xml:space="preserve"> </w:t>
      </w:r>
      <w:r>
        <w:t xml:space="preserve">(3) How have growth rates changed through time?</w:t>
      </w:r>
    </w:p>
    <w:p>
      <w:r>
        <w:br w:type="page"/>
      </w:r>
    </w:p>
    <w:p>
      <w:pPr>
        <w:pStyle w:val="BodyText"/>
      </w:pPr>
      <w:r>
        <w:rPr>
          <w:bCs/>
          <w:b/>
        </w:rPr>
        <w:t xml:space="preserve">Table 1 | Summary of hypotheses and specific predictions tested here, along with the frenquency at which they were supported</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8055"/>
        <w:gridCol w:w="2151"/>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interannual climate variation shape annual tree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Multi-month 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influences growth over relatively long seasonal windows (≥3 months).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10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water are predominantly positive,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these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Over shorter time scales, high temperature (T) limits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is most sensitive to T over relatively short seasonal windows (≤3 months).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 / 10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more strongly to maximum T or PET than tominimum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8 / 10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13 / 38 SSC</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18 / 38 SSC</w:t>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38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49% of SSVC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16 / 36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12 / 32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growth rate vary with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Ontogenetic patterns in ring width (RW) depend uponlight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Basal area or biomass increments peak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have size-corrected growth rates changed through time?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Size-corrected growth rates decline with time since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 old-growth forests, growth trends are mixed and more dependent on external drivers.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relatively undisturbed old-growth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3 sites</w:t>
            </w:r>
          </w:p>
        </w:tc>
      </w:tr>
      <w:tr>
        <w:trPr>
          <w:cantSplit/>
          <w:trHeight w:val="4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 / XX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 SSCV=species-site-variable combination</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There was wide variation in the distribution of record start years, which approximate the age distribution of sampled trees (Figs. S1-S10).</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minimal compared to cross-site differences (Fig. 2); however, analyses focused on interspecific differences could optimize species-specific climate sensitivity estimates by fitting</w:t>
      </w:r>
      <w:r>
        <w:t xml:space="preserve"> </w:t>
      </w:r>
      <w:r>
        <w:rPr>
          <w:iCs/>
          <w:i/>
        </w:rPr>
        <w:t xml:space="preserve">climwin</w:t>
      </w:r>
      <w:r>
        <w:t xml:space="preserve"> </w:t>
      </w:r>
      <w:r>
        <w:t xml:space="preserve">individually by species.</w:t>
      </w:r>
    </w:p>
    <w:p>
      <w:pPr>
        <w:pStyle w:val="CaptionedFigure"/>
      </w:pPr>
      <w:r>
        <w:drawing>
          <wp:inline>
            <wp:extent cx="5943600" cy="6520337"/>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520337"/>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variables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identified by</w:t>
      </w:r>
      <w:r>
        <w:t xml:space="preserve"> </w:t>
      </w:r>
      <w:r>
        <w:rPr>
          <w:iCs/>
          <w:i/>
        </w:rPr>
        <w:t xml:space="preserve">climwin</w:t>
      </w:r>
      <w:r>
        <w:t xml:space="preserve"> </w:t>
      </w:r>
      <w:r>
        <w:t xml:space="preserve">as having the lowest AIC as a candidate climate variable for the multivariate models.</w:t>
      </w:r>
    </w:p>
    <w:p>
      <w:pPr>
        <w:pStyle w:val="BodyText"/>
      </w:pPr>
      <w:r>
        <w:t xml:space="preserve">We tested whether this process identified similar climate variable-month combinations to what would be identified using traditional methods for four species (detailed in Appendix S4).</w:t>
      </w:r>
      <w:r>
        <w:t xml:space="preserve"> </w:t>
      </w:r>
      <w:r>
        <w:t xml:space="preserve">Furthermore, we explored alternate methods of climate variable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Having identified the primary climate drivers in temperature and precipitation variable groups, we next combined climate variables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 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variables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maximizing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variables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 (Figs. S58-S67).</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7"/>
    <w:bookmarkEnd w:id="38"/>
    <w:bookmarkEnd w:id="39"/>
    <w:bookmarkStart w:id="52"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S11-S14;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S11-S14).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rPr>
          <w:iCs/>
          <w:i/>
        </w:rPr>
        <w:t xml:space="preserve">Trends with year, when assessed, were consistent with those observed in a separate analysis of DBH-growth relationships by year (Figs. S58-S67).</w:t>
      </w:r>
    </w:p>
    <w:bookmarkEnd w:id="41"/>
    <w:bookmarkStart w:id="47" w:name="Climate"/>
    <w:p>
      <w:pPr>
        <w:pStyle w:val="Heading2"/>
      </w:pPr>
      <w:r>
        <w:t xml:space="preserve">Climate sensitivity</w:t>
      </w:r>
    </w:p>
    <w:bookmarkStart w:id="42" w:name="Most"/>
    <w:p>
      <w:pPr>
        <w:pStyle w:val="Heading3"/>
      </w:pPr>
      <w:r>
        <w:t xml:space="preserve">Most influencial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 (Figs. S15-S34).</w:t>
      </w:r>
      <w:r>
        <w:t xml:space="preserve"> </w:t>
      </w:r>
      <w:r>
        <w:t xml:space="preserve">For eight of 20 site-variable group (i.e., water and temperature) combinations, both both the most influential climate variable and seasonal window were identical across growth metrics (e.g., Fig. S19).</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Fig. S20),</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S18).</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Figs. S23- S24).</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most commonly coincided at least partially with months of active growth in the current year (Fig. 3; Table S1): year-round in the tropics (BCNM and HKK) or late spring/ summer outside of the tropics (n= 5 of 8).</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(Table 1).</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2"/>
    <w:bookmarkStart w:id="44"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pPr>
        <w:pStyle w:val="BodyText"/>
      </w:pPr>
      <w:r>
        <w:t xml:space="preserve">Responses to precipitation amount (PPT) and frequency (PDF) were included in the best model for all but two species, and were predominantly positive (Fig. 3).</w:t>
      </w:r>
      <w:r>
        <w:t xml:space="preserve"> </w:t>
      </w:r>
      <w:r>
        <w:t xml:space="preserve">Specifically, there were positive first-order linear terms for precipitation all but one species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S55).</w:t>
      </w:r>
    </w:p>
    <w:bookmarkEnd w:id="44"/>
    <w:bookmarkStart w:id="46" w:name="Variation"/>
    <w:p>
      <w:pPr>
        <w:pStyle w:val="Heading3"/>
      </w:pPr>
      <w:r>
        <w:t xml:space="preserve">Variation in climate sensitivity with DBH</w:t>
      </w:r>
    </w:p>
    <w:p>
      <w:pPr>
        <w:pStyle w:val="FirstParagraph"/>
      </w:pPr>
      <w:r>
        <w:t xml:space="preserve">Interactive effects of climate and DBH were found for 90 of the 203 (44%) species-variable combinations for which they were tested.</w:t>
      </w:r>
      <w:r>
        <w:t xml:space="preserve"> </w:t>
      </w:r>
      <w:r>
        <w:t xml:space="preserve">For precipitation variables, interactions were significant for 16 of the 36 (44%) interactions with RW as the growth metric (Fig. S56) and for 17 of the 36 (47%) with BAI as the growth metric (Fig. S57).</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S56) and for 50% with BAI as the growth metric (Fig. S57).</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bookmarkEnd w:id="46"/>
    <w:bookmarkEnd w:id="47"/>
    <w:bookmarkStart w:id="49"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S35-S54).</w:t>
      </w:r>
      <w:r>
        <w:t xml:space="preserve"> </w:t>
      </w:r>
      <w:r>
        <w:t xml:space="preserve">In general, DBH explained more variation in growth rates than did climate, but its relative importance varied across growth metrics and sites (Figs. S35-S54).</w:t>
      </w:r>
      <w:r>
        <w:t xml:space="preserve"> </w:t>
      </w:r>
      <w:r>
        <w:t xml:space="preserve">The relative importance of DBH tended to be least for RW, intermediate for BAI, and highest for</w:t>
      </w:r>
      <w:r>
        <w:t xml:space="preserve"> </w:t>
      </w:r>
      <m:oMath>
        <m:r>
          <m:t>Δ</m:t>
        </m:r>
      </m:oMath>
      <w:r>
        <w:t xml:space="preserve">AGB (e.g., at SCBI; Fig. S39).</w:t>
      </w:r>
      <w:r>
        <w:t xml:space="preserve"> </w:t>
      </w:r>
      <w:r>
        <w:t xml:space="preserve">However, there were exceptions, particularly when RW decreased steeply with DBH (e.g., LT; Fig. S49).</w:t>
      </w:r>
    </w:p>
    <w:p>
      <w:pPr>
        <w:pStyle w:val="BodyText"/>
      </w:pPr>
      <w:r>
        <w:t xml:space="preserve">All three growth metrics, RW, BAI, and</w:t>
      </w:r>
      <w:r>
        <w:t xml:space="preserve"> </w:t>
      </w:r>
      <m:oMath>
        <m:r>
          <m:t>Δ</m:t>
        </m:r>
      </m:oMath>
      <w:r>
        <w:t xml:space="preserve">AGB, varied with DBH for most species at all sites (Fig. 5).</w:t>
      </w:r>
      <w:r>
        <w:t xml:space="preserve"> </w:t>
      </w: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Species following this pattern either had low to at most intermediate shade tolerance (e.g.,</w:t>
      </w:r>
      <w:r>
        <w:t xml:space="preserve"> </w:t>
      </w:r>
      <w:r>
        <w:rPr>
          <w:iCs/>
          <w:i/>
        </w:rPr>
        <w:t xml:space="preserve">Melia azedarach</w:t>
      </w:r>
      <w:r>
        <w:t xml:space="preserve"> </w:t>
      </w:r>
      <w:r>
        <w:t xml:space="preserve">at HKK,</w:t>
      </w:r>
      <w:r>
        <w:t xml:space="preserve"> </w:t>
      </w:r>
      <w:r>
        <w:rPr>
          <w:iCs/>
          <w:i/>
        </w:rPr>
        <w:t xml:space="preserve">Juglans nigra</w:t>
      </w:r>
      <w:r>
        <w:t xml:space="preserve"> </w:t>
      </w:r>
      <w:r>
        <w:t xml:space="preserve">at SCBI,</w:t>
      </w:r>
      <w:r>
        <w:t xml:space="preserve"> </w:t>
      </w:r>
      <w:r>
        <w:rPr>
          <w:iCs/>
          <w:i/>
        </w:rPr>
        <w:t xml:space="preserve">Acer rubrum</w:t>
      </w:r>
      <w:r>
        <w:t xml:space="preserve"> </w:t>
      </w:r>
      <w:r>
        <w:t xml:space="preserve">at HF,</w:t>
      </w:r>
      <w:r>
        <w:t xml:space="preserve"> </w:t>
      </w:r>
      <w:r>
        <w:rPr>
          <w:iCs/>
          <w:i/>
        </w:rPr>
        <w:t xml:space="preserve">Betula papyrifera</w:t>
      </w:r>
      <w:r>
        <w:t xml:space="preserve"> </w:t>
      </w:r>
      <w:r>
        <w:t xml:space="preserve">at NIO;</w:t>
      </w:r>
      <w:r>
        <w:t xml:space="preserve"> </w:t>
      </w:r>
      <w:r>
        <w:rPr>
          <w:iCs/>
          <w:i/>
        </w:rPr>
        <w:t xml:space="preserve">Populous tremuloides</w:t>
      </w:r>
      <w:r>
        <w:t xml:space="preserve"> </w:t>
      </w:r>
      <w:r>
        <w:t xml:space="preserve">at CB; Table S2) or grew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These included, but were not limited to, shade-tolerant species at sites where they presumably established under closed-canopy conditions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Acer saccharum</w:t>
      </w:r>
      <w:r>
        <w:t xml:space="preserve"> </w:t>
      </w:r>
      <w:r>
        <w:t xml:space="preserve">at LDW,</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most commonly increasing to a peak at intermediate DBH and then declining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9"/>
    <w:bookmarkStart w:id="51"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 S35-S54).</w:t>
      </w:r>
      <w:r>
        <w:t xml:space="preserve"> </w:t>
      </w:r>
      <w:r>
        <w:t xml:space="preserve">In 90-91% of cases (depending on growth metric), the growth trend over time was negative.</w:t>
      </w:r>
      <w:r>
        <w:t xml:space="preserve"> </w:t>
      </w:r>
      <w:r>
        <w:t xml:space="preserve">Declines were particularly dramatic for</w:t>
      </w:r>
      <w:r>
        <w:t xml:space="preserve"> </w:t>
      </w:r>
      <w:r>
        <w:rPr>
          <w:iCs/>
          <w:i/>
        </w:rPr>
        <w:t xml:space="preserve">Picea mariana</w:t>
      </w:r>
      <w:r>
        <w:t xml:space="preserve"> </w:t>
      </w:r>
      <w:r>
        <w:t xml:space="preserve">at SC,</w:t>
      </w:r>
      <w:r>
        <w:t xml:space="preserve"> </w:t>
      </w:r>
      <w:r>
        <w:rPr>
          <w:iCs/>
          <w:i/>
        </w:rPr>
        <w:t xml:space="preserve">Pinus ponderosa</w:t>
      </w:r>
      <w:r>
        <w:t xml:space="preserve"> </w:t>
      </w:r>
      <w:r>
        <w:t xml:space="preserve">at LT, all four species at HF, and several species at SCBI (Fig. 6).</w:t>
      </w:r>
      <w:r>
        <w:t xml:space="preserve"> </w:t>
      </w:r>
      <w:r>
        <w:t xml:space="preserve">In such cases, models without</w:t>
      </w:r>
      <w:r>
        <w:t xml:space="preserve"> </w:t>
      </w:r>
      <w:r>
        <w:rPr>
          <w:rStyle w:val="VerbatimChar"/>
        </w:rPr>
        <w:t xml:space="preserve">year</w:t>
      </w:r>
      <w:r>
        <w:t xml:space="preserve"> </w:t>
      </w:r>
      <w:r>
        <w:t xml:space="preserve">predicted declines in growth at large DBH that should more properly be attributed to the effect of year (Figs. S35-S54).</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S35-S54).</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51"/>
    <w:bookmarkEnd w:id="52"/>
    <w:bookmarkStart w:id="57"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analysis methods were not designed to address questions that are critical to understanding whole-forest productivity (Table 1).</w:t>
      </w:r>
      <w:r>
        <w:t xml:space="preserve"> </w:t>
      </w:r>
      <w:r>
        <w:t xml:space="preserve">Our novel method provides a powerful approach to elucidate how tree growth is simultaneously shaped by climate, tree size, slowly changing environmental conditions, and their interactions (Fig. 1).</w:t>
      </w:r>
      <w:r>
        <w:t xml:space="preserve"> </w:t>
      </w:r>
      <w:r>
        <w:t xml:space="preserve">For each of these drivers individually, the method yields results that are consistent with those that would be obtained using established methods (Figs. 2, S11-S14, S58-S67; Table S5; see also Appendix S4).</w:t>
      </w:r>
      <w:r>
        <w:t xml:space="preserve"> </w:t>
      </w:r>
      <w:r>
        <w:t xml:space="preserve">By allowing these factors to be considered simultaneously, our approach opens the door to robust analyses of the joint and interactive effects of climate, tree size, and other drivers.</w:t>
      </w:r>
      <w:r>
        <w:t xml:space="preserve"> </w:t>
      </w:r>
      <w:r>
        <w:t xml:space="preserve">Applied across multiple forest types and species distributed globally across 10 sites, this method yields a more complete understanding of the drivers of variability and directional changes in tree growth over the past century (Tables 1-2).</w:t>
      </w:r>
    </w:p>
    <w:bookmarkStart w:id="53" w:name="Climate"/>
    <w:p>
      <w:pPr>
        <w:pStyle w:val="Heading2"/>
      </w:pPr>
      <w:r>
        <w:t xml:space="preserve">Climate sensitivity</w:t>
      </w:r>
    </w:p>
    <w:p>
      <w:pPr>
        <w:pStyle w:val="FirstParagraph"/>
      </w:pPr>
      <w:r>
        <w:t xml:space="preserve">Across diverse climates and forest types (Tables 2, S2), growth rates of 40 tree species generally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the majority of forests globally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This growth decrease at high temperatures is probably driven primarily by increased atmospheric dryness (PET or vapor pressure deficit) and ensuant exacerbation of observed water limitations (</w:t>
      </w:r>
      <w:r>
        <w:rPr>
          <w:bCs/>
          <w:b/>
        </w:rPr>
        <w:t xml:space="preserve">REFS</w:t>
      </w:r>
      <w:r>
        <w:t xml:space="preserve">)</w:t>
      </w:r>
      <w:r>
        <w:t xml:space="preserve"> </w:t>
      </w:r>
      <w:r>
        <w:t xml:space="preserve">(Humphrey et al., 2021; López et al., 2021)</w:t>
      </w:r>
      <w:r>
        <w:t xml:space="preserve">.</w:t>
      </w:r>
      <w:r>
        <w:t xml:space="preserve"> </w:t>
      </w:r>
      <w:r>
        <w:t xml:space="preserve">This effect occurs in addition to the effects of precipitation (Fig. 3), highlighting the fact that precipitation and temperature jointly influence drought (</w:t>
      </w:r>
      <w:r>
        <w:rPr>
          <w:bCs/>
          <w:b/>
        </w:rPr>
        <w:t xml:space="preserve">REFS?</w:t>
      </w:r>
      <w:r>
        <w:t xml:space="preserve">), but, critically, tends to occur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w:t>
      </w:r>
      <w:r>
        <w:rPr>
          <w:bCs/>
          <w:b/>
        </w:rPr>
        <w:t xml:space="preserve">REFS</w:t>
      </w:r>
      <w:r>
        <w:t xml:space="preserve">, 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variables and DBH were common (44% of cases analyzed; Figs. 4, S56, S57).</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3"/>
    <w:bookmarkStart w:id="54"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nonlinearly with DBH for the majority of site-species combinations (81 - 98% depending on growth metric; Fig. 5).</w:t>
      </w:r>
      <w:r>
        <w:t xml:space="preserve"> </w:t>
      </w:r>
      <w:r>
        <w:t xml:space="preserve">Variation in these patterns – particularly for RW, for which variation was most pronounced – was driven by two primary, interrelated factors: species ecology and stand history.</w:t>
      </w:r>
      <w:r>
        <w:t xml:space="preserve"> </w:t>
      </w:r>
      <w:r>
        <w:t xml:space="preserve">Species that would have established in fairly open conditions – i.e., shade-intolerant species (Table S2) and those at sites with more open canopies (e.g., LT, SC) – exhibited rapid initial growth, measured as RW, followed by a roughly exponential decline.</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of studies primarily based on trees that established in high-light environments, where declining RW is in part attributable to the geometric constraint that new growth is spread around an ever-growing circumference</w:t>
      </w:r>
      <w:r>
        <w:t xml:space="preserve"> </w:t>
      </w:r>
      <w:r>
        <w:t xml:space="preserve">(Biondi &amp; Qeadan, 2008; Fritts, 1976)</w:t>
      </w:r>
      <w:r>
        <w:t xml:space="preserve">.</w:t>
      </w:r>
      <w:r>
        <w:t xml:space="preserve"> </w:t>
      </w:r>
      <w:r>
        <w:t xml:space="preserve">However, within the forest settings studied here, the majority of species exhibited initially low, but increasing, RW.</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with DBH</w:t>
      </w:r>
      <w:r>
        <w:t xml:space="preserve"> </w:t>
      </w:r>
      <w:r>
        <w:t xml:space="preserve">(e.g., K. J. Anderson-Teixeira, McGarvey, et al., 2015; Helcoski et al., 2019; Muller-Landau et al., 2006)</w:t>
      </w:r>
      <w:r>
        <w:t xml:space="preserve">, or increases and subsequently decreases</w:t>
      </w:r>
      <w:r>
        <w:t xml:space="preserve"> </w:t>
      </w:r>
      <w:r>
        <w:t xml:space="preserve">(Schelhaas et al., 2018)</w:t>
      </w:r>
      <w:r>
        <w:t xml:space="preserve">.</w:t>
      </w:r>
    </w:p>
    <w:p>
      <w:pPr>
        <w:pStyle w:val="BodyText"/>
      </w:pPr>
      <w:r>
        <w:t xml:space="preserve">We found evidence of saturation or decline in BAI and</w:t>
      </w:r>
      <w:r>
        <w:t xml:space="preserve"> </w:t>
      </w:r>
      <m:oMath>
        <m:r>
          <m:t>Δ</m:t>
        </m:r>
      </m:oMath>
      <w:r>
        <w:t xml:space="preserve">AGB for the majority (77%) of species-site combinations analyzed (Fig. 5), contrasting with findings of cross-sectional analyses showing that</w:t>
      </w:r>
      <w:r>
        <w:t xml:space="preserve"> </w:t>
      </w:r>
      <m:oMath>
        <m:r>
          <m:t>Δ</m:t>
        </m:r>
      </m:oMath>
      <w:r>
        <w:t xml:space="preserve">AGB increases continuously with DBH</w:t>
      </w:r>
      <w:r>
        <w:t xml:space="preserve"> </w:t>
      </w:r>
      <w:r>
        <w:t xml:space="preserve">(Meakem et al., 2018; Stephenson et al., 2014)</w:t>
      </w:r>
      <w:r>
        <w:t xml:space="preserve">, which has also been observed in tree rings</w:t>
      </w:r>
      <w:r>
        <w:t xml:space="preserve"> </w:t>
      </w:r>
      <w:r>
        <w:t xml:space="preserve">(Foster et al., 2016)</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S35-S54), suggesting that some of the declines (Fig. 5) are more properly attributed to the effect of year than DBH.</w:t>
      </w:r>
    </w:p>
    <w:bookmarkEnd w:id="54"/>
    <w:bookmarkStart w:id="55"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w:t>
      </w:r>
      <w:r>
        <w:t xml:space="preserve"> </w:t>
      </w:r>
      <w:r>
        <w:t xml:space="preserve">First, changes in climate can drive dramatic growth trends (e.g., declines at LT) and therefore must be factored out in order to capture the influence of other environmental drivers.</w:t>
      </w:r>
      <w:r>
        <w:t xml:space="preserve"> </w:t>
      </w:r>
      <w:r>
        <w:t xml:space="preserve">Second, correcting for any relationship between tree growth rate and age or DBH (Fig. 5) is essential for unbiased reconstruction of growth trends, yet the reliability of existing analytical approaches remains mixed [</w:t>
      </w:r>
      <w:r>
        <w:rPr>
          <w:bCs/>
          <w:b/>
        </w:rPr>
        <w:t xml:space="preserve">REFS</w:t>
      </w:r>
      <w:r>
        <w:t xml:space="preserve">;</w:t>
      </w:r>
      <w:r>
        <w:t xml:space="preserve"> </w:t>
      </w:r>
      <w:r>
        <w:t xml:space="preserve">Peters et al. (2015)</w:t>
      </w:r>
      <w:r>
        <w:t xml:space="preserve">].</w:t>
      </w:r>
      <w:r>
        <w:t xml:space="preserve"> </w:t>
      </w:r>
      <w:r>
        <w:t xml:space="preserve">A comparative analysis of several methods revealed low reliability of two of the most commonly used approaches, conservative detrending and basal area correction</w:t>
      </w:r>
      <w:r>
        <w:t xml:space="preserve"> </w:t>
      </w:r>
      <w:r>
        <w:t xml:space="preserve">(Peters et al., 2015)</w:t>
      </w:r>
      <w:r>
        <w:t xml:space="preserve">, both of which assume a constancy of growth in mature trees that is violated by the DBH growth trends observed here (Fig. 5).</w:t>
      </w:r>
      <w:r>
        <w:t xml:space="preserve"> </w:t>
      </w:r>
      <w:r>
        <w:t xml:space="preserve">Our method is conceptually parallel to regional curve standardization, which performed better at growth trend detection in the analysis of</w:t>
      </w:r>
      <w:r>
        <w:t xml:space="preserve"> </w:t>
      </w:r>
      <w:r>
        <w:t xml:space="preserve">Peters et al. (2015)</w:t>
      </w:r>
      <w:r>
        <w:t xml:space="preserve">, but differs in that we standardize relative to DBH rather than age, correct for any trends in the most influential climate drivers, and include random effects of tree to account for persistent growth differences among individuals (see next paragraph).</w:t>
      </w:r>
      <w:r>
        <w:t xml:space="preserve"> </w:t>
      </w:r>
      <w:r>
        <w:t xml:space="preserve">It is important to bear in mind, however, that growth trends in relation to DBH and year are linked, such that poor model representation of the ontogenetic effects of growth could bias estimated trends over time.</w:t>
      </w:r>
      <w:r>
        <w:t xml:space="preserve"> </w:t>
      </w:r>
      <w:r>
        <w:t xml:space="preserve">While consistency in the direction of estimated temporal trends across growth metrics and relative to an alternative analysis method (Figs. S58-S67) rules out the potential for severe bias, the close linkage between DBH and calendar year implies that it is difficult, if not impossible, to fully disentangle the two statistically.</w:t>
      </w:r>
    </w:p>
    <w:p>
      <w:pPr>
        <w:pStyle w:val="BodyText"/>
      </w:pPr>
      <w:r>
        <w:t xml:space="preserve">A third third important challenge is that persistent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probably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While including a random effect of tree should help to avoid the the most severe potential biases associated with persistent growth differences across individuals, it is not possible to obtain fully representative samples of tree populations at all points throughout the history of a stand, as would be required to ensure unbiased representation through time</w:t>
      </w:r>
      <w:r>
        <w:t xml:space="preserve"> </w:t>
      </w:r>
      <w:r>
        <w:t xml:space="preserve">(Bowman et al., 2013; Brienen et al., 2017, 2012)</w:t>
      </w:r>
      <w:r>
        <w:t xml:space="preserve">.</w:t>
      </w:r>
      <w:r>
        <w:t xml:space="preserve"> </w:t>
      </w:r>
      <w:r>
        <w:t xml:space="preserve">Thus, observed trends should be interpreted as representative of only the sampled population of trees, as opposed to all individuals of the species that existed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Our analysis revealed that growth rates changed directionally for the majority (73-78%, depending on growth metric) of site-species combinations selected for analysis based on the sampling representation of DBH by year (Fig. 6).</w:t>
      </w:r>
      <w:r>
        <w:t xml:space="preserve"> </w:t>
      </w:r>
      <w:r>
        <w:t xml:space="preserve">The majority of negative growth trends detected here (Fig. 6) are probably attributable to stand dynamics as cohorts and stands develop oer time, and are pretty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Figs. S1-S10),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Such a trend is not indicative of a directional response to changing environmental conditions that would be generalizable across stands (e.g., rising atmospheric CO</w:t>
      </w:r>
      <w:r>
        <w:rPr>
          <w:vertAlign w:val="subscript"/>
        </w:rPr>
        <w:t xml:space="preserve">2</w:t>
      </w:r>
      <w:r>
        <w:t xml:space="preserve">), but it does indicate declining growth of the species within the stand.</w:t>
      </w:r>
      <w:r>
        <w:t xml:space="preserve"> </w:t>
      </w:r>
      <w:r>
        <w:t xml:space="preserve">This can occur, for example, when a species undergoes a dramatic decline in recruitment within a stand (e.g.,</w:t>
      </w:r>
      <w:r>
        <w:t xml:space="preserve"> </w:t>
      </w:r>
      <w:r>
        <w:rPr>
          <w:iCs/>
          <w:i/>
        </w:rPr>
        <w:t xml:space="preserve">Quercus</w:t>
      </w:r>
      <w:r>
        <w:t xml:space="preserve"> </w:t>
      </w:r>
      <w:r>
        <w:t xml:space="preserve">spp. at SCBI;</w:t>
      </w:r>
      <w:r>
        <w:t xml:space="preserve"> </w:t>
      </w:r>
      <w:r>
        <w:rPr>
          <w:iCs/>
          <w:i/>
        </w:rPr>
        <w:t xml:space="preserve">Abies alba</w:t>
      </w:r>
      <w:r>
        <w:t xml:space="preserve"> </w:t>
      </w:r>
      <w:r>
        <w:t xml:space="preserve">at ZOF), such that fast-growing individuals disappear from progressively larger DBH classes as time proceeds.</w:t>
      </w:r>
      <w:r>
        <w:t xml:space="preserve"> </w:t>
      </w:r>
      <w:r>
        <w:t xml:space="preserve">In secondary stands, particularly those where many of the sampled species recruited in pulses that were followed by low recruitment (e.g., SCBI, HF; Appendix S1, Figs. S1-S10),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Even within older forests, light-demanding species that establish in gaps (e.g.,</w:t>
      </w:r>
      <w:r>
        <w:t xml:space="preserve"> </w:t>
      </w:r>
      <w:r>
        <w:rPr>
          <w:iCs/>
          <w:i/>
        </w:rPr>
        <w:t xml:space="preserve">Jacaranda copaia</w:t>
      </w:r>
      <w:r>
        <w:t xml:space="preserve"> </w:t>
      </w:r>
      <w:r>
        <w:t xml:space="preserve">at BCNM,</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For more shade-tolerant species in stands with no known major disturbance within the past 150 years (ZOF, CB), mixed growth trends probably reflect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p>
    <w:p>
      <w:pPr>
        <w:pStyle w:val="BodyText"/>
      </w:pPr>
      <w:r>
        <w:t xml:space="preserve">In a few instances, directional changes in growth are likely attributable to abiotic drivers.</w:t>
      </w:r>
      <w:r>
        <w:t xml:space="preserve"> </w:t>
      </w:r>
      <w:r>
        <w:t xml:space="preserve">At Zofin, size-corrected growth rates were lowest in the 1970s and 1980s (Fig. S63),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In New Mexico (LT), where growth rates of</w:t>
      </w:r>
      <w:r>
        <w:t xml:space="preserve"> </w:t>
      </w:r>
      <w:r>
        <w:rPr>
          <w:iCs/>
          <w:i/>
        </w:rPr>
        <w:t xml:space="preserve">Pinus ponderosa</w:t>
      </w:r>
      <w:r>
        <w:t xml:space="preserve"> </w:t>
      </w:r>
      <w:r>
        <w:t xml:space="preserve">declined, it is possible that the primary climate drivers identified here do not capture all aspects of a strong regional warming and drying trend</w:t>
      </w:r>
      <w:r>
        <w:t xml:space="preserve"> </w:t>
      </w:r>
      <w:r>
        <w:t xml:space="preserve">(Touchan et al., 2011; Williams et al., 2013)</w:t>
      </w:r>
      <w:r>
        <w:t xml:space="preserve">.</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There is a notable lack of evidence that growth rates of any species benefited substantially from increasing CO</w:t>
      </w:r>
      <w:r>
        <w:rPr>
          <w:vertAlign w:val="subscript"/>
        </w:rPr>
        <w:t xml:space="preserve">2</w:t>
      </w:r>
      <w:r>
        <w:t xml:space="preserve">, corroborating previous analyses from HKK</w:t>
      </w:r>
      <w:r>
        <w:t xml:space="preserve"> </w:t>
      </w:r>
      <w:r>
        <w:t xml:space="preserve">(Groenendijk et al., 2015; Nock et al., 2011; van der Sleen et al., 2015, 2017)</w:t>
      </w:r>
      <w:r>
        <w:t xml:space="preserve">.</w:t>
      </w:r>
      <w:r>
        <w:t xml:space="preserve"> </w:t>
      </w:r>
      <w:r>
        <w:t xml:space="preserve">With a few exceptions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Fig. 6), any growth benefit from elevated CO</w:t>
      </w:r>
      <w:r>
        <w:rPr>
          <w:vertAlign w:val="subscript"/>
        </w:rPr>
        <w:t xml:space="preserve">2</w:t>
      </w:r>
      <w:r>
        <w:t xml:space="preserve"> </w:t>
      </w:r>
      <w:r>
        <w:t xml:space="preserve">was outweighed by some combination of demographic or successional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albeit contrasting with some</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5"/>
    <w:bookmarkStart w:id="56"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 expressed in any metric – almost universally varies with DBH (Fig. 5),</w:t>
      </w:r>
      <w:r>
        <w:t xml:space="preserve"> </w:t>
      </w:r>
      <w:r>
        <w:t xml:space="preserve">and (4) current or recently living trees commonly show growth declines in response to some combination of stand dynamics and environmental change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6"/>
    <w:bookmarkEnd w:id="57"/>
    <w:bookmarkStart w:id="58"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8"/>
    <w:bookmarkStart w:id="59"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9"/>
    <w:bookmarkStart w:id="60"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60"/>
    <w:bookmarkStart w:id="61"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S1-S10. Density plots of core record start years by species for all sites.</w:t>
      </w:r>
    </w:p>
    <w:p>
      <w:pPr>
        <w:pStyle w:val="BodyText"/>
      </w:pPr>
      <w:r>
        <w:t xml:space="preserve">Figures S11-S14. Comparison of our approach with traditional methods of identifying climate signals for four species.</w:t>
      </w:r>
    </w:p>
    <w:p>
      <w:pPr>
        <w:pStyle w:val="BodyText"/>
      </w:pPr>
      <w:r>
        <w:t xml:space="preserve">Figures S15-S34. Climwin output for water and temperature variable groups at all sites.</w:t>
      </w:r>
    </w:p>
    <w:p>
      <w:pPr>
        <w:pStyle w:val="BodyText"/>
      </w:pPr>
      <w:r>
        <w:t xml:space="preserve">Figures S35-S54. Best GLS models models excluding and including year for all sites.</w:t>
      </w:r>
    </w:p>
    <w:p>
      <w:pPr>
        <w:pStyle w:val="BodyText"/>
      </w:pPr>
      <w:r>
        <w:t xml:space="preserve">Figure S55. Climate responses at SC before and after 1970.</w:t>
      </w:r>
    </w:p>
    <w:p>
      <w:pPr>
        <w:pStyle w:val="BodyText"/>
      </w:pPr>
      <w:r>
        <w:t xml:space="preserve">Figure S56. All signficant climate - DBH interactions with RW as the response metric.</w:t>
      </w:r>
    </w:p>
    <w:p>
      <w:pPr>
        <w:pStyle w:val="BodyText"/>
      </w:pPr>
      <w:r>
        <w:t xml:space="preserve">Figure S57. All signficant climate - DBH interactions with RW as the response metric.</w:t>
      </w:r>
    </w:p>
    <w:p>
      <w:pPr>
        <w:pStyle w:val="BodyText"/>
      </w:pPr>
      <w:r>
        <w:t xml:space="preserve">Figures S58-S67. Relationships between DBH and BAI by decade for all sites.</w:t>
      </w:r>
    </w:p>
    <w:bookmarkEnd w:id="61"/>
    <w:bookmarkStart w:id="295" w:name="References"/>
    <w:p>
      <w:pPr>
        <w:pStyle w:val="Heading1"/>
      </w:pPr>
      <w:r>
        <w:t xml:space="preserve">References</w:t>
      </w:r>
    </w:p>
    <w:bookmarkStart w:id="294" w:name="refs"/>
    <w:bookmarkStart w:id="63"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2">
        <w:r>
          <w:rPr>
            <w:rStyle w:val="Hyperlink"/>
          </w:rPr>
          <w:t xml:space="preserve">https://doi.org/10.1017/qua.2019.33</w:t>
        </w:r>
      </w:hyperlink>
    </w:p>
    <w:bookmarkEnd w:id="63"/>
    <w:bookmarkStart w:id="65" w:name="ref-alexander_relative_2018"/>
    <w:p>
      <w:pPr>
        <w:pStyle w:val="Bibliography"/>
      </w:pPr>
      <w:r>
        <w:t xml:space="preserve">Alexander, M. R., Rollinson, C. R., Babst, F., Trouet, V., &amp; Moore, D. J. P. (2018). Relative influences of multiple sources of uncertainty on cumulative and incremental tree-ring-derived aboveground biomass estimates.</w:t>
      </w:r>
      <w:r>
        <w:t xml:space="preserve"> </w:t>
      </w:r>
      <w:r>
        <w:rPr>
          <w:iCs/>
          <w:i/>
        </w:rPr>
        <w:t xml:space="preserve">Trees</w:t>
      </w:r>
      <w:r>
        <w:t xml:space="preserve">,</w:t>
      </w:r>
      <w:r>
        <w:t xml:space="preserve"> </w:t>
      </w:r>
      <w:r>
        <w:rPr>
          <w:iCs/>
          <w:i/>
        </w:rPr>
        <w:t xml:space="preserve">32</w:t>
      </w:r>
      <w:r>
        <w:t xml:space="preserve">(1), 265–276.</w:t>
      </w:r>
      <w:r>
        <w:t xml:space="preserve"> </w:t>
      </w:r>
      <w:hyperlink r:id="rId64">
        <w:r>
          <w:rPr>
            <w:rStyle w:val="Hyperlink"/>
          </w:rPr>
          <w:t xml:space="preserve">https://doi.org/10.1007/s00468-017-1629-0</w:t>
        </w:r>
      </w:hyperlink>
    </w:p>
    <w:bookmarkEnd w:id="65"/>
    <w:bookmarkStart w:id="67"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6">
        <w:r>
          <w:rPr>
            <w:rStyle w:val="Hyperlink"/>
          </w:rPr>
          <w:t xml:space="preserve">https://doi.org/10.1007/s00442-017-3879-3</w:t>
        </w:r>
      </w:hyperlink>
    </w:p>
    <w:bookmarkEnd w:id="67"/>
    <w:bookmarkStart w:id="69"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8">
        <w:r>
          <w:rPr>
            <w:rStyle w:val="Hyperlink"/>
          </w:rPr>
          <w:t xml:space="preserve">https://doi.org/10.1007/978-3-319-61669-8</w:t>
        </w:r>
      </w:hyperlink>
    </w:p>
    <w:bookmarkEnd w:id="69"/>
    <w:bookmarkStart w:id="71"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70">
        <w:r>
          <w:rPr>
            <w:rStyle w:val="Hyperlink"/>
          </w:rPr>
          <w:t xml:space="preserve">https://doi.org/10.5281/ZENODO.3958215</w:t>
        </w:r>
      </w:hyperlink>
    </w:p>
    <w:bookmarkEnd w:id="71"/>
    <w:bookmarkStart w:id="73"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2">
        <w:r>
          <w:rPr>
            <w:rStyle w:val="Hyperlink"/>
          </w:rPr>
          <w:t xml:space="preserve">https://doi.org/10.1111/gcb.12712</w:t>
        </w:r>
      </w:hyperlink>
    </w:p>
    <w:bookmarkEnd w:id="73"/>
    <w:bookmarkStart w:id="75"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4">
        <w:r>
          <w:rPr>
            <w:rStyle w:val="Hyperlink"/>
          </w:rPr>
          <w:t xml:space="preserve">https://doi.org/10.1111/1365-2435.12470</w:t>
        </w:r>
      </w:hyperlink>
    </w:p>
    <w:bookmarkEnd w:id="75"/>
    <w:bookmarkStart w:id="77"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6">
        <w:r>
          <w:rPr>
            <w:rStyle w:val="Hyperlink"/>
          </w:rPr>
          <w:t xml:space="preserve">https://doi.org/10.5194/bg-17-4173-2020</w:t>
        </w:r>
      </w:hyperlink>
    </w:p>
    <w:bookmarkEnd w:id="77"/>
    <w:bookmarkStart w:id="79" w:name="ref-au_demographic_2020"/>
    <w:p>
      <w:pPr>
        <w:pStyle w:val="Bibliography"/>
      </w:pPr>
      <w:r>
        <w:t xml:space="preserve">Au, T. F., Maxwell, J. T., Novick, K. A., Robeson, S. M., Warner, S. M., Lockwood, B. R., Phillips, R. P., Harley, G. L., Telewski, F. W., Therrell, M. D., &amp; Pederson, N. (2020). Demographic shifts in eastern</w:t>
      </w:r>
      <w:r>
        <w:t xml:space="preserve"> </w:t>
      </w:r>
      <w:r>
        <w:t xml:space="preserve">US</w:t>
      </w:r>
      <w:r>
        <w:t xml:space="preserve"> </w:t>
      </w:r>
      <w:r>
        <w:t xml:space="preserve">forests increase the impact of late-season drought on forest growth.</w:t>
      </w:r>
      <w:r>
        <w:t xml:space="preserve"> </w:t>
      </w:r>
      <w:r>
        <w:rPr>
          <w:iCs/>
          <w:i/>
        </w:rPr>
        <w:t xml:space="preserve">Ecography</w:t>
      </w:r>
      <w:r>
        <w:t xml:space="preserve">,</w:t>
      </w:r>
      <w:r>
        <w:t xml:space="preserve"> </w:t>
      </w:r>
      <w:r>
        <w:rPr>
          <w:iCs/>
          <w:i/>
        </w:rPr>
        <w:t xml:space="preserve">43</w:t>
      </w:r>
      <w:r>
        <w:t xml:space="preserve">(10), 1475–1486.</w:t>
      </w:r>
      <w:r>
        <w:t xml:space="preserve"> </w:t>
      </w:r>
      <w:hyperlink r:id="rId78">
        <w:r>
          <w:rPr>
            <w:rStyle w:val="Hyperlink"/>
          </w:rPr>
          <w:t xml:space="preserve">https://doi.org/10.1111/ecog.05055</w:t>
        </w:r>
      </w:hyperlink>
    </w:p>
    <w:bookmarkEnd w:id="79"/>
    <w:bookmarkStart w:id="81"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80">
        <w:r>
          <w:rPr>
            <w:rStyle w:val="Hyperlink"/>
          </w:rPr>
          <w:t xml:space="preserve">https://doi.org/10.1002/ece3.1532</w:t>
        </w:r>
      </w:hyperlink>
    </w:p>
    <w:bookmarkEnd w:id="81"/>
    <w:bookmarkStart w:id="83"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82">
        <w:r>
          <w:rPr>
            <w:rStyle w:val="Hyperlink"/>
          </w:rPr>
          <w:t xml:space="preserve">https://doi.org/10.1016/j.quascirev.2018.07.009</w:t>
        </w:r>
      </w:hyperlink>
    </w:p>
    <w:bookmarkEnd w:id="83"/>
    <w:bookmarkStart w:id="85"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4">
        <w:r>
          <w:rPr>
            <w:rStyle w:val="Hyperlink"/>
          </w:rPr>
          <w:t xml:space="preserve">https://doi.org/10.1126/sciadv.aat4313</w:t>
        </w:r>
      </w:hyperlink>
    </w:p>
    <w:bookmarkEnd w:id="85"/>
    <w:bookmarkStart w:id="87"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6">
        <w:r>
          <w:rPr>
            <w:rStyle w:val="Hyperlink"/>
          </w:rPr>
          <w:t xml:space="preserve">https://doi.org/10.1111/gcb.12349</w:t>
        </w:r>
      </w:hyperlink>
    </w:p>
    <w:bookmarkEnd w:id="87"/>
    <w:bookmarkStart w:id="88" w:name="ref-banburymorgan_global_2021"/>
    <w:p>
      <w:pPr>
        <w:pStyle w:val="Bibliography"/>
      </w:pPr>
      <w:r>
        <w:t xml:space="preserve">Banbury Morgan, B., Herrmann, V., Kunert, N., Bond-Lamberty, B., Muller-Landau, H. C., &amp; Anderson-Teixeira, K. J. (2021). Global patterns of forest autotrophic carbon fluxes.</w:t>
      </w:r>
      <w:r>
        <w:t xml:space="preserve"> </w:t>
      </w:r>
      <w:r>
        <w:rPr>
          <w:iCs/>
          <w:i/>
        </w:rPr>
        <w:t xml:space="preserve">Global Change Biology</w:t>
      </w:r>
      <w:r>
        <w:t xml:space="preserve">,</w:t>
      </w:r>
      <w:r>
        <w:t xml:space="preserve"> </w:t>
      </w:r>
      <w:r>
        <w:rPr>
          <w:iCs/>
          <w:i/>
        </w:rPr>
        <w:t xml:space="preserve">in press</w:t>
      </w:r>
      <w:r>
        <w:t xml:space="preserve">.</w:t>
      </w:r>
    </w:p>
    <w:bookmarkEnd w:id="88"/>
    <w:bookmarkStart w:id="90" w:name="ref-beedlow_importance_2013"/>
    <w:p>
      <w:pPr>
        <w:pStyle w:val="Bibliography"/>
      </w:pPr>
      <w:r>
        <w:t xml:space="preserve">Beedlow, P. A., Lee, E. H., Tingey, D. T., Waschmann, R. S., &amp; Burdick, C. A. (2013). The importance of seasonal temperature and moisture patterns on growth of</w:t>
      </w:r>
      <w:r>
        <w:t xml:space="preserve"> </w:t>
      </w:r>
      <w:r>
        <w:t xml:space="preserve">Douglas</w:t>
      </w:r>
      <w:r>
        <w:t xml:space="preserve">-fir in western</w:t>
      </w:r>
      <w:r>
        <w:t xml:space="preserve"> </w:t>
      </w:r>
      <w:r>
        <w:t xml:space="preserve">Oregon</w:t>
      </w:r>
      <w:r>
        <w:t xml:space="preserve">,</w:t>
      </w:r>
      <w:r>
        <w:t xml:space="preserve"> </w:t>
      </w:r>
      <w:r>
        <w:t xml:space="preserve">USA</w:t>
      </w:r>
      <w:r>
        <w:t xml:space="preserve">.</w:t>
      </w:r>
      <w:r>
        <w:t xml:space="preserve"> </w:t>
      </w:r>
      <w:r>
        <w:rPr>
          <w:iCs/>
          <w:i/>
        </w:rPr>
        <w:t xml:space="preserve">Agricultural and Forest Meteorology</w:t>
      </w:r>
      <w:r>
        <w:t xml:space="preserve">,</w:t>
      </w:r>
      <w:r>
        <w:t xml:space="preserve"> </w:t>
      </w:r>
      <w:r>
        <w:rPr>
          <w:iCs/>
          <w:i/>
        </w:rPr>
        <w:t xml:space="preserve">169</w:t>
      </w:r>
      <w:r>
        <w:t xml:space="preserve">, 174–185.</w:t>
      </w:r>
      <w:r>
        <w:t xml:space="preserve"> </w:t>
      </w:r>
      <w:hyperlink r:id="rId89">
        <w:r>
          <w:rPr>
            <w:rStyle w:val="Hyperlink"/>
          </w:rPr>
          <w:t xml:space="preserve">https://doi.org/10.1016/j.agrformet.2012.10.010</w:t>
        </w:r>
      </w:hyperlink>
    </w:p>
    <w:bookmarkEnd w:id="90"/>
    <w:bookmarkStart w:id="92"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91">
        <w:r>
          <w:rPr>
            <w:rStyle w:val="Hyperlink"/>
          </w:rPr>
          <w:t xml:space="preserve">https://doi.org/10.1111/gcb.15491</w:t>
        </w:r>
      </w:hyperlink>
    </w:p>
    <w:bookmarkEnd w:id="92"/>
    <w:bookmarkStart w:id="94"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93">
        <w:r>
          <w:rPr>
            <w:rStyle w:val="Hyperlink"/>
          </w:rPr>
          <w:t xml:space="preserve">https://doi.org/10.1038/nplants.2015.139</w:t>
        </w:r>
      </w:hyperlink>
    </w:p>
    <w:bookmarkEnd w:id="94"/>
    <w:bookmarkStart w:id="96"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95">
        <w:r>
          <w:rPr>
            <w:rStyle w:val="Hyperlink"/>
          </w:rPr>
          <w:t xml:space="preserve">https://doi.org/10.3959/2008-6.1</w:t>
        </w:r>
      </w:hyperlink>
    </w:p>
    <w:bookmarkEnd w:id="96"/>
    <w:bookmarkStart w:id="98"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7">
        <w:r>
          <w:rPr>
            <w:rStyle w:val="Hyperlink"/>
          </w:rPr>
          <w:t xml:space="preserve">https://www.ncdc.noaa.gov/paleo-search/study/31995</w:t>
        </w:r>
      </w:hyperlink>
    </w:p>
    <w:bookmarkEnd w:id="98"/>
    <w:bookmarkStart w:id="100"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9">
        <w:r>
          <w:rPr>
            <w:rStyle w:val="Hyperlink"/>
          </w:rPr>
          <w:t xml:space="preserve">https://www.ncdc.noaa.gov/paleo-search/study/31996</w:t>
        </w:r>
      </w:hyperlink>
    </w:p>
    <w:bookmarkEnd w:id="100"/>
    <w:bookmarkStart w:id="102"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101">
        <w:r>
          <w:rPr>
            <w:rStyle w:val="Hyperlink"/>
          </w:rPr>
          <w:t xml:space="preserve">https://www.ncdc.noaa.gov/paleo-search/study/31997</w:t>
        </w:r>
      </w:hyperlink>
    </w:p>
    <w:bookmarkEnd w:id="102"/>
    <w:bookmarkStart w:id="104"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103">
        <w:r>
          <w:rPr>
            <w:rStyle w:val="Hyperlink"/>
          </w:rPr>
          <w:t xml:space="preserve">https://doi.org/10.1890/13-0010.1</w:t>
        </w:r>
      </w:hyperlink>
    </w:p>
    <w:bookmarkEnd w:id="104"/>
    <w:bookmarkStart w:id="106"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105">
        <w:r>
          <w:rPr>
            <w:rStyle w:val="Hyperlink"/>
          </w:rPr>
          <w:t xml:space="preserve">https://doi.org/10.1016/j.tplants.2012.08.005</w:t>
        </w:r>
      </w:hyperlink>
    </w:p>
    <w:bookmarkEnd w:id="106"/>
    <w:bookmarkStart w:id="108"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7">
        <w:r>
          <w:rPr>
            <w:rStyle w:val="Hyperlink"/>
          </w:rPr>
          <w:t xml:space="preserve">https://doi.org/10.1078/1125-7865-00017</w:t>
        </w:r>
      </w:hyperlink>
    </w:p>
    <w:bookmarkEnd w:id="108"/>
    <w:bookmarkStart w:id="110"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9">
        <w:r>
          <w:rPr>
            <w:rStyle w:val="Hyperlink"/>
          </w:rPr>
          <w:t xml:space="preserve">https://doi.org/10.1029/2011GB004143</w:t>
        </w:r>
      </w:hyperlink>
    </w:p>
    <w:bookmarkEnd w:id="110"/>
    <w:bookmarkStart w:id="112"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11">
        <w:r>
          <w:rPr>
            <w:rStyle w:val="Hyperlink"/>
          </w:rPr>
          <w:t xml:space="preserve">https://doi.org/10.1111/gcb.13410</w:t>
        </w:r>
      </w:hyperlink>
    </w:p>
    <w:bookmarkEnd w:id="112"/>
    <w:bookmarkStart w:id="114"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13">
        <w:r>
          <w:rPr>
            <w:rStyle w:val="Hyperlink"/>
          </w:rPr>
          <w:t xml:space="preserve">https://doi.org/10.1139/cjfr-2018-0206</w:t>
        </w:r>
      </w:hyperlink>
    </w:p>
    <w:bookmarkEnd w:id="114"/>
    <w:bookmarkStart w:id="116"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15">
        <w:r>
          <w:rPr>
            <w:rStyle w:val="Hyperlink"/>
          </w:rPr>
          <w:t xml:space="preserve">https://doi.org/10.1126/science.1197175</w:t>
        </w:r>
      </w:hyperlink>
    </w:p>
    <w:bookmarkEnd w:id="116"/>
    <w:bookmarkStart w:id="118"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7">
        <w:r>
          <w:rPr>
            <w:rStyle w:val="Hyperlink"/>
          </w:rPr>
          <w:t xml:space="preserve">https://doi.org/10.1111/gcb.13535</w:t>
        </w:r>
      </w:hyperlink>
    </w:p>
    <w:bookmarkEnd w:id="118"/>
    <w:bookmarkStart w:id="120"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9">
        <w:r>
          <w:rPr>
            <w:rStyle w:val="Hyperlink"/>
          </w:rPr>
          <w:t xml:space="preserve">https://doi.org/10.1016/S0378-1127(98)00242-4</w:t>
        </w:r>
      </w:hyperlink>
    </w:p>
    <w:bookmarkEnd w:id="120"/>
    <w:bookmarkStart w:id="122"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21">
        <w:r>
          <w:rPr>
            <w:rStyle w:val="Hyperlink"/>
          </w:rPr>
          <w:t xml:space="preserve">https://doi.org/10.1038/s41467-020-19187-w</w:t>
        </w:r>
      </w:hyperlink>
    </w:p>
    <w:bookmarkEnd w:id="122"/>
    <w:bookmarkStart w:id="124"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23">
        <w:r>
          <w:rPr>
            <w:rStyle w:val="Hyperlink"/>
          </w:rPr>
          <w:t xml:space="preserve">https://doi.org/10.1177/095968369700700314</w:t>
        </w:r>
      </w:hyperlink>
    </w:p>
    <w:bookmarkEnd w:id="124"/>
    <w:bookmarkStart w:id="126"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25">
        <w:r>
          <w:rPr>
            <w:rStyle w:val="Hyperlink"/>
          </w:rPr>
          <w:t xml:space="preserve">https://doi.org/10.1016/j.biocon.2020.108907</w:t>
        </w:r>
      </w:hyperlink>
    </w:p>
    <w:bookmarkEnd w:id="126"/>
    <w:bookmarkStart w:id="128"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7">
        <w:r>
          <w:rPr>
            <w:rStyle w:val="Hyperlink"/>
          </w:rPr>
          <w:t xml:space="preserve">https://doi.org/10.1016/j.foreco.2009.08.009</w:t>
        </w:r>
      </w:hyperlink>
    </w:p>
    <w:bookmarkEnd w:id="128"/>
    <w:bookmarkStart w:id="130"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9">
        <w:r>
          <w:rPr>
            <w:rStyle w:val="Hyperlink"/>
          </w:rPr>
          <w:t xml:space="preserve">https://doi.org/10.1111/1365-2745.13569</w:t>
        </w:r>
      </w:hyperlink>
    </w:p>
    <w:bookmarkEnd w:id="130"/>
    <w:bookmarkStart w:id="131"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31"/>
    <w:bookmarkStart w:id="133"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32">
        <w:r>
          <w:rPr>
            <w:rStyle w:val="Hyperlink"/>
          </w:rPr>
          <w:t xml:space="preserve">https://doi.org/10.1038/s41467-020-14300-5</w:t>
        </w:r>
      </w:hyperlink>
    </w:p>
    <w:bookmarkEnd w:id="133"/>
    <w:bookmarkStart w:id="135"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4">
        <w:r>
          <w:rPr>
            <w:rStyle w:val="Hyperlink"/>
          </w:rPr>
          <w:t xml:space="preserve">https://doi.org/10.1002/ecs2.1454</w:t>
        </w:r>
      </w:hyperlink>
    </w:p>
    <w:bookmarkEnd w:id="135"/>
    <w:bookmarkStart w:id="137"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6">
        <w:r>
          <w:rPr>
            <w:rStyle w:val="Hyperlink"/>
          </w:rPr>
          <w:t xml:space="preserve">https://doi.org/10.1016/j.foreco.2008.10.014</w:t>
        </w:r>
      </w:hyperlink>
    </w:p>
    <w:bookmarkEnd w:id="137"/>
    <w:bookmarkStart w:id="139" w:name="ref-enquist_global_2002"/>
    <w:p>
      <w:pPr>
        <w:pStyle w:val="Bibliography"/>
      </w:pPr>
      <w:r>
        <w:t xml:space="preserve">Enquist, B. J., &amp; Niklas, K. J. (2002). Global</w:t>
      </w:r>
      <w:r>
        <w:t xml:space="preserve"> </w:t>
      </w:r>
      <w:r>
        <w:t xml:space="preserve">Allocation Rules</w:t>
      </w:r>
      <w:r>
        <w:t xml:space="preserve"> </w:t>
      </w:r>
      <w:r>
        <w:t xml:space="preserve">for</w:t>
      </w:r>
      <w:r>
        <w:t xml:space="preserve"> </w:t>
      </w:r>
      <w:r>
        <w:t xml:space="preserve">Patterns</w:t>
      </w:r>
      <w:r>
        <w:t xml:space="preserve"> </w:t>
      </w:r>
      <w:r>
        <w:t xml:space="preserve">of</w:t>
      </w:r>
      <w:r>
        <w:t xml:space="preserve"> </w:t>
      </w:r>
      <w:r>
        <w:t xml:space="preserve">Biomass Partitioning</w:t>
      </w:r>
      <w:r>
        <w:t xml:space="preserve"> </w:t>
      </w:r>
      <w:r>
        <w:t xml:space="preserve">in</w:t>
      </w:r>
      <w:r>
        <w:t xml:space="preserve"> </w:t>
      </w:r>
      <w:r>
        <w:t xml:space="preserve">Seed Plants</w:t>
      </w:r>
      <w:r>
        <w:t xml:space="preserve">.</w:t>
      </w:r>
      <w:r>
        <w:t xml:space="preserve"> </w:t>
      </w:r>
      <w:r>
        <w:rPr>
          <w:iCs/>
          <w:i/>
        </w:rPr>
        <w:t xml:space="preserve">Science</w:t>
      </w:r>
      <w:r>
        <w:t xml:space="preserve">,</w:t>
      </w:r>
      <w:r>
        <w:t xml:space="preserve"> </w:t>
      </w:r>
      <w:r>
        <w:rPr>
          <w:iCs/>
          <w:i/>
        </w:rPr>
        <w:t xml:space="preserve">295</w:t>
      </w:r>
      <w:r>
        <w:t xml:space="preserve">(5559), 1517–1520.</w:t>
      </w:r>
      <w:r>
        <w:t xml:space="preserve"> </w:t>
      </w:r>
      <w:hyperlink r:id="rId138">
        <w:r>
          <w:rPr>
            <w:rStyle w:val="Hyperlink"/>
          </w:rPr>
          <w:t xml:space="preserve">https://doi.org/10.1126/science.1066360</w:t>
        </w:r>
      </w:hyperlink>
    </w:p>
    <w:bookmarkEnd w:id="139"/>
    <w:bookmarkStart w:id="141"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40">
        <w:r>
          <w:rPr>
            <w:rStyle w:val="Hyperlink"/>
          </w:rPr>
          <w:t xml:space="preserve">https://doi.org/10.1002/ecs2.1889</w:t>
        </w:r>
      </w:hyperlink>
    </w:p>
    <w:bookmarkEnd w:id="141"/>
    <w:bookmarkStart w:id="143"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42">
        <w:r>
          <w:rPr>
            <w:rStyle w:val="Hyperlink"/>
          </w:rPr>
          <w:t xml:space="preserve">https://doi.org/10.1002/ecm.1423</w:t>
        </w:r>
      </w:hyperlink>
    </w:p>
    <w:bookmarkEnd w:id="143"/>
    <w:bookmarkStart w:id="145"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44">
        <w:r>
          <w:rPr>
            <w:rStyle w:val="Hyperlink"/>
          </w:rPr>
          <w:t xml:space="preserve">https://doi.org/10.1016/j.foreco.2020.118717</w:t>
        </w:r>
      </w:hyperlink>
    </w:p>
    <w:bookmarkEnd w:id="145"/>
    <w:bookmarkStart w:id="147"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6">
        <w:r>
          <w:rPr>
            <w:rStyle w:val="Hyperlink"/>
          </w:rPr>
          <w:t xml:space="preserve">https://doi.org/10.1111/gcb.13208</w:t>
        </w:r>
      </w:hyperlink>
    </w:p>
    <w:bookmarkEnd w:id="147"/>
    <w:bookmarkStart w:id="148"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8"/>
    <w:bookmarkStart w:id="150"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9">
        <w:r>
          <w:rPr>
            <w:rStyle w:val="Hyperlink"/>
          </w:rPr>
          <w:t xml:space="preserve">https://doi.org/10.1016/S0065-2504(08)60158-0</w:t>
        </w:r>
      </w:hyperlink>
    </w:p>
    <w:bookmarkEnd w:id="150"/>
    <w:bookmarkStart w:id="152"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51">
        <w:r>
          <w:rPr>
            <w:rStyle w:val="Hyperlink"/>
          </w:rPr>
          <w:t xml:space="preserve">https://doi.org/10.1002/ecs2.1847</w:t>
        </w:r>
      </w:hyperlink>
    </w:p>
    <w:bookmarkEnd w:id="152"/>
    <w:bookmarkStart w:id="154"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53">
        <w:r>
          <w:rPr>
            <w:rStyle w:val="Hyperlink"/>
          </w:rPr>
          <w:t xml:space="preserve">https://doi.org/10.1007/s10584-020-02868-2</w:t>
        </w:r>
      </w:hyperlink>
    </w:p>
    <w:bookmarkEnd w:id="154"/>
    <w:bookmarkStart w:id="156"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5">
        <w:r>
          <w:rPr>
            <w:rStyle w:val="Hyperlink"/>
          </w:rPr>
          <w:t xml:space="preserve">https://doi.org/10.1007/s10021-020-00501-y</w:t>
        </w:r>
      </w:hyperlink>
    </w:p>
    <w:bookmarkEnd w:id="156"/>
    <w:bookmarkStart w:id="158"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57">
        <w:r>
          <w:rPr>
            <w:rStyle w:val="Hyperlink"/>
          </w:rPr>
          <w:t xml:space="preserve">https://doi.org/10.1073/pnas.1610156113</w:t>
        </w:r>
      </w:hyperlink>
    </w:p>
    <w:bookmarkEnd w:id="158"/>
    <w:bookmarkStart w:id="159"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9"/>
    <w:bookmarkStart w:id="161"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60">
        <w:r>
          <w:rPr>
            <w:rStyle w:val="Hyperlink"/>
          </w:rPr>
          <w:t xml:space="preserve">https://doi.org/10.2307/1937545</w:t>
        </w:r>
      </w:hyperlink>
    </w:p>
    <w:bookmarkEnd w:id="161"/>
    <w:bookmarkStart w:id="163"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62">
        <w:r>
          <w:rPr>
            <w:rStyle w:val="Hyperlink"/>
          </w:rPr>
          <w:t xml:space="preserve">https://doi.org/10.1111/gcb.12955</w:t>
        </w:r>
      </w:hyperlink>
    </w:p>
    <w:bookmarkEnd w:id="163"/>
    <w:bookmarkStart w:id="165"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4">
        <w:r>
          <w:rPr>
            <w:rStyle w:val="Hyperlink"/>
          </w:rPr>
          <w:t xml:space="preserve">https://doi.org/10.1007/s10342-016-0982-7</w:t>
        </w:r>
      </w:hyperlink>
    </w:p>
    <w:bookmarkEnd w:id="165"/>
    <w:bookmarkStart w:id="167"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6">
        <w:r>
          <w:rPr>
            <w:rStyle w:val="Hyperlink"/>
          </w:rPr>
          <w:t xml:space="preserve">https://doi.org/10.1111/gcb.14561</w:t>
        </w:r>
      </w:hyperlink>
    </w:p>
    <w:bookmarkEnd w:id="167"/>
    <w:bookmarkStart w:id="169"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8">
        <w:r>
          <w:rPr>
            <w:rStyle w:val="Hyperlink"/>
          </w:rPr>
          <w:t xml:space="preserve">https://doi.org/10.1002/joc.3711</w:t>
        </w:r>
      </w:hyperlink>
    </w:p>
    <w:bookmarkEnd w:id="169"/>
    <w:bookmarkStart w:id="171"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70">
        <w:r>
          <w:rPr>
            <w:rStyle w:val="Hyperlink"/>
          </w:rPr>
          <w:t xml:space="preserve">https://doi.org/10.1038/s41597-020-0453-3</w:t>
        </w:r>
      </w:hyperlink>
    </w:p>
    <w:bookmarkEnd w:id="171"/>
    <w:bookmarkStart w:id="173"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72">
        <w:r>
          <w:rPr>
            <w:rStyle w:val="Hyperlink"/>
          </w:rPr>
          <w:t xml:space="preserve">https://doi.org/10.1111/nph.15906</w:t>
        </w:r>
      </w:hyperlink>
    </w:p>
    <w:bookmarkEnd w:id="173"/>
    <w:bookmarkStart w:id="175"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4">
        <w:r>
          <w:rPr>
            <w:rStyle w:val="Hyperlink"/>
          </w:rPr>
          <w:t xml:space="preserve">https://doi.org/10.1029/2018JG004573</w:t>
        </w:r>
      </w:hyperlink>
    </w:p>
    <w:bookmarkEnd w:id="175"/>
    <w:bookmarkStart w:id="177"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6">
        <w:r>
          <w:rPr>
            <w:rStyle w:val="Hyperlink"/>
          </w:rPr>
          <w:t xml:space="preserve">https://doi.org/10.1038/s41586-021-03325-5</w:t>
        </w:r>
      </w:hyperlink>
    </w:p>
    <w:bookmarkEnd w:id="177"/>
    <w:bookmarkStart w:id="179"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78">
        <w:r>
          <w:rPr>
            <w:rStyle w:val="Hyperlink"/>
          </w:rPr>
          <w:t xml:space="preserve">https://doi.org/10.1088/1748-9326/abd8fb</w:t>
        </w:r>
      </w:hyperlink>
    </w:p>
    <w:bookmarkEnd w:id="179"/>
    <w:bookmarkStart w:id="181"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80">
        <w:r>
          <w:rPr>
            <w:rStyle w:val="Hyperlink"/>
          </w:rPr>
          <w:t xml:space="preserve">https://doi.org/10.1038/s41467-018-07800-y</w:t>
        </w:r>
      </w:hyperlink>
    </w:p>
    <w:bookmarkEnd w:id="181"/>
    <w:bookmarkStart w:id="183"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2">
        <w:r>
          <w:rPr>
            <w:rStyle w:val="Hyperlink"/>
          </w:rPr>
          <w:t xml:space="preserve">https://doi.org/10.1093/treephys/tpaa091</w:t>
        </w:r>
      </w:hyperlink>
    </w:p>
    <w:bookmarkEnd w:id="183"/>
    <w:bookmarkStart w:id="185"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84">
        <w:r>
          <w:rPr>
            <w:rStyle w:val="Hyperlink"/>
          </w:rPr>
          <w:t xml:space="preserve">https://doi.org/10.1111/nph.15668</w:t>
        </w:r>
      </w:hyperlink>
    </w:p>
    <w:bookmarkEnd w:id="185"/>
    <w:bookmarkStart w:id="187"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6">
        <w:r>
          <w:rPr>
            <w:rStyle w:val="Hyperlink"/>
          </w:rPr>
          <w:t xml:space="preserve">https://doi.org/10.1038/srep46158</w:t>
        </w:r>
      </w:hyperlink>
    </w:p>
    <w:bookmarkEnd w:id="187"/>
    <w:bookmarkStart w:id="189"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8">
        <w:r>
          <w:rPr>
            <w:rStyle w:val="Hyperlink"/>
          </w:rPr>
          <w:t xml:space="preserve">https://doi.org/10.1139/x89-102</w:t>
        </w:r>
      </w:hyperlink>
    </w:p>
    <w:bookmarkEnd w:id="189"/>
    <w:bookmarkStart w:id="191"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90">
        <w:r>
          <w:rPr>
            <w:rStyle w:val="Hyperlink"/>
          </w:rPr>
          <w:t xml:space="preserve">https://doi.org/10.2307/1941026</w:t>
        </w:r>
      </w:hyperlink>
    </w:p>
    <w:bookmarkEnd w:id="191"/>
    <w:bookmarkStart w:id="193"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92">
        <w:r>
          <w:rPr>
            <w:rStyle w:val="Hyperlink"/>
          </w:rPr>
          <w:t xml:space="preserve">https://doi.org/10.1111/gcb.15548</w:t>
        </w:r>
      </w:hyperlink>
    </w:p>
    <w:bookmarkEnd w:id="193"/>
    <w:bookmarkStart w:id="195"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94">
        <w:r>
          <w:rPr>
            <w:rStyle w:val="Hyperlink"/>
          </w:rPr>
          <w:t xml:space="preserve">https://doi.org/10.1016/j.foreco.2009.03.009</w:t>
        </w:r>
      </w:hyperlink>
    </w:p>
    <w:bookmarkEnd w:id="195"/>
    <w:bookmarkStart w:id="197"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6">
        <w:r>
          <w:rPr>
            <w:rStyle w:val="Hyperlink"/>
          </w:rPr>
          <w:t xml:space="preserve">https://doi.org/10.1111/gcb.14273</w:t>
        </w:r>
      </w:hyperlink>
    </w:p>
    <w:bookmarkEnd w:id="197"/>
    <w:bookmarkStart w:id="199"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8">
        <w:r>
          <w:rPr>
            <w:rStyle w:val="Hyperlink"/>
          </w:rPr>
          <w:t xml:space="preserve">https://doi.org/10.1029/2019JG005298</w:t>
        </w:r>
      </w:hyperlink>
    </w:p>
    <w:bookmarkEnd w:id="199"/>
    <w:bookmarkStart w:id="201"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00">
        <w:r>
          <w:rPr>
            <w:rStyle w:val="Hyperlink"/>
          </w:rPr>
          <w:t xml:space="preserve">https://doi.org/10.1007/s10584-016-1720-3</w:t>
        </w:r>
      </w:hyperlink>
    </w:p>
    <w:bookmarkEnd w:id="201"/>
    <w:bookmarkStart w:id="203"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02">
        <w:r>
          <w:rPr>
            <w:rStyle w:val="Hyperlink"/>
          </w:rPr>
          <w:t xml:space="preserve">https://doi.org/10.1126/science.aaz9463</w:t>
        </w:r>
      </w:hyperlink>
    </w:p>
    <w:bookmarkEnd w:id="203"/>
    <w:bookmarkStart w:id="205"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204">
        <w:r>
          <w:rPr>
            <w:rStyle w:val="Hyperlink"/>
          </w:rPr>
          <w:t xml:space="preserve">https://doi.org/10.1111/nph.16996</w:t>
        </w:r>
      </w:hyperlink>
    </w:p>
    <w:bookmarkEnd w:id="205"/>
    <w:bookmarkStart w:id="207"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6">
        <w:r>
          <w:rPr>
            <w:rStyle w:val="Hyperlink"/>
          </w:rPr>
          <w:t xml:space="preserve">https://doi.org/10.1111/nph.14633</w:t>
        </w:r>
      </w:hyperlink>
    </w:p>
    <w:bookmarkEnd w:id="207"/>
    <w:bookmarkStart w:id="209"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8">
        <w:r>
          <w:rPr>
            <w:rStyle w:val="Hyperlink"/>
          </w:rPr>
          <w:t xml:space="preserve">https://doi.org/10.1016/j.cageo.2011.01.013</w:t>
        </w:r>
      </w:hyperlink>
    </w:p>
    <w:bookmarkEnd w:id="209"/>
    <w:bookmarkStart w:id="210"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10"/>
    <w:bookmarkStart w:id="212"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11">
        <w:r>
          <w:rPr>
            <w:rStyle w:val="Hyperlink"/>
          </w:rPr>
          <w:t xml:space="preserve">https://doi.org/10.1111/j.1600-0587.2013.00205.x</w:t>
        </w:r>
      </w:hyperlink>
    </w:p>
    <w:bookmarkEnd w:id="212"/>
    <w:bookmarkStart w:id="214"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3">
        <w:r>
          <w:rPr>
            <w:rStyle w:val="Hyperlink"/>
          </w:rPr>
          <w:t xml:space="preserve">https://doi.org/10.1111/gcb.12599</w:t>
        </w:r>
      </w:hyperlink>
    </w:p>
    <w:bookmarkEnd w:id="214"/>
    <w:bookmarkStart w:id="216" w:name="ref-niklas_plant_2004"/>
    <w:p>
      <w:pPr>
        <w:pStyle w:val="Bibliography"/>
      </w:pPr>
      <w:r>
        <w:t xml:space="preserve">Niklas, K. J. (2004). Plant allometry: Is there a grand unifying theory?</w:t>
      </w:r>
      <w:r>
        <w:t xml:space="preserve"> </w:t>
      </w:r>
      <w:r>
        <w:rPr>
          <w:iCs/>
          <w:i/>
        </w:rPr>
        <w:t xml:space="preserve">Biological Reviews</w:t>
      </w:r>
      <w:r>
        <w:t xml:space="preserve">,</w:t>
      </w:r>
      <w:r>
        <w:t xml:space="preserve"> </w:t>
      </w:r>
      <w:r>
        <w:rPr>
          <w:iCs/>
          <w:i/>
        </w:rPr>
        <w:t xml:space="preserve">79</w:t>
      </w:r>
      <w:r>
        <w:t xml:space="preserve">(4), 871–889.</w:t>
      </w:r>
      <w:r>
        <w:t xml:space="preserve"> </w:t>
      </w:r>
      <w:hyperlink r:id="rId215">
        <w:r>
          <w:rPr>
            <w:rStyle w:val="Hyperlink"/>
          </w:rPr>
          <w:t xml:space="preserve">https://doi.org/10.1017/S1464793104006499</w:t>
        </w:r>
      </w:hyperlink>
    </w:p>
    <w:bookmarkEnd w:id="216"/>
    <w:bookmarkStart w:id="218"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7">
        <w:r>
          <w:rPr>
            <w:rStyle w:val="Hyperlink"/>
          </w:rPr>
          <w:t xml:space="preserve">https://doi.org/10.1111/j.1365-2486.2010.02222.x</w:t>
        </w:r>
      </w:hyperlink>
    </w:p>
    <w:bookmarkEnd w:id="218"/>
    <w:bookmarkStart w:id="219"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9"/>
    <w:bookmarkStart w:id="221"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20">
        <w:r>
          <w:rPr>
            <w:rStyle w:val="Hyperlink"/>
          </w:rPr>
          <w:t xml:space="preserve">https://doi.org/10.1111/gcb.12826</w:t>
        </w:r>
      </w:hyperlink>
    </w:p>
    <w:bookmarkEnd w:id="221"/>
    <w:bookmarkStart w:id="222"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22"/>
    <w:bookmarkStart w:id="223"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23"/>
    <w:bookmarkStart w:id="225"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24">
        <w:r>
          <w:rPr>
            <w:rStyle w:val="Hyperlink"/>
          </w:rPr>
          <w:t xml:space="preserve">https://doi.org/10.1186/s40663-018-0139-x</w:t>
        </w:r>
      </w:hyperlink>
    </w:p>
    <w:bookmarkEnd w:id="225"/>
    <w:bookmarkStart w:id="227"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6">
        <w:r>
          <w:rPr>
            <w:rStyle w:val="Hyperlink"/>
          </w:rPr>
          <w:t xml:space="preserve">https://doi.org/10.1016/j.dendro.2020.125678</w:t>
        </w:r>
      </w:hyperlink>
    </w:p>
    <w:bookmarkEnd w:id="227"/>
    <w:bookmarkStart w:id="229"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28">
        <w:r>
          <w:rPr>
            <w:rStyle w:val="Hyperlink"/>
          </w:rPr>
          <w:t xml:space="preserve">https://doi.org/10.1111/2041-210X.12753</w:t>
        </w:r>
      </w:hyperlink>
    </w:p>
    <w:bookmarkEnd w:id="229"/>
    <w:bookmarkStart w:id="231"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30">
        <w:r>
          <w:rPr>
            <w:rStyle w:val="Hyperlink"/>
          </w:rPr>
          <w:t xml:space="preserve">https://doi.org/10.1002/ecy.3264</w:t>
        </w:r>
      </w:hyperlink>
    </w:p>
    <w:bookmarkEnd w:id="231"/>
    <w:bookmarkStart w:id="233"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32">
        <w:r>
          <w:rPr>
            <w:rStyle w:val="Hyperlink"/>
          </w:rPr>
          <w:t xml:space="preserve">https://doi.org/10.1111/j.1469-8137.2007.02235.x</w:t>
        </w:r>
      </w:hyperlink>
    </w:p>
    <w:bookmarkEnd w:id="233"/>
    <w:bookmarkStart w:id="235"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34">
        <w:r>
          <w:rPr>
            <w:rStyle w:val="Hyperlink"/>
          </w:rPr>
          <w:t xml:space="preserve">https://doi.org/10.1007/s00468-010-0480-3</w:t>
        </w:r>
      </w:hyperlink>
    </w:p>
    <w:bookmarkEnd w:id="235"/>
    <w:bookmarkStart w:id="237"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6">
        <w:r>
          <w:rPr>
            <w:rStyle w:val="Hyperlink"/>
          </w:rPr>
          <w:t xml:space="preserve">https://doi.org/10.1016/j.foreco.2015.08.034</w:t>
        </w:r>
      </w:hyperlink>
    </w:p>
    <w:bookmarkEnd w:id="237"/>
    <w:bookmarkStart w:id="239"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38">
        <w:r>
          <w:rPr>
            <w:rStyle w:val="Hyperlink"/>
          </w:rPr>
          <w:t xml:space="preserve">https://doi.org/10.1186/s40663-018-0133-3</w:t>
        </w:r>
      </w:hyperlink>
    </w:p>
    <w:bookmarkEnd w:id="239"/>
    <w:bookmarkStart w:id="241"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40">
        <w:r>
          <w:rPr>
            <w:rStyle w:val="Hyperlink"/>
          </w:rPr>
          <w:t xml:space="preserve">https://doi.org/10.1111/1365-2435.12775</w:t>
        </w:r>
      </w:hyperlink>
    </w:p>
    <w:bookmarkEnd w:id="241"/>
    <w:bookmarkStart w:id="243"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42">
        <w:r>
          <w:rPr>
            <w:rStyle w:val="Hyperlink"/>
          </w:rPr>
          <w:t xml:space="preserve">https://doi.org/10.1002/2016JG003528</w:t>
        </w:r>
      </w:hyperlink>
    </w:p>
    <w:bookmarkEnd w:id="243"/>
    <w:bookmarkStart w:id="244"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44"/>
    <w:bookmarkStart w:id="246"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45">
        <w:r>
          <w:rPr>
            <w:rStyle w:val="Hyperlink"/>
          </w:rPr>
          <w:t xml:space="preserve">https://doi.org/10.1038/nature12914</w:t>
        </w:r>
      </w:hyperlink>
    </w:p>
    <w:bookmarkEnd w:id="246"/>
    <w:bookmarkStart w:id="247"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47"/>
    <w:bookmarkStart w:id="249"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48">
        <w:r>
          <w:rPr>
            <w:rStyle w:val="Hyperlink"/>
          </w:rPr>
          <w:t xml:space="preserve">https://doi.org/10.1088/1748-9326/11/11/114007</w:t>
        </w:r>
      </w:hyperlink>
    </w:p>
    <w:bookmarkEnd w:id="249"/>
    <w:bookmarkStart w:id="251"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50">
        <w:r>
          <w:rPr>
            <w:rStyle w:val="Hyperlink"/>
          </w:rPr>
          <w:t xml:space="preserve">https://doi.org/10.1007/s11258-007-9345-2</w:t>
        </w:r>
      </w:hyperlink>
    </w:p>
    <w:bookmarkEnd w:id="251"/>
    <w:bookmarkStart w:id="253"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52">
        <w:r>
          <w:rPr>
            <w:rStyle w:val="Hyperlink"/>
          </w:rPr>
          <w:t xml:space="preserve">https://doi.org/10.1016/j.scitotenv.2020.140288</w:t>
        </w:r>
      </w:hyperlink>
    </w:p>
    <w:bookmarkEnd w:id="253"/>
    <w:bookmarkStart w:id="255"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Cs/>
          <w:i/>
        </w:rPr>
        <w:t xml:space="preserve">Agricultural and Forest Meteorology</w:t>
      </w:r>
      <w:r>
        <w:t xml:space="preserve">,</w:t>
      </w:r>
      <w:r>
        <w:t xml:space="preserve"> </w:t>
      </w:r>
      <w:r>
        <w:rPr>
          <w:iCs/>
          <w:i/>
        </w:rPr>
        <w:t xml:space="preserve">249</w:t>
      </w:r>
      <w:r>
        <w:t xml:space="preserve">, 479–487.</w:t>
      </w:r>
      <w:r>
        <w:t xml:space="preserve"> </w:t>
      </w:r>
      <w:hyperlink r:id="rId254">
        <w:r>
          <w:rPr>
            <w:rStyle w:val="Hyperlink"/>
          </w:rPr>
          <w:t xml:space="preserve">https://doi.org/10.1016/j.agrformet.2017.08.007</w:t>
        </w:r>
      </w:hyperlink>
    </w:p>
    <w:bookmarkEnd w:id="255"/>
    <w:bookmarkStart w:id="257"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56">
        <w:r>
          <w:rPr>
            <w:rStyle w:val="Hyperlink"/>
          </w:rPr>
          <w:t xml:space="preserve">https://doi.org/10.1111/gcb.14120</w:t>
        </w:r>
      </w:hyperlink>
    </w:p>
    <w:bookmarkEnd w:id="257"/>
    <w:bookmarkStart w:id="259"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58">
        <w:r>
          <w:rPr>
            <w:rStyle w:val="Hyperlink"/>
          </w:rPr>
          <w:t xml:space="preserve">https://doi.org/10.1002/ecm.1272</w:t>
        </w:r>
      </w:hyperlink>
    </w:p>
    <w:bookmarkEnd w:id="259"/>
    <w:bookmarkStart w:id="261"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60">
        <w:r>
          <w:rPr>
            <w:rStyle w:val="Hyperlink"/>
          </w:rPr>
          <w:t xml:space="preserve">https://doi.org/10.1007/978-94-007-1242-3_2</w:t>
        </w:r>
      </w:hyperlink>
    </w:p>
    <w:bookmarkEnd w:id="261"/>
    <w:bookmarkStart w:id="263"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62">
        <w:r>
          <w:rPr>
            <w:rStyle w:val="Hyperlink"/>
          </w:rPr>
          <w:t xml:space="preserve">https://doi.org/10.1002/joc.2117</w:t>
        </w:r>
      </w:hyperlink>
    </w:p>
    <w:bookmarkEnd w:id="263"/>
    <w:bookmarkStart w:id="265"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4">
        <w:r>
          <w:rPr>
            <w:rStyle w:val="Hyperlink"/>
          </w:rPr>
          <w:t xml:space="preserve">https://doi.org/10.1007/s00468-018-1767-z</w:t>
        </w:r>
      </w:hyperlink>
    </w:p>
    <w:bookmarkEnd w:id="265"/>
    <w:bookmarkStart w:id="267"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66">
        <w:r>
          <w:rPr>
            <w:rStyle w:val="Hyperlink"/>
          </w:rPr>
          <w:t xml:space="preserve">https://doi.org/10.1016/j.agrformet.2017.07.015</w:t>
        </w:r>
      </w:hyperlink>
    </w:p>
    <w:bookmarkEnd w:id="267"/>
    <w:bookmarkStart w:id="269"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68">
        <w:r>
          <w:rPr>
            <w:rStyle w:val="Hyperlink"/>
          </w:rPr>
          <w:t xml:space="preserve">https://doi.org/10.1111/2041-210X.12590</w:t>
        </w:r>
      </w:hyperlink>
    </w:p>
    <w:bookmarkEnd w:id="269"/>
    <w:bookmarkStart w:id="271"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70">
        <w:r>
          <w:rPr>
            <w:rStyle w:val="Hyperlink"/>
          </w:rPr>
          <w:t xml:space="preserve">https://doi.org/10.1111/gcb.13572</w:t>
        </w:r>
      </w:hyperlink>
    </w:p>
    <w:bookmarkEnd w:id="271"/>
    <w:bookmarkStart w:id="273"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72">
        <w:r>
          <w:rPr>
            <w:rStyle w:val="Hyperlink"/>
          </w:rPr>
          <w:t xml:space="preserve">https://doi.org/10.1038/ngeo2313</w:t>
        </w:r>
      </w:hyperlink>
    </w:p>
    <w:bookmarkEnd w:id="273"/>
    <w:bookmarkStart w:id="275"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4">
        <w:r>
          <w:rPr>
            <w:rStyle w:val="Hyperlink"/>
          </w:rPr>
          <w:t xml:space="preserve">https://doi.org/10.1007/s00442-013-2846-x</w:t>
        </w:r>
      </w:hyperlink>
    </w:p>
    <w:bookmarkEnd w:id="275"/>
    <w:bookmarkStart w:id="277"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76">
        <w:r>
          <w:rPr>
            <w:rStyle w:val="Hyperlink"/>
          </w:rPr>
          <w:t xml:space="preserve">https://doi.org/10.1890/0012-9615(2006)076[0549:HCGEDW]2.0.CO;2</w:t>
        </w:r>
      </w:hyperlink>
    </w:p>
    <w:bookmarkEnd w:id="277"/>
    <w:bookmarkStart w:id="279"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78">
        <w:r>
          <w:rPr>
            <w:rStyle w:val="Hyperlink"/>
          </w:rPr>
          <w:t xml:space="preserve">https://doi.org/10.1016/j.foreco.2009.03.007</w:t>
        </w:r>
      </w:hyperlink>
    </w:p>
    <w:bookmarkEnd w:id="279"/>
    <w:bookmarkStart w:id="281"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80">
        <w:r>
          <w:rPr>
            <w:rStyle w:val="Hyperlink"/>
          </w:rPr>
          <w:t xml:space="preserve">https://doi.org/10.1111/nph.16866</w:t>
        </w:r>
      </w:hyperlink>
    </w:p>
    <w:bookmarkEnd w:id="281"/>
    <w:bookmarkStart w:id="283"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2">
        <w:r>
          <w:rPr>
            <w:rStyle w:val="Hyperlink"/>
          </w:rPr>
          <w:t xml:space="preserve">https://doi.org/10.1038/nclimate1693</w:t>
        </w:r>
      </w:hyperlink>
    </w:p>
    <w:bookmarkEnd w:id="283"/>
    <w:bookmarkStart w:id="285"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84">
        <w:r>
          <w:rPr>
            <w:rStyle w:val="Hyperlink"/>
          </w:rPr>
          <w:t xml:space="preserve">https://doi.org/10.1111/gcb.15057</w:t>
        </w:r>
      </w:hyperlink>
    </w:p>
    <w:bookmarkEnd w:id="285"/>
    <w:bookmarkStart w:id="287"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86">
        <w:r>
          <w:rPr>
            <w:rStyle w:val="Hyperlink"/>
          </w:rPr>
          <w:t xml:space="preserve">https://doi.org/10.1111/j.1467-9868.2010.00749.x</w:t>
        </w:r>
      </w:hyperlink>
    </w:p>
    <w:bookmarkEnd w:id="287"/>
    <w:bookmarkStart w:id="289"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88">
        <w:r>
          <w:rPr>
            <w:rStyle w:val="Hyperlink"/>
          </w:rPr>
          <w:t xml:space="preserve">https://doi.org/10.1191/095968399667128516</w:t>
        </w:r>
      </w:hyperlink>
    </w:p>
    <w:bookmarkEnd w:id="289"/>
    <w:bookmarkStart w:id="291"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90">
        <w:r>
          <w:rPr>
            <w:rStyle w:val="Hyperlink"/>
          </w:rPr>
          <w:t xml:space="preserve">https://doi.org/10.1016/j.dendro.2012.08.001</w:t>
        </w:r>
      </w:hyperlink>
    </w:p>
    <w:bookmarkEnd w:id="291"/>
    <w:bookmarkStart w:id="293"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92">
        <w:r>
          <w:rPr>
            <w:rStyle w:val="Hyperlink"/>
          </w:rPr>
          <w:t xml:space="preserve">https://doi.org/10.1016/j.tplants.2013.05.006</w:t>
        </w:r>
      </w:hyperlink>
    </w:p>
    <w:bookmarkEnd w:id="293"/>
    <w:bookmarkEnd w:id="294"/>
    <w:bookmarkEnd w:id="295"/>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71315dca"/>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42" Target="https://doi.org/10.1002/2016JG003528" TargetMode="External" /><Relationship Type="http://schemas.openxmlformats.org/officeDocument/2006/relationships/hyperlink" Id="rId80" Target="https://doi.org/10.1002/ece3.1532" TargetMode="External" /><Relationship Type="http://schemas.openxmlformats.org/officeDocument/2006/relationships/hyperlink" Id="rId258" Target="https://doi.org/10.1002/ecm.1272" TargetMode="External" /><Relationship Type="http://schemas.openxmlformats.org/officeDocument/2006/relationships/hyperlink" Id="rId142" Target="https://doi.org/10.1002/ecm.1423" TargetMode="External" /><Relationship Type="http://schemas.openxmlformats.org/officeDocument/2006/relationships/hyperlink" Id="rId134" Target="https://doi.org/10.1002/ecs2.1454" TargetMode="External" /><Relationship Type="http://schemas.openxmlformats.org/officeDocument/2006/relationships/hyperlink" Id="rId151" Target="https://doi.org/10.1002/ecs2.1847" TargetMode="External" /><Relationship Type="http://schemas.openxmlformats.org/officeDocument/2006/relationships/hyperlink" Id="rId140" Target="https://doi.org/10.1002/ecs2.1889" TargetMode="External" /><Relationship Type="http://schemas.openxmlformats.org/officeDocument/2006/relationships/hyperlink" Id="rId230" Target="https://doi.org/10.1002/ecy.3264" TargetMode="External" /><Relationship Type="http://schemas.openxmlformats.org/officeDocument/2006/relationships/hyperlink" Id="rId262" Target="https://doi.org/10.1002/joc.2117" TargetMode="External" /><Relationship Type="http://schemas.openxmlformats.org/officeDocument/2006/relationships/hyperlink" Id="rId168" Target="https://doi.org/10.1002/joc.3711" TargetMode="External" /><Relationship Type="http://schemas.openxmlformats.org/officeDocument/2006/relationships/hyperlink" Id="rId68" Target="https://doi.org/10.1007/978-3-319-61669-8" TargetMode="External" /><Relationship Type="http://schemas.openxmlformats.org/officeDocument/2006/relationships/hyperlink" Id="rId260" Target="https://doi.org/10.1007/978-94-007-1242-3_2" TargetMode="External" /><Relationship Type="http://schemas.openxmlformats.org/officeDocument/2006/relationships/hyperlink" Id="rId274" Target="https://doi.org/10.1007/s00442-013-2846-x" TargetMode="External" /><Relationship Type="http://schemas.openxmlformats.org/officeDocument/2006/relationships/hyperlink" Id="rId66" Target="https://doi.org/10.1007/s00442-017-3879-3" TargetMode="External" /><Relationship Type="http://schemas.openxmlformats.org/officeDocument/2006/relationships/hyperlink" Id="rId234" Target="https://doi.org/10.1007/s00468-010-0480-3" TargetMode="External" /><Relationship Type="http://schemas.openxmlformats.org/officeDocument/2006/relationships/hyperlink" Id="rId64" Target="https://doi.org/10.1007/s00468-017-1629-0" TargetMode="External" /><Relationship Type="http://schemas.openxmlformats.org/officeDocument/2006/relationships/hyperlink" Id="rId264" Target="https://doi.org/10.1007/s00468-018-1767-z" TargetMode="External" /><Relationship Type="http://schemas.openxmlformats.org/officeDocument/2006/relationships/hyperlink" Id="rId155" Target="https://doi.org/10.1007/s10021-020-00501-y" TargetMode="External" /><Relationship Type="http://schemas.openxmlformats.org/officeDocument/2006/relationships/hyperlink" Id="rId164" Target="https://doi.org/10.1007/s10342-016-0982-7" TargetMode="External" /><Relationship Type="http://schemas.openxmlformats.org/officeDocument/2006/relationships/hyperlink" Id="rId200" Target="https://doi.org/10.1007/s10584-016-1720-3" TargetMode="External" /><Relationship Type="http://schemas.openxmlformats.org/officeDocument/2006/relationships/hyperlink" Id="rId153" Target="https://doi.org/10.1007/s10584-020-02868-2" TargetMode="External" /><Relationship Type="http://schemas.openxmlformats.org/officeDocument/2006/relationships/hyperlink" Id="rId250" Target="https://doi.org/10.1007/s11258-007-9345-2" TargetMode="External" /><Relationship Type="http://schemas.openxmlformats.org/officeDocument/2006/relationships/hyperlink" Id="rId149" Target="https://doi.org/10.1016/S0065-2504(08)60158-0" TargetMode="External" /><Relationship Type="http://schemas.openxmlformats.org/officeDocument/2006/relationships/hyperlink" Id="rId119" Target="https://doi.org/10.1016/S0378-1127(98)00242-4" TargetMode="External" /><Relationship Type="http://schemas.openxmlformats.org/officeDocument/2006/relationships/hyperlink" Id="rId89" Target="https://doi.org/10.1016/j.agrformet.2012.10.010" TargetMode="External" /><Relationship Type="http://schemas.openxmlformats.org/officeDocument/2006/relationships/hyperlink" Id="rId266" Target="https://doi.org/10.1016/j.agrformet.2017.07.015" TargetMode="External" /><Relationship Type="http://schemas.openxmlformats.org/officeDocument/2006/relationships/hyperlink" Id="rId254" Target="https://doi.org/10.1016/j.agrformet.2017.08.007" TargetMode="External" /><Relationship Type="http://schemas.openxmlformats.org/officeDocument/2006/relationships/hyperlink" Id="rId125" Target="https://doi.org/10.1016/j.biocon.2020.108907" TargetMode="External" /><Relationship Type="http://schemas.openxmlformats.org/officeDocument/2006/relationships/hyperlink" Id="rId208" Target="https://doi.org/10.1016/j.cageo.2011.01.013" TargetMode="External" /><Relationship Type="http://schemas.openxmlformats.org/officeDocument/2006/relationships/hyperlink" Id="rId290" Target="https://doi.org/10.1016/j.dendro.2012.08.001" TargetMode="External" /><Relationship Type="http://schemas.openxmlformats.org/officeDocument/2006/relationships/hyperlink" Id="rId226" Target="https://doi.org/10.1016/j.dendro.2020.125678" TargetMode="External" /><Relationship Type="http://schemas.openxmlformats.org/officeDocument/2006/relationships/hyperlink" Id="rId136" Target="https://doi.org/10.1016/j.foreco.2008.10.014" TargetMode="External" /><Relationship Type="http://schemas.openxmlformats.org/officeDocument/2006/relationships/hyperlink" Id="rId278" Target="https://doi.org/10.1016/j.foreco.2009.03.007" TargetMode="External" /><Relationship Type="http://schemas.openxmlformats.org/officeDocument/2006/relationships/hyperlink" Id="rId194" Target="https://doi.org/10.1016/j.foreco.2009.03.009" TargetMode="External" /><Relationship Type="http://schemas.openxmlformats.org/officeDocument/2006/relationships/hyperlink" Id="rId127" Target="https://doi.org/10.1016/j.foreco.2009.08.009" TargetMode="External" /><Relationship Type="http://schemas.openxmlformats.org/officeDocument/2006/relationships/hyperlink" Id="rId236" Target="https://doi.org/10.1016/j.foreco.2015.08.034" TargetMode="External" /><Relationship Type="http://schemas.openxmlformats.org/officeDocument/2006/relationships/hyperlink" Id="rId144" Target="https://doi.org/10.1016/j.foreco.2020.118717" TargetMode="External" /><Relationship Type="http://schemas.openxmlformats.org/officeDocument/2006/relationships/hyperlink" Id="rId82" Target="https://doi.org/10.1016/j.quascirev.2018.07.009" TargetMode="External" /><Relationship Type="http://schemas.openxmlformats.org/officeDocument/2006/relationships/hyperlink" Id="rId252" Target="https://doi.org/10.1016/j.scitotenv.2020.140288" TargetMode="External" /><Relationship Type="http://schemas.openxmlformats.org/officeDocument/2006/relationships/hyperlink" Id="rId105" Target="https://doi.org/10.1016/j.tplants.2012.08.005" TargetMode="External" /><Relationship Type="http://schemas.openxmlformats.org/officeDocument/2006/relationships/hyperlink" Id="rId292" Target="https://doi.org/10.1016/j.tplants.2013.05.006" TargetMode="External" /><Relationship Type="http://schemas.openxmlformats.org/officeDocument/2006/relationships/hyperlink" Id="rId215" Target="https://doi.org/10.1017/S1464793104006499" TargetMode="External" /><Relationship Type="http://schemas.openxmlformats.org/officeDocument/2006/relationships/hyperlink" Id="rId62" Target="https://doi.org/10.1017/qua.2019.33" TargetMode="External" /><Relationship Type="http://schemas.openxmlformats.org/officeDocument/2006/relationships/hyperlink" Id="rId109" Target="https://doi.org/10.1029/2011GB004143" TargetMode="External" /><Relationship Type="http://schemas.openxmlformats.org/officeDocument/2006/relationships/hyperlink" Id="rId174" Target="https://doi.org/10.1029/2018JG004573" TargetMode="External" /><Relationship Type="http://schemas.openxmlformats.org/officeDocument/2006/relationships/hyperlink" Id="rId198" Target="https://doi.org/10.1029/2019JG005298" TargetMode="External" /><Relationship Type="http://schemas.openxmlformats.org/officeDocument/2006/relationships/hyperlink" Id="rId245" Target="https://doi.org/10.1038/nature12914" TargetMode="External" /><Relationship Type="http://schemas.openxmlformats.org/officeDocument/2006/relationships/hyperlink" Id="rId282" Target="https://doi.org/10.1038/nclimate1693" TargetMode="External" /><Relationship Type="http://schemas.openxmlformats.org/officeDocument/2006/relationships/hyperlink" Id="rId272" Target="https://doi.org/10.1038/ngeo2313" TargetMode="External" /><Relationship Type="http://schemas.openxmlformats.org/officeDocument/2006/relationships/hyperlink" Id="rId93" Target="https://doi.org/10.1038/nplants.2015.139" TargetMode="External" /><Relationship Type="http://schemas.openxmlformats.org/officeDocument/2006/relationships/hyperlink" Id="rId180" Target="https://doi.org/10.1038/s41467-018-07800-y" TargetMode="External" /><Relationship Type="http://schemas.openxmlformats.org/officeDocument/2006/relationships/hyperlink" Id="rId132" Target="https://doi.org/10.1038/s41467-020-14300-5" TargetMode="External" /><Relationship Type="http://schemas.openxmlformats.org/officeDocument/2006/relationships/hyperlink" Id="rId121" Target="https://doi.org/10.1038/s41467-020-19187-w" TargetMode="External" /><Relationship Type="http://schemas.openxmlformats.org/officeDocument/2006/relationships/hyperlink" Id="rId176" Target="https://doi.org/10.1038/s41586-021-03325-5" TargetMode="External" /><Relationship Type="http://schemas.openxmlformats.org/officeDocument/2006/relationships/hyperlink" Id="rId170" Target="https://doi.org/10.1038/s41597-020-0453-3" TargetMode="External" /><Relationship Type="http://schemas.openxmlformats.org/officeDocument/2006/relationships/hyperlink" Id="rId186" Target="https://doi.org/10.1038/srep46158" TargetMode="External" /><Relationship Type="http://schemas.openxmlformats.org/officeDocument/2006/relationships/hyperlink" Id="rId157" Target="https://doi.org/10.1073/pnas.1610156113" TargetMode="External" /><Relationship Type="http://schemas.openxmlformats.org/officeDocument/2006/relationships/hyperlink" Id="rId107" Target="https://doi.org/10.1078/1125-7865-00017" TargetMode="External" /><Relationship Type="http://schemas.openxmlformats.org/officeDocument/2006/relationships/hyperlink" Id="rId248" Target="https://doi.org/10.1088/1748-9326/11/11/114007" TargetMode="External" /><Relationship Type="http://schemas.openxmlformats.org/officeDocument/2006/relationships/hyperlink" Id="rId178" Target="https://doi.org/10.1088/1748-9326/abd8fb" TargetMode="External" /><Relationship Type="http://schemas.openxmlformats.org/officeDocument/2006/relationships/hyperlink" Id="rId182" Target="https://doi.org/10.1093/treephys/tpaa091" TargetMode="External" /><Relationship Type="http://schemas.openxmlformats.org/officeDocument/2006/relationships/hyperlink" Id="rId74" Target="https://doi.org/10.1111/1365-2435.12470" TargetMode="External" /><Relationship Type="http://schemas.openxmlformats.org/officeDocument/2006/relationships/hyperlink" Id="rId240" Target="https://doi.org/10.1111/1365-2435.12775" TargetMode="External" /><Relationship Type="http://schemas.openxmlformats.org/officeDocument/2006/relationships/hyperlink" Id="rId129" Target="https://doi.org/10.1111/1365-2745.13569" TargetMode="External" /><Relationship Type="http://schemas.openxmlformats.org/officeDocument/2006/relationships/hyperlink" Id="rId268" Target="https://doi.org/10.1111/2041-210X.12590" TargetMode="External" /><Relationship Type="http://schemas.openxmlformats.org/officeDocument/2006/relationships/hyperlink" Id="rId228" Target="https://doi.org/10.1111/2041-210X.12753" TargetMode="External" /><Relationship Type="http://schemas.openxmlformats.org/officeDocument/2006/relationships/hyperlink" Id="rId78" Target="https://doi.org/10.1111/ecog.05055" TargetMode="External" /><Relationship Type="http://schemas.openxmlformats.org/officeDocument/2006/relationships/hyperlink" Id="rId86" Target="https://doi.org/10.1111/gcb.12349" TargetMode="External" /><Relationship Type="http://schemas.openxmlformats.org/officeDocument/2006/relationships/hyperlink" Id="rId213" Target="https://doi.org/10.1111/gcb.12599" TargetMode="External" /><Relationship Type="http://schemas.openxmlformats.org/officeDocument/2006/relationships/hyperlink" Id="rId72" Target="https://doi.org/10.1111/gcb.12712" TargetMode="External" /><Relationship Type="http://schemas.openxmlformats.org/officeDocument/2006/relationships/hyperlink" Id="rId220" Target="https://doi.org/10.1111/gcb.12826" TargetMode="External" /><Relationship Type="http://schemas.openxmlformats.org/officeDocument/2006/relationships/hyperlink" Id="rId162" Target="https://doi.org/10.1111/gcb.12955" TargetMode="External" /><Relationship Type="http://schemas.openxmlformats.org/officeDocument/2006/relationships/hyperlink" Id="rId146" Target="https://doi.org/10.1111/gcb.13208" TargetMode="External" /><Relationship Type="http://schemas.openxmlformats.org/officeDocument/2006/relationships/hyperlink" Id="rId111" Target="https://doi.org/10.1111/gcb.13410" TargetMode="External" /><Relationship Type="http://schemas.openxmlformats.org/officeDocument/2006/relationships/hyperlink" Id="rId117" Target="https://doi.org/10.1111/gcb.13535" TargetMode="External" /><Relationship Type="http://schemas.openxmlformats.org/officeDocument/2006/relationships/hyperlink" Id="rId270" Target="https://doi.org/10.1111/gcb.13572" TargetMode="External" /><Relationship Type="http://schemas.openxmlformats.org/officeDocument/2006/relationships/hyperlink" Id="rId256" Target="https://doi.org/10.1111/gcb.14120" TargetMode="External" /><Relationship Type="http://schemas.openxmlformats.org/officeDocument/2006/relationships/hyperlink" Id="rId196" Target="https://doi.org/10.1111/gcb.14273" TargetMode="External" /><Relationship Type="http://schemas.openxmlformats.org/officeDocument/2006/relationships/hyperlink" Id="rId166" Target="https://doi.org/10.1111/gcb.14561" TargetMode="External" /><Relationship Type="http://schemas.openxmlformats.org/officeDocument/2006/relationships/hyperlink" Id="rId284" Target="https://doi.org/10.1111/gcb.15057" TargetMode="External" /><Relationship Type="http://schemas.openxmlformats.org/officeDocument/2006/relationships/hyperlink" Id="rId91" Target="https://doi.org/10.1111/gcb.15491" TargetMode="External" /><Relationship Type="http://schemas.openxmlformats.org/officeDocument/2006/relationships/hyperlink" Id="rId192" Target="https://doi.org/10.1111/gcb.15548" TargetMode="External" /><Relationship Type="http://schemas.openxmlformats.org/officeDocument/2006/relationships/hyperlink" Id="rId217" Target="https://doi.org/10.1111/j.1365-2486.2010.02222.x" TargetMode="External" /><Relationship Type="http://schemas.openxmlformats.org/officeDocument/2006/relationships/hyperlink" Id="rId286" Target="https://doi.org/10.1111/j.1467-9868.2010.00749.x" TargetMode="External" /><Relationship Type="http://schemas.openxmlformats.org/officeDocument/2006/relationships/hyperlink" Id="rId232" Target="https://doi.org/10.1111/j.1469-8137.2007.02235.x" TargetMode="External" /><Relationship Type="http://schemas.openxmlformats.org/officeDocument/2006/relationships/hyperlink" Id="rId211" Target="https://doi.org/10.1111/j.1600-0587.2013.00205.x" TargetMode="External" /><Relationship Type="http://schemas.openxmlformats.org/officeDocument/2006/relationships/hyperlink" Id="rId206" Target="https://doi.org/10.1111/nph.14633" TargetMode="External" /><Relationship Type="http://schemas.openxmlformats.org/officeDocument/2006/relationships/hyperlink" Id="rId184" Target="https://doi.org/10.1111/nph.15668" TargetMode="External" /><Relationship Type="http://schemas.openxmlformats.org/officeDocument/2006/relationships/hyperlink" Id="rId172" Target="https://doi.org/10.1111/nph.15906" TargetMode="External" /><Relationship Type="http://schemas.openxmlformats.org/officeDocument/2006/relationships/hyperlink" Id="rId280" Target="https://doi.org/10.1111/nph.16866" TargetMode="External" /><Relationship Type="http://schemas.openxmlformats.org/officeDocument/2006/relationships/hyperlink" Id="rId204" Target="https://doi.org/10.1111/nph.16996" TargetMode="External" /><Relationship Type="http://schemas.openxmlformats.org/officeDocument/2006/relationships/hyperlink" Id="rId84" Target="https://doi.org/10.1126/sciadv.aat4313" TargetMode="External" /><Relationship Type="http://schemas.openxmlformats.org/officeDocument/2006/relationships/hyperlink" Id="rId138" Target="https://doi.org/10.1126/science.1066360" TargetMode="External" /><Relationship Type="http://schemas.openxmlformats.org/officeDocument/2006/relationships/hyperlink" Id="rId115" Target="https://doi.org/10.1126/science.1197175" TargetMode="External" /><Relationship Type="http://schemas.openxmlformats.org/officeDocument/2006/relationships/hyperlink" Id="rId202" Target="https://doi.org/10.1126/science.aaz9463" TargetMode="External" /><Relationship Type="http://schemas.openxmlformats.org/officeDocument/2006/relationships/hyperlink" Id="rId113" Target="https://doi.org/10.1139/cjfr-2018-0206" TargetMode="External" /><Relationship Type="http://schemas.openxmlformats.org/officeDocument/2006/relationships/hyperlink" Id="rId188" Target="https://doi.org/10.1139/x89-102" TargetMode="External" /><Relationship Type="http://schemas.openxmlformats.org/officeDocument/2006/relationships/hyperlink" Id="rId123" Target="https://doi.org/10.1177/095968369700700314" TargetMode="External" /><Relationship Type="http://schemas.openxmlformats.org/officeDocument/2006/relationships/hyperlink" Id="rId238" Target="https://doi.org/10.1186/s40663-018-0133-3" TargetMode="External" /><Relationship Type="http://schemas.openxmlformats.org/officeDocument/2006/relationships/hyperlink" Id="rId224" Target="https://doi.org/10.1186/s40663-018-0139-x" TargetMode="External" /><Relationship Type="http://schemas.openxmlformats.org/officeDocument/2006/relationships/hyperlink" Id="rId288" Target="https://doi.org/10.1191/095968399667128516" TargetMode="External" /><Relationship Type="http://schemas.openxmlformats.org/officeDocument/2006/relationships/hyperlink" Id="rId276" Target="https://doi.org/10.1890/0012-9615(2006)076[0549:HCGEDW]2.0.CO;2" TargetMode="External" /><Relationship Type="http://schemas.openxmlformats.org/officeDocument/2006/relationships/hyperlink" Id="rId103" Target="https://doi.org/10.1890/13-0010.1" TargetMode="External" /><Relationship Type="http://schemas.openxmlformats.org/officeDocument/2006/relationships/hyperlink" Id="rId160" Target="https://doi.org/10.2307/1937545" TargetMode="External" /><Relationship Type="http://schemas.openxmlformats.org/officeDocument/2006/relationships/hyperlink" Id="rId190" Target="https://doi.org/10.2307/1941026" TargetMode="External" /><Relationship Type="http://schemas.openxmlformats.org/officeDocument/2006/relationships/hyperlink" Id="rId95" Target="https://doi.org/10.3959/2008-6.1" TargetMode="External" /><Relationship Type="http://schemas.openxmlformats.org/officeDocument/2006/relationships/hyperlink" Id="rId76" Target="https://doi.org/10.5194/bg-17-4173-2020" TargetMode="External" /><Relationship Type="http://schemas.openxmlformats.org/officeDocument/2006/relationships/hyperlink" Id="rId70" Target="https://doi.org/10.5281/ZENODO.3958215" TargetMode="External" /><Relationship Type="http://schemas.openxmlformats.org/officeDocument/2006/relationships/hyperlink" Id="rId30" Target="https://github.com/EcoClimLab/ForestGEO-climate-sensitivity/issues/128"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7" Target="https://www.ncdc.noaa.gov/paleo-search/study/31995" TargetMode="External" /><Relationship Type="http://schemas.openxmlformats.org/officeDocument/2006/relationships/hyperlink" Id="rId99" Target="https://www.ncdc.noaa.gov/paleo-search/study/31996" TargetMode="External" /><Relationship Type="http://schemas.openxmlformats.org/officeDocument/2006/relationships/hyperlink" Id="rId101"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42" Target="https://doi.org/10.1002/2016JG003528" TargetMode="External" /><Relationship Type="http://schemas.openxmlformats.org/officeDocument/2006/relationships/hyperlink" Id="rId80" Target="https://doi.org/10.1002/ece3.1532" TargetMode="External" /><Relationship Type="http://schemas.openxmlformats.org/officeDocument/2006/relationships/hyperlink" Id="rId258" Target="https://doi.org/10.1002/ecm.1272" TargetMode="External" /><Relationship Type="http://schemas.openxmlformats.org/officeDocument/2006/relationships/hyperlink" Id="rId142" Target="https://doi.org/10.1002/ecm.1423" TargetMode="External" /><Relationship Type="http://schemas.openxmlformats.org/officeDocument/2006/relationships/hyperlink" Id="rId134" Target="https://doi.org/10.1002/ecs2.1454" TargetMode="External" /><Relationship Type="http://schemas.openxmlformats.org/officeDocument/2006/relationships/hyperlink" Id="rId151" Target="https://doi.org/10.1002/ecs2.1847" TargetMode="External" /><Relationship Type="http://schemas.openxmlformats.org/officeDocument/2006/relationships/hyperlink" Id="rId140" Target="https://doi.org/10.1002/ecs2.1889" TargetMode="External" /><Relationship Type="http://schemas.openxmlformats.org/officeDocument/2006/relationships/hyperlink" Id="rId230" Target="https://doi.org/10.1002/ecy.3264" TargetMode="External" /><Relationship Type="http://schemas.openxmlformats.org/officeDocument/2006/relationships/hyperlink" Id="rId262" Target="https://doi.org/10.1002/joc.2117" TargetMode="External" /><Relationship Type="http://schemas.openxmlformats.org/officeDocument/2006/relationships/hyperlink" Id="rId168" Target="https://doi.org/10.1002/joc.3711" TargetMode="External" /><Relationship Type="http://schemas.openxmlformats.org/officeDocument/2006/relationships/hyperlink" Id="rId68" Target="https://doi.org/10.1007/978-3-319-61669-8" TargetMode="External" /><Relationship Type="http://schemas.openxmlformats.org/officeDocument/2006/relationships/hyperlink" Id="rId260" Target="https://doi.org/10.1007/978-94-007-1242-3_2" TargetMode="External" /><Relationship Type="http://schemas.openxmlformats.org/officeDocument/2006/relationships/hyperlink" Id="rId274" Target="https://doi.org/10.1007/s00442-013-2846-x" TargetMode="External" /><Relationship Type="http://schemas.openxmlformats.org/officeDocument/2006/relationships/hyperlink" Id="rId66" Target="https://doi.org/10.1007/s00442-017-3879-3" TargetMode="External" /><Relationship Type="http://schemas.openxmlformats.org/officeDocument/2006/relationships/hyperlink" Id="rId234" Target="https://doi.org/10.1007/s00468-010-0480-3" TargetMode="External" /><Relationship Type="http://schemas.openxmlformats.org/officeDocument/2006/relationships/hyperlink" Id="rId64" Target="https://doi.org/10.1007/s00468-017-1629-0" TargetMode="External" /><Relationship Type="http://schemas.openxmlformats.org/officeDocument/2006/relationships/hyperlink" Id="rId264" Target="https://doi.org/10.1007/s00468-018-1767-z" TargetMode="External" /><Relationship Type="http://schemas.openxmlformats.org/officeDocument/2006/relationships/hyperlink" Id="rId155" Target="https://doi.org/10.1007/s10021-020-00501-y" TargetMode="External" /><Relationship Type="http://schemas.openxmlformats.org/officeDocument/2006/relationships/hyperlink" Id="rId164" Target="https://doi.org/10.1007/s10342-016-0982-7" TargetMode="External" /><Relationship Type="http://schemas.openxmlformats.org/officeDocument/2006/relationships/hyperlink" Id="rId200" Target="https://doi.org/10.1007/s10584-016-1720-3" TargetMode="External" /><Relationship Type="http://schemas.openxmlformats.org/officeDocument/2006/relationships/hyperlink" Id="rId153" Target="https://doi.org/10.1007/s10584-020-02868-2" TargetMode="External" /><Relationship Type="http://schemas.openxmlformats.org/officeDocument/2006/relationships/hyperlink" Id="rId250" Target="https://doi.org/10.1007/s11258-007-9345-2" TargetMode="External" /><Relationship Type="http://schemas.openxmlformats.org/officeDocument/2006/relationships/hyperlink" Id="rId149" Target="https://doi.org/10.1016/S0065-2504(08)60158-0" TargetMode="External" /><Relationship Type="http://schemas.openxmlformats.org/officeDocument/2006/relationships/hyperlink" Id="rId119" Target="https://doi.org/10.1016/S0378-1127(98)00242-4" TargetMode="External" /><Relationship Type="http://schemas.openxmlformats.org/officeDocument/2006/relationships/hyperlink" Id="rId89" Target="https://doi.org/10.1016/j.agrformet.2012.10.010" TargetMode="External" /><Relationship Type="http://schemas.openxmlformats.org/officeDocument/2006/relationships/hyperlink" Id="rId266" Target="https://doi.org/10.1016/j.agrformet.2017.07.015" TargetMode="External" /><Relationship Type="http://schemas.openxmlformats.org/officeDocument/2006/relationships/hyperlink" Id="rId254" Target="https://doi.org/10.1016/j.agrformet.2017.08.007" TargetMode="External" /><Relationship Type="http://schemas.openxmlformats.org/officeDocument/2006/relationships/hyperlink" Id="rId125" Target="https://doi.org/10.1016/j.biocon.2020.108907" TargetMode="External" /><Relationship Type="http://schemas.openxmlformats.org/officeDocument/2006/relationships/hyperlink" Id="rId208" Target="https://doi.org/10.1016/j.cageo.2011.01.013" TargetMode="External" /><Relationship Type="http://schemas.openxmlformats.org/officeDocument/2006/relationships/hyperlink" Id="rId290" Target="https://doi.org/10.1016/j.dendro.2012.08.001" TargetMode="External" /><Relationship Type="http://schemas.openxmlformats.org/officeDocument/2006/relationships/hyperlink" Id="rId226" Target="https://doi.org/10.1016/j.dendro.2020.125678" TargetMode="External" /><Relationship Type="http://schemas.openxmlformats.org/officeDocument/2006/relationships/hyperlink" Id="rId136" Target="https://doi.org/10.1016/j.foreco.2008.10.014" TargetMode="External" /><Relationship Type="http://schemas.openxmlformats.org/officeDocument/2006/relationships/hyperlink" Id="rId278" Target="https://doi.org/10.1016/j.foreco.2009.03.007" TargetMode="External" /><Relationship Type="http://schemas.openxmlformats.org/officeDocument/2006/relationships/hyperlink" Id="rId194" Target="https://doi.org/10.1016/j.foreco.2009.03.009" TargetMode="External" /><Relationship Type="http://schemas.openxmlformats.org/officeDocument/2006/relationships/hyperlink" Id="rId127" Target="https://doi.org/10.1016/j.foreco.2009.08.009" TargetMode="External" /><Relationship Type="http://schemas.openxmlformats.org/officeDocument/2006/relationships/hyperlink" Id="rId236" Target="https://doi.org/10.1016/j.foreco.2015.08.034" TargetMode="External" /><Relationship Type="http://schemas.openxmlformats.org/officeDocument/2006/relationships/hyperlink" Id="rId144" Target="https://doi.org/10.1016/j.foreco.2020.118717" TargetMode="External" /><Relationship Type="http://schemas.openxmlformats.org/officeDocument/2006/relationships/hyperlink" Id="rId82" Target="https://doi.org/10.1016/j.quascirev.2018.07.009" TargetMode="External" /><Relationship Type="http://schemas.openxmlformats.org/officeDocument/2006/relationships/hyperlink" Id="rId252" Target="https://doi.org/10.1016/j.scitotenv.2020.140288" TargetMode="External" /><Relationship Type="http://schemas.openxmlformats.org/officeDocument/2006/relationships/hyperlink" Id="rId105" Target="https://doi.org/10.1016/j.tplants.2012.08.005" TargetMode="External" /><Relationship Type="http://schemas.openxmlformats.org/officeDocument/2006/relationships/hyperlink" Id="rId292" Target="https://doi.org/10.1016/j.tplants.2013.05.006" TargetMode="External" /><Relationship Type="http://schemas.openxmlformats.org/officeDocument/2006/relationships/hyperlink" Id="rId215" Target="https://doi.org/10.1017/S1464793104006499" TargetMode="External" /><Relationship Type="http://schemas.openxmlformats.org/officeDocument/2006/relationships/hyperlink" Id="rId62" Target="https://doi.org/10.1017/qua.2019.33" TargetMode="External" /><Relationship Type="http://schemas.openxmlformats.org/officeDocument/2006/relationships/hyperlink" Id="rId109" Target="https://doi.org/10.1029/2011GB004143" TargetMode="External" /><Relationship Type="http://schemas.openxmlformats.org/officeDocument/2006/relationships/hyperlink" Id="rId174" Target="https://doi.org/10.1029/2018JG004573" TargetMode="External" /><Relationship Type="http://schemas.openxmlformats.org/officeDocument/2006/relationships/hyperlink" Id="rId198" Target="https://doi.org/10.1029/2019JG005298" TargetMode="External" /><Relationship Type="http://schemas.openxmlformats.org/officeDocument/2006/relationships/hyperlink" Id="rId245" Target="https://doi.org/10.1038/nature12914" TargetMode="External" /><Relationship Type="http://schemas.openxmlformats.org/officeDocument/2006/relationships/hyperlink" Id="rId282" Target="https://doi.org/10.1038/nclimate1693" TargetMode="External" /><Relationship Type="http://schemas.openxmlformats.org/officeDocument/2006/relationships/hyperlink" Id="rId272" Target="https://doi.org/10.1038/ngeo2313" TargetMode="External" /><Relationship Type="http://schemas.openxmlformats.org/officeDocument/2006/relationships/hyperlink" Id="rId93" Target="https://doi.org/10.1038/nplants.2015.139" TargetMode="External" /><Relationship Type="http://schemas.openxmlformats.org/officeDocument/2006/relationships/hyperlink" Id="rId180" Target="https://doi.org/10.1038/s41467-018-07800-y" TargetMode="External" /><Relationship Type="http://schemas.openxmlformats.org/officeDocument/2006/relationships/hyperlink" Id="rId132" Target="https://doi.org/10.1038/s41467-020-14300-5" TargetMode="External" /><Relationship Type="http://schemas.openxmlformats.org/officeDocument/2006/relationships/hyperlink" Id="rId121" Target="https://doi.org/10.1038/s41467-020-19187-w" TargetMode="External" /><Relationship Type="http://schemas.openxmlformats.org/officeDocument/2006/relationships/hyperlink" Id="rId176" Target="https://doi.org/10.1038/s41586-021-03325-5" TargetMode="External" /><Relationship Type="http://schemas.openxmlformats.org/officeDocument/2006/relationships/hyperlink" Id="rId170" Target="https://doi.org/10.1038/s41597-020-0453-3" TargetMode="External" /><Relationship Type="http://schemas.openxmlformats.org/officeDocument/2006/relationships/hyperlink" Id="rId186" Target="https://doi.org/10.1038/srep46158" TargetMode="External" /><Relationship Type="http://schemas.openxmlformats.org/officeDocument/2006/relationships/hyperlink" Id="rId157" Target="https://doi.org/10.1073/pnas.1610156113" TargetMode="External" /><Relationship Type="http://schemas.openxmlformats.org/officeDocument/2006/relationships/hyperlink" Id="rId107" Target="https://doi.org/10.1078/1125-7865-00017" TargetMode="External" /><Relationship Type="http://schemas.openxmlformats.org/officeDocument/2006/relationships/hyperlink" Id="rId248" Target="https://doi.org/10.1088/1748-9326/11/11/114007" TargetMode="External" /><Relationship Type="http://schemas.openxmlformats.org/officeDocument/2006/relationships/hyperlink" Id="rId178" Target="https://doi.org/10.1088/1748-9326/abd8fb" TargetMode="External" /><Relationship Type="http://schemas.openxmlformats.org/officeDocument/2006/relationships/hyperlink" Id="rId182" Target="https://doi.org/10.1093/treephys/tpaa091" TargetMode="External" /><Relationship Type="http://schemas.openxmlformats.org/officeDocument/2006/relationships/hyperlink" Id="rId74" Target="https://doi.org/10.1111/1365-2435.12470" TargetMode="External" /><Relationship Type="http://schemas.openxmlformats.org/officeDocument/2006/relationships/hyperlink" Id="rId240" Target="https://doi.org/10.1111/1365-2435.12775" TargetMode="External" /><Relationship Type="http://schemas.openxmlformats.org/officeDocument/2006/relationships/hyperlink" Id="rId129" Target="https://doi.org/10.1111/1365-2745.13569" TargetMode="External" /><Relationship Type="http://schemas.openxmlformats.org/officeDocument/2006/relationships/hyperlink" Id="rId268" Target="https://doi.org/10.1111/2041-210X.12590" TargetMode="External" /><Relationship Type="http://schemas.openxmlformats.org/officeDocument/2006/relationships/hyperlink" Id="rId228" Target="https://doi.org/10.1111/2041-210X.12753" TargetMode="External" /><Relationship Type="http://schemas.openxmlformats.org/officeDocument/2006/relationships/hyperlink" Id="rId78" Target="https://doi.org/10.1111/ecog.05055" TargetMode="External" /><Relationship Type="http://schemas.openxmlformats.org/officeDocument/2006/relationships/hyperlink" Id="rId86" Target="https://doi.org/10.1111/gcb.12349" TargetMode="External" /><Relationship Type="http://schemas.openxmlformats.org/officeDocument/2006/relationships/hyperlink" Id="rId213" Target="https://doi.org/10.1111/gcb.12599" TargetMode="External" /><Relationship Type="http://schemas.openxmlformats.org/officeDocument/2006/relationships/hyperlink" Id="rId72" Target="https://doi.org/10.1111/gcb.12712" TargetMode="External" /><Relationship Type="http://schemas.openxmlformats.org/officeDocument/2006/relationships/hyperlink" Id="rId220" Target="https://doi.org/10.1111/gcb.12826" TargetMode="External" /><Relationship Type="http://schemas.openxmlformats.org/officeDocument/2006/relationships/hyperlink" Id="rId162" Target="https://doi.org/10.1111/gcb.12955" TargetMode="External" /><Relationship Type="http://schemas.openxmlformats.org/officeDocument/2006/relationships/hyperlink" Id="rId146" Target="https://doi.org/10.1111/gcb.13208" TargetMode="External" /><Relationship Type="http://schemas.openxmlformats.org/officeDocument/2006/relationships/hyperlink" Id="rId111" Target="https://doi.org/10.1111/gcb.13410" TargetMode="External" /><Relationship Type="http://schemas.openxmlformats.org/officeDocument/2006/relationships/hyperlink" Id="rId117" Target="https://doi.org/10.1111/gcb.13535" TargetMode="External" /><Relationship Type="http://schemas.openxmlformats.org/officeDocument/2006/relationships/hyperlink" Id="rId270" Target="https://doi.org/10.1111/gcb.13572" TargetMode="External" /><Relationship Type="http://schemas.openxmlformats.org/officeDocument/2006/relationships/hyperlink" Id="rId256" Target="https://doi.org/10.1111/gcb.14120" TargetMode="External" /><Relationship Type="http://schemas.openxmlformats.org/officeDocument/2006/relationships/hyperlink" Id="rId196" Target="https://doi.org/10.1111/gcb.14273" TargetMode="External" /><Relationship Type="http://schemas.openxmlformats.org/officeDocument/2006/relationships/hyperlink" Id="rId166" Target="https://doi.org/10.1111/gcb.14561" TargetMode="External" /><Relationship Type="http://schemas.openxmlformats.org/officeDocument/2006/relationships/hyperlink" Id="rId284" Target="https://doi.org/10.1111/gcb.15057" TargetMode="External" /><Relationship Type="http://schemas.openxmlformats.org/officeDocument/2006/relationships/hyperlink" Id="rId91" Target="https://doi.org/10.1111/gcb.15491" TargetMode="External" /><Relationship Type="http://schemas.openxmlformats.org/officeDocument/2006/relationships/hyperlink" Id="rId192" Target="https://doi.org/10.1111/gcb.15548" TargetMode="External" /><Relationship Type="http://schemas.openxmlformats.org/officeDocument/2006/relationships/hyperlink" Id="rId217" Target="https://doi.org/10.1111/j.1365-2486.2010.02222.x" TargetMode="External" /><Relationship Type="http://schemas.openxmlformats.org/officeDocument/2006/relationships/hyperlink" Id="rId286" Target="https://doi.org/10.1111/j.1467-9868.2010.00749.x" TargetMode="External" /><Relationship Type="http://schemas.openxmlformats.org/officeDocument/2006/relationships/hyperlink" Id="rId232" Target="https://doi.org/10.1111/j.1469-8137.2007.02235.x" TargetMode="External" /><Relationship Type="http://schemas.openxmlformats.org/officeDocument/2006/relationships/hyperlink" Id="rId211" Target="https://doi.org/10.1111/j.1600-0587.2013.00205.x" TargetMode="External" /><Relationship Type="http://schemas.openxmlformats.org/officeDocument/2006/relationships/hyperlink" Id="rId206" Target="https://doi.org/10.1111/nph.14633" TargetMode="External" /><Relationship Type="http://schemas.openxmlformats.org/officeDocument/2006/relationships/hyperlink" Id="rId184" Target="https://doi.org/10.1111/nph.15668" TargetMode="External" /><Relationship Type="http://schemas.openxmlformats.org/officeDocument/2006/relationships/hyperlink" Id="rId172" Target="https://doi.org/10.1111/nph.15906" TargetMode="External" /><Relationship Type="http://schemas.openxmlformats.org/officeDocument/2006/relationships/hyperlink" Id="rId280" Target="https://doi.org/10.1111/nph.16866" TargetMode="External" /><Relationship Type="http://schemas.openxmlformats.org/officeDocument/2006/relationships/hyperlink" Id="rId204" Target="https://doi.org/10.1111/nph.16996" TargetMode="External" /><Relationship Type="http://schemas.openxmlformats.org/officeDocument/2006/relationships/hyperlink" Id="rId84" Target="https://doi.org/10.1126/sciadv.aat4313" TargetMode="External" /><Relationship Type="http://schemas.openxmlformats.org/officeDocument/2006/relationships/hyperlink" Id="rId138" Target="https://doi.org/10.1126/science.1066360" TargetMode="External" /><Relationship Type="http://schemas.openxmlformats.org/officeDocument/2006/relationships/hyperlink" Id="rId115" Target="https://doi.org/10.1126/science.1197175" TargetMode="External" /><Relationship Type="http://schemas.openxmlformats.org/officeDocument/2006/relationships/hyperlink" Id="rId202" Target="https://doi.org/10.1126/science.aaz9463" TargetMode="External" /><Relationship Type="http://schemas.openxmlformats.org/officeDocument/2006/relationships/hyperlink" Id="rId113" Target="https://doi.org/10.1139/cjfr-2018-0206" TargetMode="External" /><Relationship Type="http://schemas.openxmlformats.org/officeDocument/2006/relationships/hyperlink" Id="rId188" Target="https://doi.org/10.1139/x89-102" TargetMode="External" /><Relationship Type="http://schemas.openxmlformats.org/officeDocument/2006/relationships/hyperlink" Id="rId123" Target="https://doi.org/10.1177/095968369700700314" TargetMode="External" /><Relationship Type="http://schemas.openxmlformats.org/officeDocument/2006/relationships/hyperlink" Id="rId238" Target="https://doi.org/10.1186/s40663-018-0133-3" TargetMode="External" /><Relationship Type="http://schemas.openxmlformats.org/officeDocument/2006/relationships/hyperlink" Id="rId224" Target="https://doi.org/10.1186/s40663-018-0139-x" TargetMode="External" /><Relationship Type="http://schemas.openxmlformats.org/officeDocument/2006/relationships/hyperlink" Id="rId288" Target="https://doi.org/10.1191/095968399667128516" TargetMode="External" /><Relationship Type="http://schemas.openxmlformats.org/officeDocument/2006/relationships/hyperlink" Id="rId276" Target="https://doi.org/10.1890/0012-9615(2006)076[0549:HCGEDW]2.0.CO;2" TargetMode="External" /><Relationship Type="http://schemas.openxmlformats.org/officeDocument/2006/relationships/hyperlink" Id="rId103" Target="https://doi.org/10.1890/13-0010.1" TargetMode="External" /><Relationship Type="http://schemas.openxmlformats.org/officeDocument/2006/relationships/hyperlink" Id="rId160" Target="https://doi.org/10.2307/1937545" TargetMode="External" /><Relationship Type="http://schemas.openxmlformats.org/officeDocument/2006/relationships/hyperlink" Id="rId190" Target="https://doi.org/10.2307/1941026" TargetMode="External" /><Relationship Type="http://schemas.openxmlformats.org/officeDocument/2006/relationships/hyperlink" Id="rId95" Target="https://doi.org/10.3959/2008-6.1" TargetMode="External" /><Relationship Type="http://schemas.openxmlformats.org/officeDocument/2006/relationships/hyperlink" Id="rId76" Target="https://doi.org/10.5194/bg-17-4173-2020" TargetMode="External" /><Relationship Type="http://schemas.openxmlformats.org/officeDocument/2006/relationships/hyperlink" Id="rId70" Target="https://doi.org/10.5281/ZENODO.3958215" TargetMode="External" /><Relationship Type="http://schemas.openxmlformats.org/officeDocument/2006/relationships/hyperlink" Id="rId30" Target="https://github.com/EcoClimLab/ForestGEO-climate-sensitivity/issues/128"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7" Target="https://www.ncdc.noaa.gov/paleo-search/study/31995" TargetMode="External" /><Relationship Type="http://schemas.openxmlformats.org/officeDocument/2006/relationships/hyperlink" Id="rId99" Target="https://www.ncdc.noaa.gov/paleo-search/study/31996" TargetMode="External" /><Relationship Type="http://schemas.openxmlformats.org/officeDocument/2006/relationships/hyperlink" Id="rId101"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2021-05-05T16:18:22Z</dcterms:created>
  <dcterms:modified xsi:type="dcterms:W3CDTF">2021-05-05T16:18:22Z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