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concave-down responses in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(Cook, 1985; 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reducing woody growth rates</w:t>
      </w:r>
      <w:r>
        <w:t xml:space="preserve"> </w:t>
      </w:r>
      <w:r>
        <w:t xml:space="preserve">(e.g., Zhang et al., 2015)</w:t>
      </w:r>
      <w:r>
        <w:t xml:space="preserve">.</w:t>
      </w:r>
      <w:r>
        <w:t xml:space="preserve"> </w:t>
      </w:r>
      <w:r>
        <w:t xml:space="preserve">Similarly, 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at breast height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without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100% (9/9 SSC) for models including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4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et al.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et al.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et al.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 T= mean monthly temperature; MAP= mean annual precipitation.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tbl>
      <w:tblPr>
        <w:tblStyle w:val="Table"/>
        <w:tblW w:type="pct" w:w="0.0"/>
        <w:tblLook w:firstRow="0" w:lastRow="0" w:firstColumn="0" w:lastColumn="0" w:noHBand="0" w:noVBand="0" w:val="0000"/>
      </w:tblPr>
      <w:tblGrid/>
      <w:tr>
        <w:tc>
          <w:p>
            <w:pPr>
              <w:pStyle w:val="Compact"/>
              <w:jc w:val="left"/>
            </w:pPr>
            <w:r>
              <w:t xml:space="preserve">nocite: |</w:t>
            </w:r>
          </w:p>
        </w:tc>
      </w:tr>
      <w:tr>
        <w:tc>
          <w:p>
            <w:pPr>
              <w:pStyle w:val="Compact"/>
              <w:jc w:val="left"/>
            </w:pPr>
            <w:r>
              <w:t xml:space="preserve">Vlam et al.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Alfaro-Sánchez et al. (2017)</w:t>
            </w:r>
            <w:r>
              <w:t xml:space="preserve">;</w:t>
            </w:r>
            <w:r>
              <w:t xml:space="preserve">Bourg et al. (2013)</w:t>
            </w:r>
            <w:r>
              <w:t xml:space="preserve">;</w:t>
            </w:r>
            <w:r>
              <w:t xml:space="preserve"> </w:t>
            </w:r>
            <w:r>
              <w:t xml:space="preserve">Helcoski et al. (2019)</w:t>
            </w:r>
            <w:r>
              <w:t xml:space="preserve"> </w:t>
            </w:r>
            <w:r>
              <w:t xml:space="preserve">(</w:t>
            </w:r>
            <w:r>
              <w:rPr>
                <w:bCs/>
                <w:b/>
              </w:rPr>
              <w:t xml:space="preserve">gonzalez-akre_scbi-forestgeoscbi-forestgeo-data_2020-1?</w:t>
            </w:r>
            <w:r>
              <w:t xml:space="preserve">)</w:t>
            </w:r>
            <w:r>
              <w:t xml:space="preserve">;</w:t>
            </w:r>
            <w:r>
              <w:t xml:space="preserve"> </w:t>
            </w:r>
            <w:r>
              <w:t xml:space="preserve">Bumann et al. (2019)</w:t>
            </w:r>
            <w:r>
              <w:t xml:space="preserve">;</w:t>
            </w:r>
            <w:r>
              <w:t xml:space="preserve"> </w:t>
            </w:r>
            <w:r>
              <w:t xml:space="preserve">Šamonil et al. (2013)</w:t>
            </w:r>
            <w:r>
              <w:t xml:space="preserve">;</w:t>
            </w:r>
            <w:r>
              <w:t xml:space="preserve"> </w:t>
            </w:r>
            <w:r>
              <w:t xml:space="preserve">Alexander et al. (2019)</w:t>
            </w:r>
            <w:r>
              <w:t xml:space="preserve">;</w:t>
            </w:r>
            <w:r>
              <w:t xml:space="preserve"> </w:t>
            </w:r>
            <w:r>
              <w:t xml:space="preserve">Finzi et al. (2020)</w:t>
            </w:r>
            <w:r>
              <w:t xml:space="preserve">;</w:t>
            </w:r>
            <w:r>
              <w:t xml:space="preserve"> </w:t>
            </w:r>
            <w:r>
              <w:t xml:space="preserve">Birch et al. (2020d)</w:t>
            </w:r>
            <w:r>
              <w:t xml:space="preserve">;</w:t>
            </w:r>
            <w:r>
              <w:t xml:space="preserve"> </w:t>
            </w:r>
            <w:r>
              <w:t xml:space="preserve">Birch et al. (2020a)</w:t>
            </w:r>
            <w:r>
              <w:t xml:space="preserve">;</w:t>
            </w:r>
            <w:r>
              <w:t xml:space="preserve"> </w:t>
            </w:r>
            <w:r>
              <w:t xml:space="preserve">Birch et al. (2020b)</w:t>
            </w:r>
            <w:r>
              <w:t xml:space="preserve">;</w:t>
            </w:r>
            <w:r>
              <w:t xml:space="preserve"> </w:t>
            </w:r>
            <w:r>
              <w:t xml:space="preserve">Birch et al. (2020c)</w:t>
            </w:r>
            <w:r>
              <w:t xml:space="preserve">;</w:t>
            </w:r>
            <w:r>
              <w:t xml:space="preserve"> </w:t>
            </w:r>
            <w:r>
              <w:t xml:space="preserve">Dye et al. (2016)</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when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P. Lawson &amp; C. Lawson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P. Lawson &amp; C. Lawson 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Akaike information criterion corrected for small sample size, AICc), and does k-fold cross-validation in its computation of AICc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as candidate variables in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w:t>
      </w:r>
      <w:r>
        <w:t xml:space="preserve"> </w:t>
      </w:r>
      <w:r>
        <w:t xml:space="preserve">In all models, we included core identity as a random intercept and year as a continuous time covariate for the within-group correlation structure (function</w:t>
      </w:r>
      <w:r>
        <w:t xml:space="preserve"> </w:t>
      </w:r>
      <w:r>
        <w:rPr>
          <w:iCs/>
          <w:i/>
        </w:rPr>
        <w:t xml:space="preserve">corCAR1</w:t>
      </w:r>
      <w:r>
        <w:t xml:space="preserve">) to account for temporal autocorrelation (similar to how detrending would).</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Mill. 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AICc.</w:t>
      </w:r>
      <w:r>
        <w:t xml:space="preserve"> </w:t>
      </w:r>
      <w:r>
        <w:t xml:space="preserve">We did not run models of precipitation</w:t>
      </w:r>
      <w:r>
        <w:t xml:space="preserve"> </w:t>
      </w:r>
      <m:oMath>
        <m:r>
          <m:rPr>
            <m:sty m:val="p"/>
          </m:rPr>
          <m:t>×</m:t>
        </m:r>
      </m:oMath>
      <w:r>
        <w:t xml:space="preserve"> </w:t>
      </w:r>
      <w:r>
        <w:t xml:space="preserve">temperature, climate</w:t>
      </w:r>
      <w:r>
        <w:t xml:space="preserve"> </w:t>
      </w:r>
      <m:oMath>
        <m:r>
          <m:rPr>
            <m:sty m:val="p"/>
          </m:rPr>
          <m:t>×</m:t>
        </m:r>
      </m:oMath>
      <w:r>
        <w:t xml:space="preserve"> </w:t>
      </w:r>
      <w:r>
        <w:t xml:space="preserve">DBH + year, or climate</w:t>
      </w:r>
      <w:r>
        <w:t xml:space="preserve"> </w:t>
      </w:r>
      <m:oMath>
        <m:r>
          <m:rPr>
            <m:sty m:val="p"/>
          </m:rPr>
          <m:t>×</m:t>
        </m:r>
      </m:oMath>
      <w:r>
        <w:t xml:space="preserve"> </w:t>
      </w:r>
      <w:r>
        <w:t xml:space="preserve">year, which would be possible in the GLS model framework but would require additional statistical and conceptual validation beyond the scope of the current analysis.</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Figs.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species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ifference in Akaike information criterion for small sample sizes \DeltaAIC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(species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 difference in Akaike information criterion for small sample sizes</w:t>
      </w:r>
      <w:r>
        <w:t xml:space="preserve"> </w:t>
      </w:r>
      <m:oMath>
        <m:r>
          <m:t>Δ</m:t>
        </m:r>
      </m:oMath>
      <w:r>
        <w:t xml:space="preserve">AICc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generalized least squares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and a temperature variable (each selected using</w:t>
      </w:r>
      <w:r>
        <w:t xml:space="preserve"> </w:t>
      </w:r>
      <w:r>
        <w:rPr>
          <w:iCs/>
          <w:i/>
        </w:rPr>
        <w:t xml:space="preserve">climwin</w:t>
      </w:r>
      <w:r>
        <w:t xml:space="preserve">; e.g., Figs. 2 ,S6-S9),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629539"/>
            <wp:effectExtent b="0" l="0" r="0" t="0"/>
            <wp:docPr descr="Figure 3 | Summary of top models for ring width (RW) as a function of climate (water and temperature variables), DBH, and calendar year. Arrow shapes approximate reponses detailed in Figs. 3, 5, and S16. Each symbol indicates one species, and species are ordered alphabetically within each site. Overlapping arrows for the same species indicate that the response shape changed when Year was included in the model. For species on which the effect of Year was tested, the presence of only an arrow representing models without Year indicates that the effect was not included in the top models with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62953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 shapes approximate reponses detailed in Figs. 3, 5, and S16. Each symbol indicates one species, and species are ordered alphabetically within each site. Overlapping arrows for the same species indicate that the response shape changed when</w:t>
      </w:r>
      <w:r>
        <w:t xml:space="preserve"> </w:t>
      </w:r>
      <w:r>
        <w:rPr>
          <w:iCs/>
          <w:i/>
        </w:rPr>
        <w:t xml:space="preserve">Year</w:t>
      </w:r>
      <w:r>
        <w:t xml:space="preserve"> </w:t>
      </w:r>
      <w:r>
        <w:t xml:space="preserve">was included in the model. For species on which the effect of</w:t>
      </w:r>
      <w:r>
        <w:t xml:space="preserve"> </w:t>
      </w:r>
      <w:r>
        <w:rPr>
          <w:iCs/>
          <w:i/>
        </w:rPr>
        <w:t xml:space="preserve">Year</w:t>
      </w:r>
      <w:r>
        <w:t xml:space="preserve"> </w:t>
      </w:r>
      <w:r>
        <w:t xml:space="preserve">was tested, the presence of only an arrow representing models without</w:t>
      </w:r>
      <w:r>
        <w:t xml:space="preserve"> </w:t>
      </w:r>
      <w:r>
        <w:rPr>
          <w:iCs/>
          <w:i/>
        </w:rPr>
        <w:t xml:space="preserve">Year</w:t>
      </w:r>
      <w:r>
        <w:t xml:space="preserve"> </w:t>
      </w:r>
      <w:r>
        <w:t xml:space="preserve">indicates that the effect was not included in the top models with</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 Juss. at HKK and</w:t>
      </w:r>
      <w:r>
        <w:t xml:space="preserve"> </w:t>
      </w:r>
      <w:r>
        <w:rPr>
          <w:iCs/>
          <w:i/>
        </w:rPr>
        <w:t xml:space="preserve">Betula papyrifera</w:t>
      </w:r>
      <w:r>
        <w:t xml:space="preserve"> </w:t>
      </w:r>
      <w:r>
        <w:t xml:space="preserve">Marshall 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(L.) Carrière 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Britton 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(Mill.) Britton, Sterns &amp; Poggenb. 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Species authorities are given in Table S2."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Species authorities are given in Table S2.</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population-mean growth rate and DBH were best described by models with second-order terms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L. at HKK,</w:t>
      </w:r>
      <w:r>
        <w:t xml:space="preserve"> </w:t>
      </w:r>
      <w:r>
        <w:rPr>
          <w:iCs/>
          <w:i/>
        </w:rPr>
        <w:t xml:space="preserve">Populous tremuloides</w:t>
      </w:r>
      <w:r>
        <w:t xml:space="preserve"> </w:t>
      </w:r>
      <w:r>
        <w:t xml:space="preserve">Michx. 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 and universal for shade-tolerant species in models accounting for calendar year (Fig. 3).</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L. at HF), with a positive coefficient for DBH in 40 (exceptions: non-significant negative coefficients for</w:t>
      </w:r>
      <w:r>
        <w:t xml:space="preserve"> </w:t>
      </w:r>
      <w:r>
        <w:rPr>
          <w:iCs/>
          <w:i/>
        </w:rPr>
        <w:t xml:space="preserve">Pinus ponderosa</w:t>
      </w:r>
      <w:r>
        <w:t xml:space="preserve"> </w:t>
      </w:r>
      <w:r>
        <w:t xml:space="preserve">P. Lawson &amp; C. Lawson at LT and</w:t>
      </w:r>
      <w:r>
        <w:t xml:space="preserve"> </w:t>
      </w:r>
      <w:r>
        <w:rPr>
          <w:iCs/>
          <w:i/>
        </w:rPr>
        <w:t xml:space="preserve">Pinus longaeva</w:t>
      </w:r>
      <w:r>
        <w:t xml:space="preserve"> </w:t>
      </w:r>
      <w:r>
        <w:t xml:space="preserve">D.K. Bailey 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L. at ZOF,</w:t>
      </w:r>
      <w:r>
        <w:t xml:space="preserve"> </w:t>
      </w:r>
      <w:r>
        <w:rPr>
          <w:iCs/>
          <w:i/>
        </w:rPr>
        <w:t xml:space="preserve">Picea pungens</w:t>
      </w:r>
      <w:r>
        <w:t xml:space="preserve"> </w:t>
      </w:r>
      <w:r>
        <w:t xml:space="preserve">Engelm. and</w:t>
      </w:r>
      <w:r>
        <w:t xml:space="preserve"> </w:t>
      </w:r>
      <w:r>
        <w:rPr>
          <w:iCs/>
          <w:i/>
        </w:rPr>
        <w:t xml:space="preserve">Pinus flexilis</w:t>
      </w:r>
      <w:r>
        <w:t xml:space="preserve"> </w:t>
      </w:r>
      <w:r>
        <w:t xml:space="preserve">E. James 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 Juss. at HKK,</w:t>
      </w:r>
      <w:r>
        <w:t xml:space="preserve"> </w:t>
      </w:r>
      <w:r>
        <w:rPr>
          <w:iCs/>
          <w:i/>
        </w:rPr>
        <w:t xml:space="preserve">Pinus strobiformis</w:t>
      </w:r>
      <w:r>
        <w:t xml:space="preserve"> </w:t>
      </w:r>
      <w:r>
        <w:t xml:space="preserve">Engelm. at LT, and</w:t>
      </w:r>
      <w:r>
        <w:t xml:space="preserve"> </w:t>
      </w:r>
      <w:r>
        <w:rPr>
          <w:iCs/>
          <w:i/>
        </w:rPr>
        <w:t xml:space="preserve">Picea engelmannii</w:t>
      </w:r>
      <w:r>
        <w:t xml:space="preserve"> </w:t>
      </w:r>
      <w:r>
        <w:t xml:space="preserve">Engelm. 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Species authorities are given in Table S2.</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Figs. 3,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vapor pressure deficit,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population mean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on average RW declined with DBH for nearly half of light-demanding species, but most commonly initially increased across the lower end of the DBH range for shade-tolerant species (Table 1), particularly when the effects of calendar year were accounted for in the model (Fig. 3).</w:t>
      </w:r>
      <w:r>
        <w:t xml:space="preserve"> </w:t>
      </w:r>
      <w:r>
        <w:t xml:space="preserve">However, species shade tolerance alone did not explain variation in RW-DBH relationships; rather, we observed instances where, on average,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(Kurz) Craib at HKK,</w:t>
      </w:r>
      <w:r>
        <w:t xml:space="preserve"> </w:t>
      </w:r>
      <w:r>
        <w:rPr>
          <w:iCs/>
          <w:i/>
        </w:rPr>
        <w:t xml:space="preserve">Liriodendron tulipifera</w:t>
      </w:r>
      <w:r>
        <w:t xml:space="preserve"> </w:t>
      </w:r>
      <w:r>
        <w:t xml:space="preserve">L. at LDW).</w:t>
      </w:r>
      <w:r>
        <w:t xml:space="preserve"> </w:t>
      </w:r>
      <w:r>
        <w:t xml:space="preserve">These results imply that while species that typically grow in high-light conditions commonly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average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r>
        <w:t xml:space="preserve"> </w:t>
      </w:r>
      <w:r>
        <w:t xml:space="preserve">Our finding that on average across populations, BAI and</w:t>
      </w:r>
      <w:r>
        <w:t xml:space="preserve"> </w:t>
      </w:r>
      <m:oMath>
        <m:r>
          <m:t>Δ</m:t>
        </m:r>
      </m:oMath>
      <w:r>
        <w:t xml:space="preserve">AGB generally saturate or decline with increasing DBH (Table 1, Fig. 6) contrasts with findings of cross-sectional analyses of forest census data showing that mean</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 consistent with the principle that individual-scale growth patterns and environmental responses do not necessarily match population- or stand-level average responses</w:t>
      </w:r>
      <w:r>
        <w:t xml:space="preserve"> </w:t>
      </w:r>
      <w:r>
        <w:t xml:space="preserve">(Clark et al., 2011, 2003)</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(e.g., branch production, Sillett et al., 2021,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reduced the frequency of RW declines with DBH (Fig. 3) and tended to reduce the magnitude of BAI and</w:t>
      </w:r>
      <w:r>
        <w:t xml:space="preserve"> </w:t>
      </w:r>
      <m:oMath>
        <m:r>
          <m:t>Δ</m:t>
        </m:r>
      </m:oMath>
      <w:r>
        <w:t xml:space="preserve">AGB declines at larger DBH (Figs. S11, S12), suggesting that some of the growth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may be competitive winners that had above-average growth rates within their cohorts</w:t>
      </w:r>
      <w:r>
        <w:t xml:space="preserve"> </w:t>
      </w:r>
      <w:r>
        <w:t xml:space="preserve">(Aubry-Kientz et al., 2015)</w:t>
      </w:r>
      <w:r>
        <w:t xml:space="preserve">, which would upwardly bias average growth rate estimates for early decades</w:t>
      </w:r>
      <w:r>
        <w:t xml:space="preserve"> </w:t>
      </w:r>
      <w:r>
        <w:t xml:space="preserve">(</w:t>
      </w:r>
      <w:r>
        <w:t xml:space="preserve">“juvenile selection effect,”</w:t>
      </w:r>
      <w:r>
        <w:t xml:space="preserve"> </w:t>
      </w:r>
      <w:r>
        <w:t xml:space="preserve">Groenendijk et al., 2015)</w:t>
      </w:r>
      <w:r>
        <w:t xml:space="preserve">.</w:t>
      </w:r>
      <w:r>
        <w:t xml:space="preserve"> </w:t>
      </w:r>
      <w:r>
        <w:t xml:space="preserve">In contrast, the oldest age classes being dominated by trees with below-average growth rates</w:t>
      </w:r>
      <w:r>
        <w:t xml:space="preserve"> </w:t>
      </w:r>
      <w:r>
        <w:t xml:space="preserve">(e.g., Piovesan et al., 2019)</w:t>
      </w:r>
      <w:r>
        <w:t xml:space="preserve"> </w:t>
      </w:r>
      <w:r>
        <w:t xml:space="preserve">could downwardly bias average growth rate estimates for early decades</w:t>
      </w:r>
      <w:r>
        <w:t xml:space="preserve"> </w:t>
      </w:r>
      <w:r>
        <w:t xml:space="preserve">(</w:t>
      </w:r>
      <w:r>
        <w:t xml:space="preserve">“a slow-grower survivorship bias,”</w:t>
      </w:r>
      <w:r>
        <w:t xml:space="preserve"> </w:t>
      </w:r>
      <w:r>
        <w:t xml:space="preserve">Brienen et al., 2012; Duchesne et al., 2019)</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population-mean growth trends were universally negative, when significant (Table 1, Figs. 3,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population-mean growth trends were mixed (Table 1, Figs. 3, 7), probably reflecting some combination of successional changes, changing mortality rates,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Michx. 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population-mean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3,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13" w:name="References"/>
    <w:p>
      <w:pPr>
        <w:pStyle w:val="Heading1"/>
      </w:pPr>
      <w:r>
        <w:t xml:space="preserve">References</w:t>
      </w:r>
    </w:p>
    <w:bookmarkStart w:id="312"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a"/>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ABBI</w:t>
      </w:r>
      <w:r>
        <w:t xml:space="preserve"> </w:t>
      </w:r>
      <w:r>
        <w:t xml:space="preserve">-</w:t>
      </w:r>
      <w:r>
        <w:t xml:space="preserve"> </w:t>
      </w:r>
      <w:r>
        <w:t xml:space="preserve">ITRDB UT545</w:t>
      </w:r>
      <w:r>
        <w:t xml:space="preserve">.</w:t>
      </w:r>
      <w:r>
        <w:t xml:space="preserve"> </w:t>
      </w:r>
      <w:r>
        <w:rPr>
          <w:iCs/>
          <w:i/>
        </w:rPr>
        <w:t xml:space="preserve">NOAA NCDC</w:t>
      </w:r>
      <w:r>
        <w:t xml:space="preserve">. https://doi.org/</w:t>
      </w:r>
      <w:hyperlink r:id="rId91">
        <w:r>
          <w:rPr>
            <w:rStyle w:val="Hyperlink"/>
          </w:rPr>
          <w:t xml:space="preserve">https://www.ncdc.noaa.gov/paleo-search/study/31994</w:t>
        </w:r>
      </w:hyperlink>
    </w:p>
    <w:bookmarkEnd w:id="92"/>
    <w:bookmarkStart w:id="94" w:name="ref-birch_birch_2020b"/>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(2020d).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9">
        <w:r>
          <w:rPr>
            <w:rStyle w:val="Hyperlink"/>
          </w:rPr>
          <w:t xml:space="preserve">https://doi.org/10.1890/13-0010.1</w:t>
        </w:r>
      </w:hyperlink>
    </w:p>
    <w:bookmarkEnd w:id="100"/>
    <w:bookmarkStart w:id="102"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1">
        <w:r>
          <w:rPr>
            <w:rStyle w:val="Hyperlink"/>
          </w:rPr>
          <w:t xml:space="preserve">https://doi.org/10.1016/j.tplants.2012.08.005</w:t>
        </w:r>
      </w:hyperlink>
    </w:p>
    <w:bookmarkEnd w:id="102"/>
    <w:bookmarkStart w:id="104"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3">
        <w:r>
          <w:rPr>
            <w:rStyle w:val="Hyperlink"/>
          </w:rPr>
          <w:t xml:space="preserve">https://doi.org/10.1078/1125-7865-00017</w:t>
        </w:r>
      </w:hyperlink>
    </w:p>
    <w:bookmarkEnd w:id="104"/>
    <w:bookmarkStart w:id="106"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5">
        <w:r>
          <w:rPr>
            <w:rStyle w:val="Hyperlink"/>
          </w:rPr>
          <w:t xml:space="preserve">https://doi.org/10.1029/2011GB004143</w:t>
        </w:r>
      </w:hyperlink>
    </w:p>
    <w:bookmarkEnd w:id="106"/>
    <w:bookmarkStart w:id="108"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7">
        <w:r>
          <w:rPr>
            <w:rStyle w:val="Hyperlink"/>
          </w:rPr>
          <w:t xml:space="preserve">https://doi.org/10.1111/gcb.13410</w:t>
        </w:r>
      </w:hyperlink>
    </w:p>
    <w:bookmarkEnd w:id="108"/>
    <w:bookmarkStart w:id="110"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9">
        <w:r>
          <w:rPr>
            <w:rStyle w:val="Hyperlink"/>
          </w:rPr>
          <w:t xml:space="preserve">https://doi.org/10.1139/cjfr-2018-0206</w:t>
        </w:r>
      </w:hyperlink>
    </w:p>
    <w:bookmarkEnd w:id="110"/>
    <w:bookmarkStart w:id="112"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1">
        <w:r>
          <w:rPr>
            <w:rStyle w:val="Hyperlink"/>
          </w:rPr>
          <w:t xml:space="preserve">https://doi.org/10.1126/science.1197175</w:t>
        </w:r>
      </w:hyperlink>
    </w:p>
    <w:bookmarkEnd w:id="112"/>
    <w:bookmarkStart w:id="114"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3">
        <w:r>
          <w:rPr>
            <w:rStyle w:val="Hyperlink"/>
          </w:rPr>
          <w:t xml:space="preserve">https://doi.org/10.1111/gcb.13535</w:t>
        </w:r>
      </w:hyperlink>
    </w:p>
    <w:bookmarkEnd w:id="114"/>
    <w:bookmarkStart w:id="116"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5">
        <w:r>
          <w:rPr>
            <w:rStyle w:val="Hyperlink"/>
          </w:rPr>
          <w:t xml:space="preserve">https://doi.org/10.1016/S0378-1127(98)00242-4</w:t>
        </w:r>
      </w:hyperlink>
    </w:p>
    <w:bookmarkEnd w:id="116"/>
    <w:bookmarkStart w:id="118" w:name="ref-clark_individualscale_2011"/>
    <w:p>
      <w:pPr>
        <w:pStyle w:val="Bibliography"/>
      </w:pPr>
      <w:r>
        <w:t xml:space="preserve">Clark, J. S., Bell, D. M., Hersh, M. H., Kwit, M. C., Moran, E., Salk, C., Stine, A., Valle, D., &amp; Zhu, K. (2011). Individual-scale variation, species-scale differences: Inference needed to understand diversity:</w:t>
      </w:r>
      <w:r>
        <w:t xml:space="preserve"> </w:t>
      </w:r>
      <w:r>
        <w:t xml:space="preserve">Individual</w:t>
      </w:r>
      <w:r>
        <w:t xml:space="preserve">-scale variation, species-scale differences.</w:t>
      </w:r>
      <w:r>
        <w:t xml:space="preserve"> </w:t>
      </w:r>
      <w:r>
        <w:rPr>
          <w:iCs/>
          <w:i/>
        </w:rPr>
        <w:t xml:space="preserve">Ecology Letters</w:t>
      </w:r>
      <w:r>
        <w:t xml:space="preserve">,</w:t>
      </w:r>
      <w:r>
        <w:t xml:space="preserve"> </w:t>
      </w:r>
      <w:r>
        <w:rPr>
          <w:iCs/>
          <w:i/>
        </w:rPr>
        <w:t xml:space="preserve">14</w:t>
      </w:r>
      <w:r>
        <w:t xml:space="preserve">(12), 1273–1287.</w:t>
      </w:r>
      <w:r>
        <w:t xml:space="preserve"> </w:t>
      </w:r>
      <w:hyperlink r:id="rId117">
        <w:r>
          <w:rPr>
            <w:rStyle w:val="Hyperlink"/>
          </w:rPr>
          <w:t xml:space="preserve">https://doi.org/10.1111/j.1461-0248.2011.01685.x</w:t>
        </w:r>
      </w:hyperlink>
    </w:p>
    <w:bookmarkEnd w:id="118"/>
    <w:bookmarkStart w:id="120" w:name="ref-clark_coexistence_2003"/>
    <w:p>
      <w:pPr>
        <w:pStyle w:val="Bibliography"/>
      </w:pPr>
      <w:r>
        <w:t xml:space="preserve">Clark, J. S., Mohan, J., Dietze, M., &amp; Ibanez, I. (2003). Coexistence:</w:t>
      </w:r>
      <w:r>
        <w:t xml:space="preserve"> </w:t>
      </w:r>
      <w:r>
        <w:t xml:space="preserve">How</w:t>
      </w:r>
      <w:r>
        <w:t xml:space="preserve"> </w:t>
      </w:r>
      <w:r>
        <w:t xml:space="preserve">to</w:t>
      </w:r>
      <w:r>
        <w:t xml:space="preserve"> </w:t>
      </w:r>
      <w:r>
        <w:t xml:space="preserve">Identify Trophic Trade</w:t>
      </w:r>
      <w:r>
        <w:t xml:space="preserve">-</w:t>
      </w:r>
      <w:r>
        <w:t xml:space="preserve">Offs</w:t>
      </w:r>
      <w:r>
        <w:t xml:space="preserve">.</w:t>
      </w:r>
      <w:r>
        <w:t xml:space="preserve"> </w:t>
      </w:r>
      <w:r>
        <w:rPr>
          <w:iCs/>
          <w:i/>
        </w:rPr>
        <w:t xml:space="preserve">Ecology</w:t>
      </w:r>
      <w:r>
        <w:t xml:space="preserve">,</w:t>
      </w:r>
      <w:r>
        <w:t xml:space="preserve"> </w:t>
      </w:r>
      <w:r>
        <w:rPr>
          <w:iCs/>
          <w:i/>
        </w:rPr>
        <w:t xml:space="preserve">84</w:t>
      </w:r>
      <w:r>
        <w:t xml:space="preserve">(1), 17–31.</w:t>
      </w:r>
      <w:r>
        <w:t xml:space="preserve"> </w:t>
      </w:r>
      <w:hyperlink r:id="rId119">
        <w:r>
          <w:rPr>
            <w:rStyle w:val="Hyperlink"/>
          </w:rPr>
          <w:t xml:space="preserve">https://doi.org/10.1890/0012-9658(2003)084[0017:CHTITT]2.0.CO;2</w:t>
        </w:r>
      </w:hyperlink>
    </w:p>
    <w:bookmarkEnd w:id="120"/>
    <w:bookmarkStart w:id="122"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21">
        <w:r>
          <w:rPr>
            <w:rStyle w:val="Hyperlink"/>
          </w:rPr>
          <w:t xml:space="preserve">https://doi.org/10.1038/s41467-020-19187-w</w:t>
        </w:r>
      </w:hyperlink>
    </w:p>
    <w:bookmarkEnd w:id="122"/>
    <w:bookmarkStart w:id="123" w:name="ref-cook_time_1985"/>
    <w:p>
      <w:pPr>
        <w:pStyle w:val="Bibliography"/>
      </w:pPr>
      <w:r>
        <w:t xml:space="preserve">Cook, E. R. (1985).</w:t>
      </w:r>
      <w:r>
        <w:t xml:space="preserve"> </w:t>
      </w:r>
      <w:r>
        <w:rPr>
          <w:iCs/>
          <w:i/>
        </w:rPr>
        <w:t xml:space="preserve">A</w:t>
      </w:r>
      <w:r>
        <w:rPr>
          <w:iCs/>
          <w:i/>
        </w:rPr>
        <w:t xml:space="preserve"> </w:t>
      </w:r>
      <w:r>
        <w:rPr>
          <w:iCs/>
          <w:i/>
        </w:rPr>
        <w:t xml:space="preserve">Time Series Analysis Approach</w:t>
      </w:r>
      <w:r>
        <w:rPr>
          <w:iCs/>
          <w:i/>
        </w:rPr>
        <w:t xml:space="preserve"> </w:t>
      </w:r>
      <w:r>
        <w:rPr>
          <w:iCs/>
          <w:i/>
        </w:rPr>
        <w:t xml:space="preserve">to</w:t>
      </w:r>
      <w:r>
        <w:rPr>
          <w:iCs/>
          <w:i/>
        </w:rPr>
        <w:t xml:space="preserve"> </w:t>
      </w:r>
      <w:r>
        <w:rPr>
          <w:iCs/>
          <w:i/>
        </w:rPr>
        <w:t xml:space="preserve">Tree Ring Standardization</w:t>
      </w:r>
      <w:r>
        <w:rPr>
          <w:iCs/>
          <w:i/>
        </w:rPr>
        <w:t xml:space="preserve">: Vol. PhD</w:t>
      </w:r>
      <w:r>
        <w:t xml:space="preserve"> </w:t>
      </w:r>
      <w:r>
        <w:t xml:space="preserve">[PhD thesis]. University of Arizona.</w:t>
      </w:r>
    </w:p>
    <w:bookmarkEnd w:id="123"/>
    <w:bookmarkStart w:id="125"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4">
        <w:r>
          <w:rPr>
            <w:rStyle w:val="Hyperlink"/>
          </w:rPr>
          <w:t xml:space="preserve">https://doi.org/10.1177/095968369700700314</w:t>
        </w:r>
      </w:hyperlink>
    </w:p>
    <w:bookmarkEnd w:id="125"/>
    <w:bookmarkStart w:id="127"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6">
        <w:r>
          <w:rPr>
            <w:rStyle w:val="Hyperlink"/>
          </w:rPr>
          <w:t xml:space="preserve">https://doi.org/10.1016/j.biocon.2020.108907</w:t>
        </w:r>
      </w:hyperlink>
    </w:p>
    <w:bookmarkEnd w:id="127"/>
    <w:bookmarkStart w:id="129"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8">
        <w:r>
          <w:rPr>
            <w:rStyle w:val="Hyperlink"/>
          </w:rPr>
          <w:t xml:space="preserve">https://doi.org/10.1016/j.foreco.2009.08.009</w:t>
        </w:r>
      </w:hyperlink>
    </w:p>
    <w:bookmarkEnd w:id="129"/>
    <w:bookmarkStart w:id="131"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0">
        <w:r>
          <w:rPr>
            <w:rStyle w:val="Hyperlink"/>
          </w:rPr>
          <w:t xml:space="preserve">https://doi.org/10.1111/1365-2745.13569</w:t>
        </w:r>
      </w:hyperlink>
    </w:p>
    <w:bookmarkEnd w:id="131"/>
    <w:bookmarkStart w:id="132"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35">
        <w:r>
          <w:rPr>
            <w:rStyle w:val="Hyperlink"/>
          </w:rPr>
          <w:t xml:space="preserve">https://doi.org/10.1038/s41598-020-73733-6</w:t>
        </w:r>
      </w:hyperlink>
    </w:p>
    <w:bookmarkEnd w:id="136"/>
    <w:bookmarkStart w:id="138"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7">
        <w:r>
          <w:rPr>
            <w:rStyle w:val="Hyperlink"/>
          </w:rPr>
          <w:t xml:space="preserve">https://doi.org/10.1038/s41598-019-43243-1</w:t>
        </w:r>
      </w:hyperlink>
    </w:p>
    <w:bookmarkEnd w:id="138"/>
    <w:bookmarkStart w:id="140"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9">
        <w:r>
          <w:rPr>
            <w:rStyle w:val="Hyperlink"/>
          </w:rPr>
          <w:t xml:space="preserve">https://doi.org/10.1002/ecs2.1454</w:t>
        </w:r>
      </w:hyperlink>
    </w:p>
    <w:bookmarkEnd w:id="140"/>
    <w:bookmarkStart w:id="142"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1">
        <w:r>
          <w:rPr>
            <w:rStyle w:val="Hyperlink"/>
          </w:rPr>
          <w:t xml:space="preserve">https://doi.org/10.1016/j.foreco.2008.10.014</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3"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62">
        <w:r>
          <w:rPr>
            <w:rStyle w:val="Hyperlink"/>
          </w:rPr>
          <w:t xml:space="preserve">https://doi.org/10.1890/13-0070.1</w:t>
        </w:r>
      </w:hyperlink>
    </w:p>
    <w:bookmarkEnd w:id="163"/>
    <w:bookmarkStart w:id="164"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4"/>
    <w:bookmarkStart w:id="166"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5">
        <w:r>
          <w:rPr>
            <w:rStyle w:val="Hyperlink"/>
          </w:rPr>
          <w:t xml:space="preserve">https://doi.org/10.2307/1937545</w:t>
        </w:r>
      </w:hyperlink>
    </w:p>
    <w:bookmarkEnd w:id="166"/>
    <w:bookmarkStart w:id="168"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7">
        <w:r>
          <w:rPr>
            <w:rStyle w:val="Hyperlink"/>
          </w:rPr>
          <w:t xml:space="preserve">https://doi.org/10.1111/gcb.12955</w:t>
        </w:r>
      </w:hyperlink>
    </w:p>
    <w:bookmarkEnd w:id="168"/>
    <w:bookmarkStart w:id="170"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9">
        <w:r>
          <w:rPr>
            <w:rStyle w:val="Hyperlink"/>
          </w:rPr>
          <w:t xml:space="preserve">https://doi.org/10.1007/s10342-016-0982-7</w:t>
        </w:r>
      </w:hyperlink>
    </w:p>
    <w:bookmarkEnd w:id="170"/>
    <w:bookmarkStart w:id="172"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1">
        <w:r>
          <w:rPr>
            <w:rStyle w:val="Hyperlink"/>
          </w:rPr>
          <w:t xml:space="preserve">https://doi.org/10.1111/gcb.14561</w:t>
        </w:r>
      </w:hyperlink>
    </w:p>
    <w:bookmarkEnd w:id="172"/>
    <w:bookmarkStart w:id="174"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3">
        <w:r>
          <w:rPr>
            <w:rStyle w:val="Hyperlink"/>
          </w:rPr>
          <w:t xml:space="preserve">https://doi.org/10.1002/joc.3711</w:t>
        </w:r>
      </w:hyperlink>
    </w:p>
    <w:bookmarkEnd w:id="174"/>
    <w:bookmarkStart w:id="176"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5">
        <w:r>
          <w:rPr>
            <w:rStyle w:val="Hyperlink"/>
          </w:rPr>
          <w:t xml:space="preserve">https://doi.org/10.1038/s41597-020-0453-3</w:t>
        </w:r>
      </w:hyperlink>
    </w:p>
    <w:bookmarkEnd w:id="176"/>
    <w:bookmarkStart w:id="178"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7">
        <w:r>
          <w:rPr>
            <w:rStyle w:val="Hyperlink"/>
          </w:rPr>
          <w:t xml:space="preserve">https://doi.org/10.1111/nph.15906</w:t>
        </w:r>
      </w:hyperlink>
    </w:p>
    <w:bookmarkEnd w:id="178"/>
    <w:bookmarkStart w:id="180"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9">
        <w:r>
          <w:rPr>
            <w:rStyle w:val="Hyperlink"/>
          </w:rPr>
          <w:t xml:space="preserve">https://doi.org/10.1029/2018JG004573</w:t>
        </w:r>
      </w:hyperlink>
    </w:p>
    <w:bookmarkEnd w:id="180"/>
    <w:bookmarkStart w:id="182"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1">
        <w:r>
          <w:rPr>
            <w:rStyle w:val="Hyperlink"/>
          </w:rPr>
          <w:t xml:space="preserve">https://doi.org/10.1038/s41586-021-03325-5</w:t>
        </w:r>
      </w:hyperlink>
    </w:p>
    <w:bookmarkEnd w:id="182"/>
    <w:bookmarkStart w:id="183"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83"/>
    <w:bookmarkStart w:id="185"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84">
        <w:r>
          <w:rPr>
            <w:rStyle w:val="Hyperlink"/>
          </w:rPr>
          <w:t xml:space="preserve">https://doi.org/10.1038/nclimate2253</w:t>
        </w:r>
      </w:hyperlink>
    </w:p>
    <w:bookmarkEnd w:id="185"/>
    <w:bookmarkStart w:id="187"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6">
        <w:r>
          <w:rPr>
            <w:rStyle w:val="Hyperlink"/>
          </w:rPr>
          <w:t xml:space="preserve">https://doi.org/10.1038/s41467-018-07800-y</w:t>
        </w:r>
      </w:hyperlink>
    </w:p>
    <w:bookmarkEnd w:id="187"/>
    <w:bookmarkStart w:id="189"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8">
        <w:r>
          <w:rPr>
            <w:rStyle w:val="Hyperlink"/>
          </w:rPr>
          <w:t xml:space="preserve">https://doi.org/10.1093/treephys/tpaa091</w:t>
        </w:r>
      </w:hyperlink>
    </w:p>
    <w:bookmarkEnd w:id="189"/>
    <w:bookmarkStart w:id="191"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0">
        <w:r>
          <w:rPr>
            <w:rStyle w:val="Hyperlink"/>
          </w:rPr>
          <w:t xml:space="preserve">https://doi.org/10.1111/nph.15668</w:t>
        </w:r>
      </w:hyperlink>
    </w:p>
    <w:bookmarkEnd w:id="191"/>
    <w:bookmarkStart w:id="193"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2">
        <w:r>
          <w:rPr>
            <w:rStyle w:val="Hyperlink"/>
          </w:rPr>
          <w:t xml:space="preserve">https://doi.org/10.1038/srep46158</w:t>
        </w:r>
      </w:hyperlink>
    </w:p>
    <w:bookmarkEnd w:id="193"/>
    <w:bookmarkStart w:id="195"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4">
        <w:r>
          <w:rPr>
            <w:rStyle w:val="Hyperlink"/>
          </w:rPr>
          <w:t xml:space="preserve">https://doi.org/10.1139/x89-102</w:t>
        </w:r>
      </w:hyperlink>
    </w:p>
    <w:bookmarkEnd w:id="195"/>
    <w:bookmarkStart w:id="197"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6">
        <w:r>
          <w:rPr>
            <w:rStyle w:val="Hyperlink"/>
          </w:rPr>
          <w:t xml:space="preserve">https://doi.org/10.2307/1941026</w:t>
        </w:r>
      </w:hyperlink>
    </w:p>
    <w:bookmarkEnd w:id="197"/>
    <w:bookmarkStart w:id="199"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8">
        <w:r>
          <w:rPr>
            <w:rStyle w:val="Hyperlink"/>
          </w:rPr>
          <w:t xml:space="preserve">https://doi.org/10.1111/gcb.15548</w:t>
        </w:r>
      </w:hyperlink>
    </w:p>
    <w:bookmarkEnd w:id="199"/>
    <w:bookmarkStart w:id="201"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0">
        <w:r>
          <w:rPr>
            <w:rStyle w:val="Hyperlink"/>
          </w:rPr>
          <w:t xml:space="preserve">https://doi.org/10.1016/j.foreco.2009.03.009</w:t>
        </w:r>
      </w:hyperlink>
    </w:p>
    <w:bookmarkEnd w:id="201"/>
    <w:bookmarkStart w:id="203"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2">
        <w:r>
          <w:rPr>
            <w:rStyle w:val="Hyperlink"/>
          </w:rPr>
          <w:t xml:space="preserve">https://doi.org/10.1111/gcb.14273</w:t>
        </w:r>
      </w:hyperlink>
    </w:p>
    <w:bookmarkEnd w:id="203"/>
    <w:bookmarkStart w:id="205"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4">
        <w:r>
          <w:rPr>
            <w:rStyle w:val="Hyperlink"/>
          </w:rPr>
          <w:t xml:space="preserve">https://doi.org/10.1029/2019JG005298</w:t>
        </w:r>
      </w:hyperlink>
    </w:p>
    <w:bookmarkEnd w:id="205"/>
    <w:bookmarkStart w:id="207"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6">
        <w:r>
          <w:rPr>
            <w:rStyle w:val="Hyperlink"/>
          </w:rPr>
          <w:t xml:space="preserve">https://doi.org/10.1007/s10584-016-1720-3</w:t>
        </w:r>
      </w:hyperlink>
    </w:p>
    <w:bookmarkEnd w:id="207"/>
    <w:bookmarkStart w:id="20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8">
        <w:r>
          <w:rPr>
            <w:rStyle w:val="Hyperlink"/>
          </w:rPr>
          <w:t xml:space="preserve">https://doi.org/10.1126/science.aaz9463</w:t>
        </w:r>
      </w:hyperlink>
    </w:p>
    <w:bookmarkEnd w:id="209"/>
    <w:bookmarkStart w:id="211"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10">
        <w:r>
          <w:rPr>
            <w:rStyle w:val="Hyperlink"/>
          </w:rPr>
          <w:t xml:space="preserve">https://doi.org/10.1111/nph.16996</w:t>
        </w:r>
      </w:hyperlink>
    </w:p>
    <w:bookmarkEnd w:id="211"/>
    <w:bookmarkStart w:id="213"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2">
        <w:r>
          <w:rPr>
            <w:rStyle w:val="Hyperlink"/>
          </w:rPr>
          <w:t xml:space="preserve">https://doi.org/10.1111/nph.14633</w:t>
        </w:r>
      </w:hyperlink>
    </w:p>
    <w:bookmarkEnd w:id="213"/>
    <w:bookmarkStart w:id="215"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4">
        <w:r>
          <w:rPr>
            <w:rStyle w:val="Hyperlink"/>
          </w:rPr>
          <w:t xml:space="preserve">https://doi.org/10.1016/j.cageo.2011.01.013</w:t>
        </w:r>
      </w:hyperlink>
    </w:p>
    <w:bookmarkEnd w:id="215"/>
    <w:bookmarkStart w:id="216"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6"/>
    <w:bookmarkStart w:id="218"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7">
        <w:r>
          <w:rPr>
            <w:rStyle w:val="Hyperlink"/>
          </w:rPr>
          <w:t xml:space="preserve">https://doi.org/10.1111/j.1600-0587.2013.00205.x</w:t>
        </w:r>
      </w:hyperlink>
    </w:p>
    <w:bookmarkEnd w:id="218"/>
    <w:bookmarkStart w:id="220"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9">
        <w:r>
          <w:rPr>
            <w:rStyle w:val="Hyperlink"/>
          </w:rPr>
          <w:t xml:space="preserve">https://doi.org/10.1111/gcb.12599</w:t>
        </w:r>
      </w:hyperlink>
    </w:p>
    <w:bookmarkEnd w:id="220"/>
    <w:bookmarkStart w:id="22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1">
        <w:r>
          <w:rPr>
            <w:rStyle w:val="Hyperlink"/>
          </w:rPr>
          <w:t xml:space="preserve">https://doi.org/10.1111/j.1365-2486.2010.02222.x</w:t>
        </w:r>
      </w:hyperlink>
    </w:p>
    <w:bookmarkEnd w:id="222"/>
    <w:bookmarkStart w:id="224"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23">
        <w:r>
          <w:rPr>
            <w:rStyle w:val="Hyperlink"/>
          </w:rPr>
          <w:t xml:space="preserve">https://doi.org/10.1038/nclimate3114</w:t>
        </w:r>
      </w:hyperlink>
    </w:p>
    <w:bookmarkEnd w:id="224"/>
    <w:bookmarkStart w:id="225"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5"/>
    <w:bookmarkStart w:id="227"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26">
        <w:r>
          <w:rPr>
            <w:rStyle w:val="Hyperlink"/>
          </w:rPr>
          <w:t xml:space="preserve">https://doi.org/10.1111/gcb.12826</w:t>
        </w:r>
      </w:hyperlink>
    </w:p>
    <w:bookmarkEnd w:id="227"/>
    <w:bookmarkStart w:id="228"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8"/>
    <w:bookmarkStart w:id="230" w:name="ref-piovesan_lessons_2019"/>
    <w:p>
      <w:pPr>
        <w:pStyle w:val="Bibliography"/>
      </w:pPr>
      <w:r>
        <w:t xml:space="preserve">Piovesan, G., Biondi, F., Baliva, M., De Vivo, G., Marchianò, V., Schettino, A., &amp; Di Filippo, A. (2019). Lessons from the wild: Slow but increasing long-term growth allows for maximum longevity in</w:t>
      </w:r>
      <w:r>
        <w:t xml:space="preserve"> </w:t>
      </w:r>
      <w:r>
        <w:t xml:space="preserve">European</w:t>
      </w:r>
      <w:r>
        <w:t xml:space="preserve"> </w:t>
      </w:r>
      <w:r>
        <w:t xml:space="preserve">beech.</w:t>
      </w:r>
      <w:r>
        <w:t xml:space="preserve"> </w:t>
      </w:r>
      <w:r>
        <w:rPr>
          <w:iCs/>
          <w:i/>
        </w:rPr>
        <w:t xml:space="preserve">Ecology</w:t>
      </w:r>
      <w:r>
        <w:t xml:space="preserve">,</w:t>
      </w:r>
      <w:r>
        <w:t xml:space="preserve"> </w:t>
      </w:r>
      <w:r>
        <w:rPr>
          <w:iCs/>
          <w:i/>
        </w:rPr>
        <w:t xml:space="preserve">100</w:t>
      </w:r>
      <w:r>
        <w:t xml:space="preserve">(9).</w:t>
      </w:r>
      <w:r>
        <w:t xml:space="preserve"> </w:t>
      </w:r>
      <w:hyperlink r:id="rId229">
        <w:r>
          <w:rPr>
            <w:rStyle w:val="Hyperlink"/>
          </w:rPr>
          <w:t xml:space="preserve">https://doi.org/10.1002/ecy.2737</w:t>
        </w:r>
      </w:hyperlink>
    </w:p>
    <w:bookmarkEnd w:id="230"/>
    <w:bookmarkStart w:id="23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1"/>
    <w:bookmarkStart w:id="23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2">
        <w:r>
          <w:rPr>
            <w:rStyle w:val="Hyperlink"/>
          </w:rPr>
          <w:t xml:space="preserve">https://doi.org/10.1186/s40663-018-0139-x</w:t>
        </w:r>
      </w:hyperlink>
    </w:p>
    <w:bookmarkEnd w:id="233"/>
    <w:bookmarkStart w:id="23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34">
        <w:r>
          <w:rPr>
            <w:rStyle w:val="Hyperlink"/>
          </w:rPr>
          <w:t xml:space="preserve">https://doi.org/10.1016/j.dendro.2020.125678</w:t>
        </w:r>
      </w:hyperlink>
    </w:p>
    <w:bookmarkEnd w:id="235"/>
    <w:bookmarkStart w:id="23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36">
        <w:r>
          <w:rPr>
            <w:rStyle w:val="Hyperlink"/>
          </w:rPr>
          <w:t xml:space="preserve">https://doi.org/10.1111/2041-210X.12753</w:t>
        </w:r>
      </w:hyperlink>
    </w:p>
    <w:bookmarkEnd w:id="237"/>
    <w:bookmarkStart w:id="23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38">
        <w:r>
          <w:rPr>
            <w:rStyle w:val="Hyperlink"/>
          </w:rPr>
          <w:t xml:space="preserve">https://doi.org/10.1002/ecy.3264</w:t>
        </w:r>
      </w:hyperlink>
    </w:p>
    <w:bookmarkEnd w:id="239"/>
    <w:bookmarkStart w:id="24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0">
        <w:r>
          <w:rPr>
            <w:rStyle w:val="Hyperlink"/>
          </w:rPr>
          <w:t xml:space="preserve">https://doi.org/10.1111/j.1469-8137.2007.02235.x</w:t>
        </w:r>
      </w:hyperlink>
    </w:p>
    <w:bookmarkEnd w:id="241"/>
    <w:bookmarkStart w:id="24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42">
        <w:r>
          <w:rPr>
            <w:rStyle w:val="Hyperlink"/>
          </w:rPr>
          <w:t xml:space="preserve">https://doi.org/10.1007/s00468-010-0480-3</w:t>
        </w:r>
      </w:hyperlink>
    </w:p>
    <w:bookmarkEnd w:id="243"/>
    <w:bookmarkStart w:id="24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4">
        <w:r>
          <w:rPr>
            <w:rStyle w:val="Hyperlink"/>
          </w:rPr>
          <w:t xml:space="preserve">https://doi.org/10.1016/j.foreco.2015.08.034</w:t>
        </w:r>
      </w:hyperlink>
    </w:p>
    <w:bookmarkEnd w:id="245"/>
    <w:bookmarkStart w:id="24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46">
        <w:r>
          <w:rPr>
            <w:rStyle w:val="Hyperlink"/>
          </w:rPr>
          <w:t xml:space="preserve">https://doi.org/10.1186/s40663-018-0133-3</w:t>
        </w:r>
      </w:hyperlink>
    </w:p>
    <w:bookmarkEnd w:id="247"/>
    <w:bookmarkStart w:id="24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48">
        <w:r>
          <w:rPr>
            <w:rStyle w:val="Hyperlink"/>
          </w:rPr>
          <w:t xml:space="preserve">https://doi.org/10.1111/1365-2435.12775</w:t>
        </w:r>
      </w:hyperlink>
    </w:p>
    <w:bookmarkEnd w:id="249"/>
    <w:bookmarkStart w:id="251"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50">
        <w:r>
          <w:rPr>
            <w:rStyle w:val="Hyperlink"/>
          </w:rPr>
          <w:t xml:space="preserve">https://doi.org/10.1016/j.foreco.2020.118688</w:t>
        </w:r>
      </w:hyperlink>
    </w:p>
    <w:bookmarkEnd w:id="251"/>
    <w:bookmarkStart w:id="253" w:name="ref-sillett_increasing_2010"/>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52">
        <w:r>
          <w:rPr>
            <w:rStyle w:val="Hyperlink"/>
          </w:rPr>
          <w:t xml:space="preserve">https://doi.org/10.1016/j.foreco.2009.12.003</w:t>
        </w:r>
      </w:hyperlink>
    </w:p>
    <w:bookmarkEnd w:id="253"/>
    <w:bookmarkStart w:id="255"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4">
        <w:r>
          <w:rPr>
            <w:rStyle w:val="Hyperlink"/>
          </w:rPr>
          <w:t xml:space="preserve">https://doi.org/10.1002/2016JG003528</w:t>
        </w:r>
      </w:hyperlink>
    </w:p>
    <w:bookmarkEnd w:id="255"/>
    <w:bookmarkStart w:id="256"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6"/>
    <w:bookmarkStart w:id="258"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57">
        <w:r>
          <w:rPr>
            <w:rStyle w:val="Hyperlink"/>
          </w:rPr>
          <w:t xml:space="preserve">https://doi.org/10.1038/nature12914</w:t>
        </w:r>
      </w:hyperlink>
    </w:p>
    <w:bookmarkEnd w:id="258"/>
    <w:bookmarkStart w:id="259"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9"/>
    <w:bookmarkStart w:id="261"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0">
        <w:r>
          <w:rPr>
            <w:rStyle w:val="Hyperlink"/>
          </w:rPr>
          <w:t xml:space="preserve">https://doi.org/10.1088/1748-9326/11/11/114007</w:t>
        </w:r>
      </w:hyperlink>
    </w:p>
    <w:bookmarkEnd w:id="261"/>
    <w:bookmarkStart w:id="263" w:name="ref-samonil_individualbased_2013"/>
    <w:p>
      <w:pPr>
        <w:pStyle w:val="Bibliography"/>
      </w:pPr>
      <w:r>
        <w:t xml:space="preserve">Šamonil, P., Doleželová, P., Vašíčková, I., Adam, D., Valtera, M., Král, K., Janík, D., &amp; Šebková, B. (2013). Individual-based approach to the detection of disturbance history through spatial scales in a natural beech-dominated forest.</w:t>
      </w:r>
      <w:r>
        <w:t xml:space="preserve"> </w:t>
      </w:r>
      <w:r>
        <w:rPr>
          <w:iCs/>
          <w:i/>
        </w:rPr>
        <w:t xml:space="preserve">Journal of Vegetation Science</w:t>
      </w:r>
      <w:r>
        <w:t xml:space="preserve">,</w:t>
      </w:r>
      <w:r>
        <w:t xml:space="preserve"> </w:t>
      </w:r>
      <w:r>
        <w:rPr>
          <w:iCs/>
          <w:i/>
        </w:rPr>
        <w:t xml:space="preserve">24</w:t>
      </w:r>
      <w:r>
        <w:t xml:space="preserve">(6), 1167–1184.</w:t>
      </w:r>
      <w:r>
        <w:t xml:space="preserve"> </w:t>
      </w:r>
      <w:hyperlink r:id="rId262">
        <w:r>
          <w:rPr>
            <w:rStyle w:val="Hyperlink"/>
          </w:rPr>
          <w:t xml:space="preserve">https://doi.org/10.1111/jvs.12025</w:t>
        </w:r>
      </w:hyperlink>
    </w:p>
    <w:bookmarkEnd w:id="263"/>
    <w:bookmarkStart w:id="265"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4">
        <w:r>
          <w:rPr>
            <w:rStyle w:val="Hyperlink"/>
          </w:rPr>
          <w:t xml:space="preserve">https://doi.org/10.1007/s11258-007-9345-2</w:t>
        </w:r>
      </w:hyperlink>
    </w:p>
    <w:bookmarkEnd w:id="265"/>
    <w:bookmarkStart w:id="267"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6">
        <w:r>
          <w:rPr>
            <w:rStyle w:val="Hyperlink"/>
          </w:rPr>
          <w:t xml:space="preserve">https://doi.org/10.1016/j.scitotenv.2020.140288</w:t>
        </w:r>
      </w:hyperlink>
    </w:p>
    <w:bookmarkEnd w:id="267"/>
    <w:bookmarkStart w:id="269"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68">
        <w:r>
          <w:rPr>
            <w:rStyle w:val="Hyperlink"/>
          </w:rPr>
          <w:t xml:space="preserve">https://doi.org/10.1111/gcb.14120</w:t>
        </w:r>
      </w:hyperlink>
    </w:p>
    <w:bookmarkEnd w:id="269"/>
    <w:bookmarkStart w:id="271"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0">
        <w:r>
          <w:rPr>
            <w:rStyle w:val="Hyperlink"/>
          </w:rPr>
          <w:t xml:space="preserve">https://doi.org/10.1002/ecm.1272</w:t>
        </w:r>
      </w:hyperlink>
    </w:p>
    <w:bookmarkEnd w:id="271"/>
    <w:bookmarkStart w:id="273"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2">
        <w:r>
          <w:rPr>
            <w:rStyle w:val="Hyperlink"/>
          </w:rPr>
          <w:t xml:space="preserve">https://doi.org/10.1007/978-94-007-1242-3_2</w:t>
        </w:r>
      </w:hyperlink>
    </w:p>
    <w:bookmarkEnd w:id="273"/>
    <w:bookmarkStart w:id="27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74">
        <w:r>
          <w:rPr>
            <w:rStyle w:val="Hyperlink"/>
          </w:rPr>
          <w:t xml:space="preserve">https://doi.org/10.1002/joc.2117</w:t>
        </w:r>
      </w:hyperlink>
    </w:p>
    <w:bookmarkEnd w:id="275"/>
    <w:bookmarkStart w:id="277"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76">
        <w:r>
          <w:rPr>
            <w:rStyle w:val="Hyperlink"/>
          </w:rPr>
          <w:t xml:space="preserve">https://doi.org/10.1007/s00468-018-1767-z</w:t>
        </w:r>
      </w:hyperlink>
    </w:p>
    <w:bookmarkEnd w:id="277"/>
    <w:bookmarkStart w:id="27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78">
        <w:r>
          <w:rPr>
            <w:rStyle w:val="Hyperlink"/>
          </w:rPr>
          <w:t xml:space="preserve">https://doi.org/10.1016/j.agrformet.2017.07.015</w:t>
        </w:r>
      </w:hyperlink>
    </w:p>
    <w:bookmarkEnd w:id="279"/>
    <w:bookmarkStart w:id="28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0">
        <w:r>
          <w:rPr>
            <w:rStyle w:val="Hyperlink"/>
          </w:rPr>
          <w:t xml:space="preserve">https://doi.org/10.1111/2041-210X.12590</w:t>
        </w:r>
      </w:hyperlink>
    </w:p>
    <w:bookmarkEnd w:id="281"/>
    <w:bookmarkStart w:id="28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82">
        <w:r>
          <w:rPr>
            <w:rStyle w:val="Hyperlink"/>
          </w:rPr>
          <w:t xml:space="preserve">https://doi.org/10.1111/gcb.13572</w:t>
        </w:r>
      </w:hyperlink>
    </w:p>
    <w:bookmarkEnd w:id="283"/>
    <w:bookmarkStart w:id="28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4">
        <w:r>
          <w:rPr>
            <w:rStyle w:val="Hyperlink"/>
          </w:rPr>
          <w:t xml:space="preserve">https://doi.org/10.1038/ngeo2313</w:t>
        </w:r>
      </w:hyperlink>
    </w:p>
    <w:bookmarkEnd w:id="285"/>
    <w:bookmarkStart w:id="28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86">
        <w:r>
          <w:rPr>
            <w:rStyle w:val="Hyperlink"/>
          </w:rPr>
          <w:t xml:space="preserve">https://doi.org/10.1007/s00442-013-2846-x</w:t>
        </w:r>
      </w:hyperlink>
    </w:p>
    <w:bookmarkEnd w:id="287"/>
    <w:bookmarkStart w:id="28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88">
        <w:r>
          <w:rPr>
            <w:rStyle w:val="Hyperlink"/>
          </w:rPr>
          <w:t xml:space="preserve">https://doi.org/10.1890/0012-9615(2006)076[0549:HCGEDW]2.0.CO;2</w:t>
        </w:r>
      </w:hyperlink>
    </w:p>
    <w:bookmarkEnd w:id="289"/>
    <w:bookmarkStart w:id="29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0">
        <w:r>
          <w:rPr>
            <w:rStyle w:val="Hyperlink"/>
          </w:rPr>
          <w:t xml:space="preserve">https://doi.org/10.1016/j.foreco.2009.03.007</w:t>
        </w:r>
      </w:hyperlink>
    </w:p>
    <w:bookmarkEnd w:id="291"/>
    <w:bookmarkStart w:id="293"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92">
        <w:r>
          <w:rPr>
            <w:rStyle w:val="Hyperlink"/>
          </w:rPr>
          <w:t xml:space="preserve">https://doi.org/10.1111/nph.16866</w:t>
        </w:r>
      </w:hyperlink>
    </w:p>
    <w:bookmarkEnd w:id="293"/>
    <w:bookmarkStart w:id="295"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94">
        <w:r>
          <w:rPr>
            <w:rStyle w:val="Hyperlink"/>
          </w:rPr>
          <w:t xml:space="preserve">https://doi.org/10.1007/s11676-019-01020-w</w:t>
        </w:r>
      </w:hyperlink>
    </w:p>
    <w:bookmarkEnd w:id="295"/>
    <w:bookmarkStart w:id="297"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6">
        <w:r>
          <w:rPr>
            <w:rStyle w:val="Hyperlink"/>
          </w:rPr>
          <w:t xml:space="preserve">https://doi.org/10.1038/nclimate1693</w:t>
        </w:r>
      </w:hyperlink>
    </w:p>
    <w:bookmarkEnd w:id="297"/>
    <w:bookmarkStart w:id="299"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98">
        <w:r>
          <w:rPr>
            <w:rStyle w:val="Hyperlink"/>
          </w:rPr>
          <w:t xml:space="preserve">https://doi.org/10.1111/gcb.15057</w:t>
        </w:r>
      </w:hyperlink>
    </w:p>
    <w:bookmarkEnd w:id="299"/>
    <w:bookmarkStart w:id="301"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0">
        <w:r>
          <w:rPr>
            <w:rStyle w:val="Hyperlink"/>
          </w:rPr>
          <w:t xml:space="preserve">https://doi.org/10.1111/j.1467-9868.2010.00749.x</w:t>
        </w:r>
      </w:hyperlink>
    </w:p>
    <w:bookmarkEnd w:id="301"/>
    <w:bookmarkStart w:id="303"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2">
        <w:r>
          <w:rPr>
            <w:rStyle w:val="Hyperlink"/>
          </w:rPr>
          <w:t xml:space="preserve">https://doi.org/10.1191/095968399667128516</w:t>
        </w:r>
      </w:hyperlink>
    </w:p>
    <w:bookmarkEnd w:id="303"/>
    <w:bookmarkStart w:id="305"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4">
        <w:r>
          <w:rPr>
            <w:rStyle w:val="Hyperlink"/>
          </w:rPr>
          <w:t xml:space="preserve">https://doi.org/10.1016/j.dendro.2012.08.001</w:t>
        </w:r>
      </w:hyperlink>
    </w:p>
    <w:bookmarkEnd w:id="305"/>
    <w:bookmarkStart w:id="307" w:name="ref-zhang_halfcentury_2015"/>
    <w:p>
      <w:pPr>
        <w:pStyle w:val="Bibliography"/>
      </w:pPr>
      <w:r>
        <w:t xml:space="preserve">Zhang, J., Huang, S., &amp; He, F. (2015). Half-century evidence from western</w:t>
      </w:r>
      <w:r>
        <w:t xml:space="preserve"> </w:t>
      </w:r>
      <w:r>
        <w:t xml:space="preserve">Canada</w:t>
      </w:r>
      <w:r>
        <w:t xml:space="preserve"> </w:t>
      </w:r>
      <w:r>
        <w:t xml:space="preserve">shows forest dynamics are primarily driven by competition followed by climate.</w:t>
      </w:r>
      <w:r>
        <w:t xml:space="preserve"> </w:t>
      </w:r>
      <w:r>
        <w:rPr>
          <w:iCs/>
          <w:i/>
        </w:rPr>
        <w:t xml:space="preserve">Proceedings of the National Academy of Sciences</w:t>
      </w:r>
      <w:r>
        <w:t xml:space="preserve">,</w:t>
      </w:r>
      <w:r>
        <w:t xml:space="preserve"> </w:t>
      </w:r>
      <w:r>
        <w:rPr>
          <w:iCs/>
          <w:i/>
        </w:rPr>
        <w:t xml:space="preserve">112</w:t>
      </w:r>
      <w:r>
        <w:t xml:space="preserve">(13), 4009–4014.</w:t>
      </w:r>
      <w:r>
        <w:t xml:space="preserve"> </w:t>
      </w:r>
      <w:hyperlink r:id="rId306">
        <w:r>
          <w:rPr>
            <w:rStyle w:val="Hyperlink"/>
          </w:rPr>
          <w:t xml:space="preserve">https://doi.org/10.1073/pnas.1420844112</w:t>
        </w:r>
      </w:hyperlink>
    </w:p>
    <w:bookmarkEnd w:id="307"/>
    <w:bookmarkStart w:id="309"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08">
        <w:r>
          <w:rPr>
            <w:rStyle w:val="Hyperlink"/>
          </w:rPr>
          <w:t xml:space="preserve">https://doi.org/10.1016/j.tplants.2013.05.006</w:t>
        </w:r>
      </w:hyperlink>
    </w:p>
    <w:bookmarkEnd w:id="309"/>
    <w:bookmarkStart w:id="311"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0">
        <w:r>
          <w:rPr>
            <w:rStyle w:val="Hyperlink"/>
          </w:rPr>
          <w:t xml:space="preserve">https://doi.org/10.1111/gcb.15092</w:t>
        </w:r>
      </w:hyperlink>
    </w:p>
    <w:bookmarkEnd w:id="311"/>
    <w:bookmarkEnd w:id="312"/>
    <w:bookmarkEnd w:id="313"/>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54"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0"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38" Target="https://doi.org/10.1002/ecy.3264" TargetMode="External" /><Relationship Type="http://schemas.openxmlformats.org/officeDocument/2006/relationships/hyperlink" Id="rId274"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2" Target="https://doi.org/10.1007/978-94-007-1242-3_2" TargetMode="External" /><Relationship Type="http://schemas.openxmlformats.org/officeDocument/2006/relationships/hyperlink" Id="rId28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2" Target="https://doi.org/10.1007/s00468-010-0480-3" TargetMode="External" /><Relationship Type="http://schemas.openxmlformats.org/officeDocument/2006/relationships/hyperlink" Id="rId276"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4" Target="https://doi.org/10.1007/s11258-007-9345-2" TargetMode="External" /><Relationship Type="http://schemas.openxmlformats.org/officeDocument/2006/relationships/hyperlink" Id="rId294"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78"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4" Target="https://doi.org/10.1016/j.dendro.2012.08.001" TargetMode="External" /><Relationship Type="http://schemas.openxmlformats.org/officeDocument/2006/relationships/hyperlink" Id="rId234"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0"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2" Target="https://doi.org/10.1016/j.foreco.2009.12.003" TargetMode="External" /><Relationship Type="http://schemas.openxmlformats.org/officeDocument/2006/relationships/hyperlink" Id="rId244" Target="https://doi.org/10.1016/j.foreco.2015.08.034" TargetMode="External" /><Relationship Type="http://schemas.openxmlformats.org/officeDocument/2006/relationships/hyperlink" Id="rId250"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6"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08"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7" Target="https://doi.org/10.1038/nature12914" TargetMode="External" /><Relationship Type="http://schemas.openxmlformats.org/officeDocument/2006/relationships/hyperlink" Id="rId296"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6"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103" Target="https://doi.org/10.1078/1125-7865-00017" TargetMode="External" /><Relationship Type="http://schemas.openxmlformats.org/officeDocument/2006/relationships/hyperlink" Id="rId260"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8"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0" Target="https://doi.org/10.1111/2041-210X.12590" TargetMode="External" /><Relationship Type="http://schemas.openxmlformats.org/officeDocument/2006/relationships/hyperlink" Id="rId236"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2" Target="https://doi.org/10.1111/gcb.13572" TargetMode="External" /><Relationship Type="http://schemas.openxmlformats.org/officeDocument/2006/relationships/hyperlink" Id="rId268"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298" Target="https://doi.org/10.1111/gcb.15057" TargetMode="External" /><Relationship Type="http://schemas.openxmlformats.org/officeDocument/2006/relationships/hyperlink" Id="rId310"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0" Target="https://doi.org/10.1111/j.1467-9868.2010.00749.x" TargetMode="External" /><Relationship Type="http://schemas.openxmlformats.org/officeDocument/2006/relationships/hyperlink" Id="rId240"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2"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2"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6"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2" Target="https://doi.org/10.1191/095968399667128516" TargetMode="External" /><Relationship Type="http://schemas.openxmlformats.org/officeDocument/2006/relationships/hyperlink" Id="rId288"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54"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70"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9"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29" Target="https://doi.org/10.1002/ecy.2737" TargetMode="External" /><Relationship Type="http://schemas.openxmlformats.org/officeDocument/2006/relationships/hyperlink" Id="rId238" Target="https://doi.org/10.1002/ecy.3264" TargetMode="External" /><Relationship Type="http://schemas.openxmlformats.org/officeDocument/2006/relationships/hyperlink" Id="rId274" Target="https://doi.org/10.1002/joc.2117" TargetMode="External" /><Relationship Type="http://schemas.openxmlformats.org/officeDocument/2006/relationships/hyperlink" Id="rId173"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72" Target="https://doi.org/10.1007/978-94-007-1242-3_2" TargetMode="External" /><Relationship Type="http://schemas.openxmlformats.org/officeDocument/2006/relationships/hyperlink" Id="rId28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42" Target="https://doi.org/10.1007/s00468-010-0480-3" TargetMode="External" /><Relationship Type="http://schemas.openxmlformats.org/officeDocument/2006/relationships/hyperlink" Id="rId276"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9" Target="https://doi.org/10.1007/s10342-016-0982-7" TargetMode="External" /><Relationship Type="http://schemas.openxmlformats.org/officeDocument/2006/relationships/hyperlink" Id="rId206"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4" Target="https://doi.org/10.1007/s11258-007-9345-2" TargetMode="External" /><Relationship Type="http://schemas.openxmlformats.org/officeDocument/2006/relationships/hyperlink" Id="rId294" Target="https://doi.org/10.1007/s11676-019-01020-w" TargetMode="External" /><Relationship Type="http://schemas.openxmlformats.org/officeDocument/2006/relationships/hyperlink" Id="rId152" Target="https://doi.org/10.1016/S0065-2504(08)60158-0" TargetMode="External" /><Relationship Type="http://schemas.openxmlformats.org/officeDocument/2006/relationships/hyperlink" Id="rId115" Target="https://doi.org/10.1016/S0378-1127(98)00242-4" TargetMode="External" /><Relationship Type="http://schemas.openxmlformats.org/officeDocument/2006/relationships/hyperlink" Id="rId278" Target="https://doi.org/10.1016/j.agrformet.2017.07.015" TargetMode="External" /><Relationship Type="http://schemas.openxmlformats.org/officeDocument/2006/relationships/hyperlink" Id="rId126" Target="https://doi.org/10.1016/j.biocon.2020.108907" TargetMode="External" /><Relationship Type="http://schemas.openxmlformats.org/officeDocument/2006/relationships/hyperlink" Id="rId214" Target="https://doi.org/10.1016/j.cageo.2011.01.013" TargetMode="External" /><Relationship Type="http://schemas.openxmlformats.org/officeDocument/2006/relationships/hyperlink" Id="rId304" Target="https://doi.org/10.1016/j.dendro.2012.08.001" TargetMode="External" /><Relationship Type="http://schemas.openxmlformats.org/officeDocument/2006/relationships/hyperlink" Id="rId234" Target="https://doi.org/10.1016/j.dendro.2020.125678" TargetMode="External" /><Relationship Type="http://schemas.openxmlformats.org/officeDocument/2006/relationships/hyperlink" Id="rId141" Target="https://doi.org/10.1016/j.foreco.2008.10.014" TargetMode="External" /><Relationship Type="http://schemas.openxmlformats.org/officeDocument/2006/relationships/hyperlink" Id="rId290" Target="https://doi.org/10.1016/j.foreco.2009.03.007" TargetMode="External" /><Relationship Type="http://schemas.openxmlformats.org/officeDocument/2006/relationships/hyperlink" Id="rId200" Target="https://doi.org/10.1016/j.foreco.2009.03.009" TargetMode="External" /><Relationship Type="http://schemas.openxmlformats.org/officeDocument/2006/relationships/hyperlink" Id="rId128" Target="https://doi.org/10.1016/j.foreco.2009.08.009" TargetMode="External" /><Relationship Type="http://schemas.openxmlformats.org/officeDocument/2006/relationships/hyperlink" Id="rId252" Target="https://doi.org/10.1016/j.foreco.2009.12.003" TargetMode="External" /><Relationship Type="http://schemas.openxmlformats.org/officeDocument/2006/relationships/hyperlink" Id="rId244" Target="https://doi.org/10.1016/j.foreco.2015.08.034" TargetMode="External" /><Relationship Type="http://schemas.openxmlformats.org/officeDocument/2006/relationships/hyperlink" Id="rId250" Target="https://doi.org/10.1016/j.foreco.2020.118688" TargetMode="External" /><Relationship Type="http://schemas.openxmlformats.org/officeDocument/2006/relationships/hyperlink" Id="rId147"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66" Target="https://doi.org/10.1016/j.scitotenv.2020.140288" TargetMode="External" /><Relationship Type="http://schemas.openxmlformats.org/officeDocument/2006/relationships/hyperlink" Id="rId101" Target="https://doi.org/10.1016/j.tplants.2012.08.005" TargetMode="External" /><Relationship Type="http://schemas.openxmlformats.org/officeDocument/2006/relationships/hyperlink" Id="rId308"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5" Target="https://doi.org/10.1029/2011GB004143" TargetMode="External" /><Relationship Type="http://schemas.openxmlformats.org/officeDocument/2006/relationships/hyperlink" Id="rId179" Target="https://doi.org/10.1029/2018JG004573" TargetMode="External" /><Relationship Type="http://schemas.openxmlformats.org/officeDocument/2006/relationships/hyperlink" Id="rId204" Target="https://doi.org/10.1029/2019JG005298" TargetMode="External" /><Relationship Type="http://schemas.openxmlformats.org/officeDocument/2006/relationships/hyperlink" Id="rId257" Target="https://doi.org/10.1038/nature12914" TargetMode="External" /><Relationship Type="http://schemas.openxmlformats.org/officeDocument/2006/relationships/hyperlink" Id="rId296" Target="https://doi.org/10.1038/nclimate1693" TargetMode="External" /><Relationship Type="http://schemas.openxmlformats.org/officeDocument/2006/relationships/hyperlink" Id="rId184" Target="https://doi.org/10.1038/nclimate2253" TargetMode="External" /><Relationship Type="http://schemas.openxmlformats.org/officeDocument/2006/relationships/hyperlink" Id="rId223" Target="https://doi.org/10.1038/nclimate3114" TargetMode="External" /><Relationship Type="http://schemas.openxmlformats.org/officeDocument/2006/relationships/hyperlink" Id="rId284"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86"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21" Target="https://doi.org/10.1038/s41467-020-19187-w" TargetMode="External" /><Relationship Type="http://schemas.openxmlformats.org/officeDocument/2006/relationships/hyperlink" Id="rId181" Target="https://doi.org/10.1038/s41586-021-03325-5" TargetMode="External" /><Relationship Type="http://schemas.openxmlformats.org/officeDocument/2006/relationships/hyperlink" Id="rId175" Target="https://doi.org/10.1038/s41597-020-0453-3" TargetMode="External" /><Relationship Type="http://schemas.openxmlformats.org/officeDocument/2006/relationships/hyperlink" Id="rId137" Target="https://doi.org/10.1038/s41598-019-43243-1" TargetMode="External" /><Relationship Type="http://schemas.openxmlformats.org/officeDocument/2006/relationships/hyperlink" Id="rId135" Target="https://doi.org/10.1038/s41598-020-73733-6" TargetMode="External" /><Relationship Type="http://schemas.openxmlformats.org/officeDocument/2006/relationships/hyperlink" Id="rId192" Target="https://doi.org/10.1038/srep46158" TargetMode="External" /><Relationship Type="http://schemas.openxmlformats.org/officeDocument/2006/relationships/hyperlink" Id="rId306" Target="https://doi.org/10.1073/pnas.1420844112" TargetMode="External" /><Relationship Type="http://schemas.openxmlformats.org/officeDocument/2006/relationships/hyperlink" Id="rId160" Target="https://doi.org/10.1073/pnas.1610156113" TargetMode="External" /><Relationship Type="http://schemas.openxmlformats.org/officeDocument/2006/relationships/hyperlink" Id="rId103" Target="https://doi.org/10.1078/1125-7865-00017" TargetMode="External" /><Relationship Type="http://schemas.openxmlformats.org/officeDocument/2006/relationships/hyperlink" Id="rId260" Target="https://doi.org/10.1088/1748-9326/11/11/114007" TargetMode="External" /><Relationship Type="http://schemas.openxmlformats.org/officeDocument/2006/relationships/hyperlink" Id="rId188"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48" Target="https://doi.org/10.1111/1365-2435.12775" TargetMode="External" /><Relationship Type="http://schemas.openxmlformats.org/officeDocument/2006/relationships/hyperlink" Id="rId130" Target="https://doi.org/10.1111/1365-2745.13569" TargetMode="External" /><Relationship Type="http://schemas.openxmlformats.org/officeDocument/2006/relationships/hyperlink" Id="rId280" Target="https://doi.org/10.1111/2041-210X.12590" TargetMode="External" /><Relationship Type="http://schemas.openxmlformats.org/officeDocument/2006/relationships/hyperlink" Id="rId236"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9"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26" Target="https://doi.org/10.1111/gcb.12826" TargetMode="External" /><Relationship Type="http://schemas.openxmlformats.org/officeDocument/2006/relationships/hyperlink" Id="rId167"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07" Target="https://doi.org/10.1111/gcb.13410" TargetMode="External" /><Relationship Type="http://schemas.openxmlformats.org/officeDocument/2006/relationships/hyperlink" Id="rId113" Target="https://doi.org/10.1111/gcb.13535" TargetMode="External" /><Relationship Type="http://schemas.openxmlformats.org/officeDocument/2006/relationships/hyperlink" Id="rId282" Target="https://doi.org/10.1111/gcb.13572" TargetMode="External" /><Relationship Type="http://schemas.openxmlformats.org/officeDocument/2006/relationships/hyperlink" Id="rId268" Target="https://doi.org/10.1111/gcb.14120" TargetMode="External" /><Relationship Type="http://schemas.openxmlformats.org/officeDocument/2006/relationships/hyperlink" Id="rId202" Target="https://doi.org/10.1111/gcb.14273" TargetMode="External" /><Relationship Type="http://schemas.openxmlformats.org/officeDocument/2006/relationships/hyperlink" Id="rId171" Target="https://doi.org/10.1111/gcb.14561" TargetMode="External" /><Relationship Type="http://schemas.openxmlformats.org/officeDocument/2006/relationships/hyperlink" Id="rId298" Target="https://doi.org/10.1111/gcb.15057" TargetMode="External" /><Relationship Type="http://schemas.openxmlformats.org/officeDocument/2006/relationships/hyperlink" Id="rId310"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8" Target="https://doi.org/10.1111/gcb.15548" TargetMode="External" /><Relationship Type="http://schemas.openxmlformats.org/officeDocument/2006/relationships/hyperlink" Id="rId221" Target="https://doi.org/10.1111/j.1365-2486.2010.02222.x" TargetMode="External" /><Relationship Type="http://schemas.openxmlformats.org/officeDocument/2006/relationships/hyperlink" Id="rId117" Target="https://doi.org/10.1111/j.1461-0248.2011.01685.x" TargetMode="External" /><Relationship Type="http://schemas.openxmlformats.org/officeDocument/2006/relationships/hyperlink" Id="rId300" Target="https://doi.org/10.1111/j.1467-9868.2010.00749.x" TargetMode="External" /><Relationship Type="http://schemas.openxmlformats.org/officeDocument/2006/relationships/hyperlink" Id="rId240" Target="https://doi.org/10.1111/j.1469-8137.2007.02235.x" TargetMode="External" /><Relationship Type="http://schemas.openxmlformats.org/officeDocument/2006/relationships/hyperlink" Id="rId217" Target="https://doi.org/10.1111/j.1600-0587.2013.00205.x" TargetMode="External" /><Relationship Type="http://schemas.openxmlformats.org/officeDocument/2006/relationships/hyperlink" Id="rId262" Target="https://doi.org/10.1111/jvs.12025" TargetMode="External" /><Relationship Type="http://schemas.openxmlformats.org/officeDocument/2006/relationships/hyperlink" Id="rId212" Target="https://doi.org/10.1111/nph.14633" TargetMode="External" /><Relationship Type="http://schemas.openxmlformats.org/officeDocument/2006/relationships/hyperlink" Id="rId190" Target="https://doi.org/10.1111/nph.15668" TargetMode="External" /><Relationship Type="http://schemas.openxmlformats.org/officeDocument/2006/relationships/hyperlink" Id="rId177" Target="https://doi.org/10.1111/nph.15906" TargetMode="External" /><Relationship Type="http://schemas.openxmlformats.org/officeDocument/2006/relationships/hyperlink" Id="rId292" Target="https://doi.org/10.1111/nph.16866" TargetMode="External" /><Relationship Type="http://schemas.openxmlformats.org/officeDocument/2006/relationships/hyperlink" Id="rId210"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11" Target="https://doi.org/10.1126/science.1197175" TargetMode="External" /><Relationship Type="http://schemas.openxmlformats.org/officeDocument/2006/relationships/hyperlink" Id="rId208" Target="https://doi.org/10.1126/science.aaz9463" TargetMode="External" /><Relationship Type="http://schemas.openxmlformats.org/officeDocument/2006/relationships/hyperlink" Id="rId109" Target="https://doi.org/10.1139/cjfr-2018-0206" TargetMode="External" /><Relationship Type="http://schemas.openxmlformats.org/officeDocument/2006/relationships/hyperlink" Id="rId194" Target="https://doi.org/10.1139/x89-102" TargetMode="External" /><Relationship Type="http://schemas.openxmlformats.org/officeDocument/2006/relationships/hyperlink" Id="rId124" Target="https://doi.org/10.1177/095968369700700314" TargetMode="External" /><Relationship Type="http://schemas.openxmlformats.org/officeDocument/2006/relationships/hyperlink" Id="rId246" Target="https://doi.org/10.1186/s40663-018-0133-3" TargetMode="External" /><Relationship Type="http://schemas.openxmlformats.org/officeDocument/2006/relationships/hyperlink" Id="rId232" Target="https://doi.org/10.1186/s40663-018-0139-x" TargetMode="External" /><Relationship Type="http://schemas.openxmlformats.org/officeDocument/2006/relationships/hyperlink" Id="rId302" Target="https://doi.org/10.1191/095968399667128516" TargetMode="External" /><Relationship Type="http://schemas.openxmlformats.org/officeDocument/2006/relationships/hyperlink" Id="rId288" Target="https://doi.org/10.1890/0012-9615(2006)076[0549:HCGEDW]2.0.CO;2" TargetMode="External" /><Relationship Type="http://schemas.openxmlformats.org/officeDocument/2006/relationships/hyperlink" Id="rId119" Target="https://doi.org/10.1890/0012-9658(2003)084[0017:CHTITT]2.0.CO;2" TargetMode="External" /><Relationship Type="http://schemas.openxmlformats.org/officeDocument/2006/relationships/hyperlink" Id="rId99" Target="https://doi.org/10.1890/13-0010.1" TargetMode="External" /><Relationship Type="http://schemas.openxmlformats.org/officeDocument/2006/relationships/hyperlink" Id="rId162" Target="https://doi.org/10.1890/13-0070.1" TargetMode="External" /><Relationship Type="http://schemas.openxmlformats.org/officeDocument/2006/relationships/hyperlink" Id="rId165" Target="https://doi.org/10.2307/1937545" TargetMode="External" /><Relationship Type="http://schemas.openxmlformats.org/officeDocument/2006/relationships/hyperlink" Id="rId196"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4"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2021-08-31T11:29:26Z</dcterms:created>
  <dcterms:modified xsi:type="dcterms:W3CDTF">2021-08-31T11:29:26Z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