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commonly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physiology and growth</w:t>
      </w:r>
      <w:r>
        <w:t xml:space="preserve"> </w:t>
      </w:r>
      <w:r>
        <w:t xml:space="preserve">(Enquist &amp; Niklas, 2002; Niklas, 2004; e.g., height, crown size and position, root mass, hydraulic architecture,</w:t>
      </w:r>
      <w:r>
        <w:t xml:space="preserve"> </w:t>
      </w:r>
      <w:r>
        <w:rPr>
          <w:bCs/>
          <w:b/>
        </w:rPr>
        <w:t xml:space="preserve">couvreur_water_2018?</w:t>
      </w:r>
      <w:r>
        <w:t xml:space="preserve">)</w:t>
      </w:r>
      <w:r>
        <w:t xml:space="preserve"> </w:t>
      </w:r>
      <w:r>
        <w:t xml:space="preserve">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Yet, there remain inconsistencies as to what is considered a typical growth pattern.</w:t>
      </w:r>
      <w:r>
        <w:t xml:space="preserve"> </w:t>
      </w:r>
      <w:r>
        <w:t xml:space="preserve">Tree ring records commonly show a pattern in which radial stem growth increments (ring width, RW) are initially large and decline with DBH</w:t>
      </w:r>
      <w:r>
        <w:t xml:space="preserve"> </w:t>
      </w:r>
      <w:r>
        <w:t xml:space="preserve">(Fritts, 1976)</w:t>
      </w:r>
      <w:r>
        <w:t xml:space="preserve">, whereas forest census data reveals a typical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166"/>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undisturbed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these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5" w:name="References"/>
    <w:p>
      <w:pPr>
        <w:pStyle w:val="Heading1"/>
      </w:pPr>
      <w:r>
        <w:t xml:space="preserve">References</w:t>
      </w:r>
    </w:p>
    <w:bookmarkStart w:id="284"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27">
        <w:r>
          <w:rPr>
            <w:rStyle w:val="Hyperlink"/>
          </w:rPr>
          <w:t xml:space="preserve">https://doi.org/10.1126/science.1066360</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8">
        <w:r>
          <w:rPr>
            <w:rStyle w:val="Hyperlink"/>
          </w:rPr>
          <w:t xml:space="preserve">https://doi.org/10.1088/1748-9326/abd8fb</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03">
        <w:r>
          <w:rPr>
            <w:rStyle w:val="Hyperlink"/>
          </w:rPr>
          <w:t xml:space="preserve">https://doi.org/10.1017/S1464793104006499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0">
        <w:r>
          <w:rPr>
            <w:rStyle w:val="Hyperlink"/>
          </w:rPr>
          <w:t xml:space="preserve">https://doi.org/10.1038/nclimate1693</w:t>
        </w:r>
      </w:hyperlink>
    </w:p>
    <w:bookmarkEnd w:id="271"/>
    <w:bookmarkStart w:id="27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2">
        <w:r>
          <w:rPr>
            <w:rStyle w:val="Hyperlink"/>
          </w:rPr>
          <w:t xml:space="preserve">https://doi.org/10.1111/gcb.15057</w:t>
        </w:r>
      </w:hyperlink>
    </w:p>
    <w:bookmarkEnd w:id="273"/>
    <w:bookmarkStart w:id="27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4">
        <w:r>
          <w:rPr>
            <w:rStyle w:val="Hyperlink"/>
          </w:rPr>
          <w:t xml:space="preserve">https://doi.org/10.1111/j.1467-9868.2010.00749.x</w:t>
        </w:r>
      </w:hyperlink>
    </w:p>
    <w:bookmarkEnd w:id="275"/>
    <w:bookmarkStart w:id="27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6">
        <w:r>
          <w:rPr>
            <w:rStyle w:val="Hyperlink"/>
          </w:rPr>
          <w:t xml:space="preserve">https://doi.org/10.1191/095968399667128516</w:t>
        </w:r>
      </w:hyperlink>
    </w:p>
    <w:bookmarkEnd w:id="277"/>
    <w:bookmarkStart w:id="27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8">
        <w:r>
          <w:rPr>
            <w:rStyle w:val="Hyperlink"/>
          </w:rPr>
          <w:t xml:space="preserve">https://doi.org/10.1016/j.dendro.2012.08.001</w:t>
        </w:r>
      </w:hyperlink>
    </w:p>
    <w:bookmarkEnd w:id="279"/>
    <w:bookmarkStart w:id="28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0">
        <w:r>
          <w:rPr>
            <w:rStyle w:val="Hyperlink"/>
          </w:rPr>
          <w:t xml:space="preserve">https://doi.org/10.1016/j.tplants.2013.05.006</w:t>
        </w:r>
      </w:hyperlink>
    </w:p>
    <w:bookmarkEnd w:id="281"/>
    <w:bookmarkStart w:id="28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2">
        <w:r>
          <w:rPr>
            <w:rStyle w:val="Hyperlink"/>
          </w:rPr>
          <w:t xml:space="preserve">https://doi.org/10.1111/gcb.15092</w:t>
        </w:r>
      </w:hyperlink>
    </w:p>
    <w:bookmarkEnd w:id="283"/>
    <w:bookmarkEnd w:id="284"/>
    <w:bookmarkEnd w:id="28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2021-05-19T14:47:20Z</dcterms:created>
  <dcterms:modified xsi:type="dcterms:W3CDTF">2021-05-19T14:47:20Z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