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50.png" ContentType="image/png"/>
  <Override PartName="/word/media/rId52.png" ContentType="image/png"/>
  <Override PartName="/word/media/rId45.png" ContentType="image/png"/>
  <Override PartName="/word/media/rId47.png" ContentType="image/png"/>
  <Override PartName="/word/media/rId42.png" ContentType="image/png"/>
  <Override PartName="/word/media/rId37.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using tree-ring records from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r>
        <w:t xml:space="preserve">Pieter A. Zuidema</w:t>
      </w:r>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The Morton Arboretum, Center for Tree Science,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p>
    <w:p>
      <w:pPr>
        <w:pStyle w:val="FirstParagraph"/>
      </w:pPr>
      <w:r>
        <w:t xml:space="preserve">** Current address: Decision and Infrastructure Sciences, Argonne National Laboratory; Lamont, IL.</w:t>
      </w:r>
    </w:p>
    <w:p>
      <w:pPr>
        <w:numPr>
          <w:ilvl w:val="0"/>
          <w:numId w:val="1002"/>
        </w:numPr>
      </w:pPr>
      <w:r>
        <w:t xml:space="preserve">Department of Geography &amp; Environmental Studies, University of New Mexico; Albuquerque, NM 87131 USA</w:t>
      </w:r>
    </w:p>
    <w:p>
      <w:pPr>
        <w:numPr>
          <w:ilvl w:val="0"/>
          <w:numId w:val="1002"/>
        </w:numPr>
      </w:pPr>
      <w:r>
        <w:t xml:space="preserve">Biology Department, Wilfrid Laurier University, 75 University Ave W, Waterloo, ON, N2L 3C5</w:t>
      </w:r>
    </w:p>
    <w:p>
      <w:pPr>
        <w:numPr>
          <w:ilvl w:val="0"/>
          <w:numId w:val="1002"/>
        </w:numPr>
      </w:pPr>
      <w:r>
        <w:t xml:space="preserve">School of Natural Resources, University of Nebraska-Lincoln, Lincoln, NE 68588-0118, USA</w:t>
      </w:r>
    </w:p>
    <w:p>
      <w:pPr>
        <w:numPr>
          <w:ilvl w:val="0"/>
          <w:numId w:val="1002"/>
        </w:numPr>
      </w:pPr>
      <w:r>
        <w:t xml:space="preserve">School of Ecosystem and Forest Sciences, University of Melbourne, Richmond VIC 3121, Australia</w:t>
      </w:r>
    </w:p>
    <w:p>
      <w:pPr>
        <w:numPr>
          <w:ilvl w:val="0"/>
          <w:numId w:val="1002"/>
        </w:numPr>
      </w:pPr>
      <w:r>
        <w:t xml:space="preserve">University of Alberta; Edmonton, Alberta, Canada</w:t>
      </w:r>
    </w:p>
    <w:p>
      <w:pPr>
        <w:numPr>
          <w:ilvl w:val="0"/>
          <w:numId w:val="1002"/>
        </w:numPr>
      </w:pPr>
      <w:r>
        <w:t xml:space="preserve">National Parks Wildlife and Plant Conservation Department, Chatuchak, Bangkok 10900, Thailand</w:t>
      </w:r>
    </w:p>
    <w:p>
      <w:pPr>
        <w:numPr>
          <w:ilvl w:val="0"/>
          <w:numId w:val="1002"/>
        </w:numPr>
      </w:pPr>
      <w:r>
        <w:t xml:space="preserve">Swiss Federal Institute for Forest, Snow and Landscape Research, CH-8903 Birmensdorf, Switzerland</w:t>
      </w:r>
    </w:p>
    <w:p>
      <w:pPr>
        <w:numPr>
          <w:ilvl w:val="0"/>
          <w:numId w:val="1002"/>
        </w:numPr>
      </w:pPr>
      <w:r>
        <w:t xml:space="preserve">Faculty of Forestry, University of British Columbia, Vancouver BC, Canada</w:t>
      </w:r>
    </w:p>
    <w:p>
      <w:pPr>
        <w:numPr>
          <w:ilvl w:val="0"/>
          <w:numId w:val="1002"/>
        </w:numPr>
      </w:pPr>
      <w:r>
        <w:t xml:space="preserve">Department of Forestry, Purdue University, West Lafayette, IN 47907, USA</w:t>
      </w:r>
    </w:p>
    <w:p>
      <w:pPr>
        <w:numPr>
          <w:ilvl w:val="0"/>
          <w:numId w:val="1002"/>
        </w:numPr>
      </w:pPr>
      <w:r>
        <w:t xml:space="preserve">Department of Forest Ecology, The Silva Tarouca Research Institute for Landscape and Ornamental Gardening, Lidická 25/27, 602 00 Brno, Czech Republic</w:t>
      </w:r>
    </w:p>
    <w:p>
      <w:pPr>
        <w:numPr>
          <w:ilvl w:val="0"/>
          <w:numId w:val="1002"/>
        </w:numPr>
      </w:pPr>
      <w:r>
        <w:t xml:space="preserve">S. J. &amp; Jessie E. Quinney College of Natural Resources and the Ecology Center, Utah State University, Logan, UT 84322, USA</w:t>
      </w:r>
    </w:p>
    <w:p>
      <w:pPr>
        <w:numPr>
          <w:ilvl w:val="0"/>
          <w:numId w:val="1002"/>
        </w:numPr>
      </w:pPr>
      <w:r>
        <w:t xml:space="preserve">U.S. Geological Survey, Fort Collins Science Center, New Mexico Landscapes Field Station, Los Alamos, NM 87544, USA</w:t>
      </w:r>
    </w:p>
    <w:p>
      <w:pPr>
        <w:numPr>
          <w:ilvl w:val="0"/>
          <w:numId w:val="1002"/>
        </w:numPr>
      </w:pPr>
      <w:r>
        <w:t xml:space="preserve">Department of Geography, Indiana University, Bloomington, Indiana, USA</w:t>
      </w:r>
    </w:p>
    <w:p>
      <w:pPr>
        <w:numPr>
          <w:ilvl w:val="0"/>
          <w:numId w:val="1002"/>
        </w:numPr>
      </w:pPr>
      <w:r>
        <w:t xml:space="preserve">Smithsonian Environmental Research Center, Edgewater, MD, USA</w:t>
      </w:r>
    </w:p>
    <w:p>
      <w:pPr>
        <w:numPr>
          <w:ilvl w:val="0"/>
          <w:numId w:val="1002"/>
        </w:numPr>
      </w:pPr>
      <w:r>
        <w:t xml:space="preserve">CIRAD, Montpellier, France</w:t>
      </w:r>
    </w:p>
    <w:p>
      <w:pPr>
        <w:numPr>
          <w:ilvl w:val="0"/>
          <w:numId w:val="1002"/>
        </w:numPr>
      </w:pPr>
      <w:r>
        <w:t xml:space="preserve">School of Biological Sciences, University of Nebraska-Lincoln, USA 68588</w:t>
      </w:r>
    </w:p>
    <w:p>
      <w:pPr>
        <w:numPr>
          <w:ilvl w:val="0"/>
          <w:numId w:val="1002"/>
        </w:numPr>
      </w:pPr>
      <w:r>
        <w:t xml:space="preserve">Center for Plant Science Innovation, University of Nebraska – Lincoln, USA 68588</w:t>
      </w:r>
    </w:p>
    <w:p>
      <w:pPr>
        <w:numPr>
          <w:ilvl w:val="0"/>
          <w:numId w:val="1002"/>
        </w:numPr>
      </w:pPr>
      <w:r>
        <w:t xml:space="preserve">Canadian Forest Service, Northern Forestry Centre, Edmonton, Alberta, Canada</w:t>
      </w:r>
    </w:p>
    <w:p>
      <w:pPr>
        <w:numPr>
          <w:ilvl w:val="0"/>
          <w:numId w:val="1002"/>
        </w:numPr>
      </w:pPr>
      <w:r>
        <w:t xml:space="preserve">Forest Ecology and Forest Management Group, Wageningen; Wageningen, The Netherlands</w:t>
      </w:r>
    </w:p>
    <w:p>
      <w:pPr>
        <w:pStyle w:val="FirstParagraph"/>
      </w:pPr>
      <w:r>
        <w:t xml:space="preserve">*corresponding author:</w:t>
      </w:r>
      <w:r>
        <w:t xml:space="preserve"> </w:t>
      </w:r>
      <w:hyperlink r:id="rId28">
        <w:r>
          <w:rPr>
            <w:rStyle w:val="Hyperlink"/>
          </w:rPr>
          <w:t xml:space="preserve">teixeirak@si.edu</w:t>
        </w:r>
      </w:hyperlink>
      <w:r>
        <w:t xml:space="preserve">; +1 540 635 6546</w:t>
      </w:r>
    </w:p>
    <w:p>
      <w:pPr>
        <w:pStyle w:val="BodyText"/>
      </w:pPr>
      <w:r>
        <w:rPr>
          <w:bCs/>
          <w:b/>
        </w:rPr>
        <w:t xml:space="preserve">Running headline:</w:t>
      </w:r>
      <w:r>
        <w:t xml:space="preserve"> </w:t>
      </w:r>
      <w:r>
        <w:t xml:space="preserve">[45 chars]</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29" w:name="Abstract"/>
    <w:p>
      <w:pPr>
        <w:pStyle w:val="Heading1"/>
      </w:pPr>
      <w:r>
        <w:t xml:space="preserve">Abstract</w:t>
      </w:r>
    </w:p>
    <w:p>
      <w:pPr>
        <w:pStyle w:val="FirstParagraph"/>
      </w:pPr>
      <w:r>
        <w:t xml:space="preserve">Tree rings provide a uniquely valuable long-term record for understanding how climate and other environmental drivers shape individual tree growth and forest productivity.</w:t>
      </w:r>
      <w:r>
        <w:t xml:space="preserve"> </w:t>
      </w:r>
      <w:r>
        <w:t xml:space="preserve">However, conventional tree-ring analysis methods are not designed to simultaneously account for the effects of climate, tree size, and other environmental drivers on individual tree growth, which has limited the potential to use tree rings to understand forest productivity, its climate sensitivity, and its global change responses.</w:t>
      </w:r>
      <w:r>
        <w:t xml:space="preserve"> </w:t>
      </w:r>
      <w:r>
        <w:t xml:space="preserve">Here, we develop and apply a new method to simultaneously model non-linear effects of primary climate drivers, reconstructed tree diameter (DBH), and year in generalized least squares models that account for the temporal autocorrelation inherent to each individual tree’s growth.</w:t>
      </w:r>
      <w:r>
        <w:t xml:space="preserve"> </w:t>
      </w:r>
      <w:r>
        <w:t xml:space="preserve">We analyze tree-ring data from 3811 trees representing 40 species at 10 globally distributed sites, showing that water, temperature, DBH, and time have additively, and often interactively, influenced annual growth over the past 120 years.</w:t>
      </w:r>
      <w:r>
        <w:t xml:space="preserve"> </w:t>
      </w:r>
      <w:r>
        <w:t xml:space="preserve">Growth responses were predominantly positive to precipitation and negative to temperature, with both included in 78% of top models, and with non-linear responses prevalent (</w:t>
      </w:r>
      <w:r>
        <w:rPr>
          <w:iCs/>
          <w:i/>
        </w:rPr>
        <w:t xml:space="preserve">##%</w:t>
      </w:r>
      <w:r>
        <w:t xml:space="preserve"> </w:t>
      </w:r>
      <w:r>
        <w:t xml:space="preserve">of relationships).</w:t>
      </w:r>
      <w:r>
        <w:t xml:space="preserve"> </w:t>
      </w:r>
      <w:r>
        <w:t xml:space="preserve">Interactions between DBH and climate were common (44% of cases tested).</w:t>
      </w:r>
      <w:r>
        <w:t xml:space="preserve"> </w:t>
      </w:r>
      <w:r>
        <w:t xml:space="preserve">Growth rates – expressed as ring widths, basal area increments, or biomass increments – varied non-linearly with DBH.</w:t>
      </w:r>
      <w:r>
        <w:t xml:space="preserve"> </w:t>
      </w:r>
      <w:r>
        <w:t xml:space="preserve">Accounting for DBH, growth rate declined over time for 90% of species-site combinations.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tree growth than has previously been possible.</w:t>
      </w:r>
      <w:r>
        <w:t xml:space="preserve"> </w:t>
      </w:r>
      <w:r>
        <w:rPr>
          <w:iCs/>
          <w:i/>
        </w:rPr>
        <w:t xml:space="preserve">As global change pressures intensify and the need to understand changing forest dynamics becomes increasingly urgent, we expect that this approach will prove valuable to understanding drivers of tree growth and forest change.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29"/>
    <w:bookmarkStart w:id="34"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 </w:t>
      </w:r>
      <w:r>
        <w:t xml:space="preserve">and how it has changed through time</w:t>
      </w:r>
      <w:r>
        <w:t xml:space="preserve"> </w:t>
      </w:r>
      <w:r>
        <w:t xml:space="preserve">(Au et al., 2020; Babst et al., 2019; Maxwell et al., 2016; Sniderhan &amp; Baltzer, 2016; Wilmking et al., 2020)</w:t>
      </w:r>
      <w:r>
        <w:t xml:space="preserve">.</w:t>
      </w:r>
      <w:r>
        <w:t xml:space="preserve"> </w:t>
      </w:r>
      <w:r>
        <w:t xml:space="preserve">Combined with forest censuses, they can be used to estimate forest woody productivity</w:t>
      </w:r>
      <w:r>
        <w:t xml:space="preserve"> </w:t>
      </w:r>
      <w:r>
        <w:t xml:space="preserve">(Davis et al., 2009; Dye et al., 2016; Graumlich et al., 1989; Teets, Fraver, Hollinger, et al., 2018)</w:t>
      </w:r>
      <w:r>
        <w:t xml:space="preserve"> </w:t>
      </w:r>
      <w:r>
        <w:t xml:space="preserve">and its climate sensitivity</w:t>
      </w:r>
      <w:r>
        <w:t xml:space="preserve"> </w:t>
      </w:r>
      <w:r>
        <w:t xml:space="preserve">(Helcoski et al., 2019; Klesse et al., 2018; Teets, Fraver, Weiskittel, et al., 2018)</w:t>
      </w:r>
      <w:r>
        <w:t xml:space="preserve">.</w:t>
      </w:r>
      <w:r>
        <w:t xml:space="preserve"> </w:t>
      </w:r>
      <w:r>
        <w:t xml:space="preserve">Tree rings also provide the long-term perspective critical to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2020)</w:t>
      </w:r>
      <w:r>
        <w:t xml:space="preserve">.</w:t>
      </w:r>
      <w:r>
        <w:t xml:space="preserve"> </w:t>
      </w:r>
      <w:r>
        <w:t xml:space="preserve">This information is critical to predicting forest responses to anthropogenic changes, particularly climate change, and thereby reducing the enormous uncertainty surrounding future contributions of Earth’s forests to the global carbon cycle</w:t>
      </w:r>
      <w:r>
        <w:t xml:space="preserve"> </w:t>
      </w:r>
      <w:r>
        <w:t xml:space="preserve">(Arora et al., 2020)</w:t>
      </w:r>
      <w:r>
        <w:t xml:space="preserve">.</w:t>
      </w:r>
    </w:p>
    <w:p>
      <w:pPr>
        <w:pStyle w:val="BodyText"/>
      </w:pPr>
      <w:r>
        <w:t xml:space="preserve">Yet, collection and analysis of dendrochronological records has traditionally been optimized to detect climate signals rather than to understand variation among trees, including size-related variation in climate sensitivity</w:t>
      </w:r>
      <w:r>
        <w:t xml:space="preserve"> </w:t>
      </w:r>
      <w:r>
        <w:t xml:space="preserve">(e.g., Bennett et al., 2015; McGregor et al., 2020; Rollinson et al., 2021)</w:t>
      </w:r>
      <w:r>
        <w:t xml:space="preserve">, and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productivity in the current era of rapid environmental change.</w:t>
      </w:r>
      <w:r>
        <w:t xml:space="preserve"> </w:t>
      </w:r>
      <w:r>
        <w:t xml:space="preserve">To realistically estimate forest woody productivity, it is necessary to measure or model the growth rate of the individual trees within the stand based on the primary biotic and environmental drivers.</w:t>
      </w:r>
      <w:r>
        <w:t xml:space="preserve"> </w:t>
      </w:r>
      <w:r>
        <w:t xml:space="preserve">Needed is an analysis framework that can capture the additive and interactive effects of climate, tree size (most commonly diameter breast height, DBH), and other environmental drivers</w:t>
      </w:r>
      <w:r>
        <w:t xml:space="preserve"> </w:t>
      </w:r>
      <w:r>
        <w:t xml:space="preserve">(e.g., Evans et al., 2017; Klesse et al., 2020; Rollinson et al., 2021)</w:t>
      </w:r>
      <w:r>
        <w:t xml:space="preserve">, which may often be best described by nonlinear functions</w:t>
      </w:r>
      <w:r>
        <w:t xml:space="preserve"> </w:t>
      </w:r>
      <w:r>
        <w:t xml:space="preserve">(REFS, Rollinson et al., 2021)</w:t>
      </w:r>
      <w:r>
        <w:t xml:space="preserve">.</w:t>
      </w:r>
      <w:r>
        <w:t xml:space="preserve"> </w:t>
      </w:r>
      <w:r>
        <w:t xml:space="preserve">While multifactorial and sometimes non-linear individual-based analysis frameworks have been applied</w:t>
      </w:r>
      <w:r>
        <w:t xml:space="preserve"> </w:t>
      </w:r>
      <w:r>
        <w:t xml:space="preserve">(e.g., REFS, Evans et al., 2017; Rollinson et al., 2021)</w:t>
      </w:r>
      <w:r>
        <w:t xml:space="preserve">, their use has been relatively limited, and as a result we lack synthetic, global-scale understanding of some of the key questions that may be addressed using this such an approach (Table 1).</w:t>
      </w:r>
      <w:r>
        <w:t xml:space="preserve"> </w:t>
      </w:r>
      <w:r>
        <w:t xml:space="preserve">Moreover, while tree-ring data has been used for benchmarking dynamic global vegetation models [DGVMs, e.g., REFS], an individual-based analysis approach focusing on multiple drivers including DBH would offer more opportunities for using tree-ring data as benchmarking tools for demographic DGVMs [</w:t>
      </w:r>
      <w:hyperlink r:id="rId30">
        <w:r>
          <w:rPr>
            <w:rStyle w:val="Hyperlink"/>
          </w:rPr>
          <w:t xml:space="preserve">REFS?</w:t>
        </w:r>
      </w:hyperlink>
      <w:r>
        <w:t xml:space="preserve">].</w:t>
      </w:r>
    </w:p>
    <w:bookmarkStart w:id="31" w:name="climate-sensitivity"/>
    <w:p>
      <w:pPr>
        <w:pStyle w:val="Heading2"/>
      </w:pPr>
      <w:r>
        <w:rPr>
          <w:rStyle w:val="SectionNumber"/>
        </w:rPr>
        <w:t xml:space="preserve">0.1</w:t>
      </w:r>
      <w:r>
        <w:tab/>
      </w:r>
      <w:r>
        <w:t xml:space="preserve">Climate sensitivity</w:t>
      </w:r>
    </w:p>
    <w:p>
      <w:pPr>
        <w:pStyle w:val="FirstParagraph"/>
      </w:pPr>
      <w:r>
        <w:t xml:space="preserve">The growth responses of trees to future climate variability and change will shape competitive dynamics, changes in forest composition, forest productivity, and climate feedbacks.</w:t>
      </w:r>
    </w:p>
    <w:p>
      <w:pPr>
        <w:pStyle w:val="BodyText"/>
      </w:pPr>
      <w:r>
        <w:t xml:space="preserve">The classic dendrochronological approach to characterizing the climate sensitivity of tree growth describes linear relationships between a growth-limiting climate factor (moisture or temperature) and population-level growth responses captured in ring-width index chronologies [REFS].</w:t>
      </w:r>
      <w:r>
        <w:t xml:space="preserve"> </w:t>
      </w:r>
      <w:r>
        <w:t xml:space="preserve">While invaluable for applications such as reconstructing past climates [REFS] and useful developing a broad understanding of the climate sensitivity of forest productivity</w:t>
      </w:r>
      <w:r>
        <w:t xml:space="preserve"> </w:t>
      </w:r>
      <w:r>
        <w:t xml:space="preserve">(e.g., Charney et al., 2016; Helcoski et al., 2019)</w:t>
      </w:r>
      <w:r>
        <w:t xml:space="preserve">, capturing the substantial variation in climate sensitivity that can exist within a population [e.g., McGregor, Pederson(?)] requires an alternative analysis approach [e.g., REFS- rollinson, evans?].</w:t>
      </w:r>
      <w:r>
        <w:t xml:space="preserve"> </w:t>
      </w:r>
      <w:r>
        <w:t xml:space="preserve">In addition, a focus on linear climate responses to individual climate drivers misses nonlinearities and additive or interactive climate effects known to be widespread within forest settings</w:t>
      </w:r>
      <w:r>
        <w:t xml:space="preserve"> </w:t>
      </w:r>
      <w:r>
        <w:t xml:space="preserve">(Rollinson et al., 2021; Wilmking et al., 2020; Woodhouse, 1999)</w:t>
      </w:r>
      <w:r>
        <w:t xml:space="preserve">.</w:t>
      </w:r>
      <w:r>
        <w:t xml:space="preserve"> </w:t>
      </w:r>
      <w:r>
        <w:t xml:space="preserve">Furthermore, for dendrochronological studies aimed at deciphering climate signals, DBH is not typically a variable of interest, and its influence is removed through detrending</w:t>
      </w:r>
      <w:r>
        <w:t xml:space="preserve"> </w:t>
      </w:r>
      <w:r>
        <w:t xml:space="preserve">(Edward R. Cook &amp; Peters, 1997)</w:t>
      </w:r>
      <w:r>
        <w:t xml:space="preserve">, thereby eliminating the potential to directly model known interactive effects of DBH and climate on tree growth</w:t>
      </w:r>
      <w:r>
        <w:t xml:space="preserve"> </w:t>
      </w:r>
      <w:r>
        <w:t xml:space="preserve">(Bennett et al., 2015; McGregor et al., 2020; Rollinson et al., 2021; Trouillier et al., 2019)</w:t>
      </w:r>
      <w:r>
        <w:t xml:space="preserve">.</w:t>
      </w:r>
    </w:p>
    <w:p>
      <w:pPr>
        <w:pStyle w:val="BodyText"/>
      </w:pPr>
      <w:r>
        <w:t xml:space="preserve">Over the vast majority of Earth’s forested regions, water is the primary climatic factor limiting tree growth [REFS].</w:t>
      </w:r>
      <w:r>
        <w:t xml:space="preserve"> </w:t>
      </w:r>
      <w:r>
        <w:t xml:space="preserve">Whereas the population-level growth responses captured in ring-width index chronologies [</w:t>
      </w:r>
      <w:r>
        <w:rPr>
          <w:iCs/>
          <w:i/>
        </w:rPr>
        <w:t xml:space="preserve">sensu</w:t>
      </w:r>
      <w:r>
        <w:t xml:space="preserve"> </w:t>
      </w:r>
      <w:r>
        <w:t xml:space="preserve">REFS] are invaluable for applications such as reconstructing past climates [REFS], greater detail is needed to advance scientific understanding of the</w:t>
      </w:r>
    </w:p>
    <w:p>
      <w:pPr>
        <w:pStyle w:val="BodyText"/>
      </w:pPr>
      <w:r>
        <w:rPr>
          <w:iCs/>
          <w:i/>
        </w:rPr>
        <w:t xml:space="preserve">(cut most of this paragraph? but JB really liked it):</w:t>
      </w:r>
      <w:r>
        <w:t xml:space="preserve"> </w:t>
      </w:r>
      <w:r>
        <w:t xml:space="preserve">Dendrochronological methods to characterize the climate sensitivity of tree growth have been optimized to obtain the strongest possible climate signal for climate reconstructions, but face limitations when it comes to characterizing the long-term climate sensitivity of individual tree growth or stand productivity.</w:t>
      </w:r>
      <w:r>
        <w:t xml:space="preserve"> </w:t>
      </w:r>
      <w:r>
        <w:t xml:space="preserve">Traditional methods begin by fitting a function (commonly an exponential curve or a spline) to the growth record captured by each core, extracting residuals around the long-term trends, and then standardizing and averaging the residuals across cores to form a species-level ring-width index chronology</w:t>
      </w:r>
      <w:r>
        <w:t xml:space="preserve"> </w:t>
      </w:r>
      <w:r>
        <w:t xml:space="preserve">(Fritts, 1976; Speer, 2010)</w:t>
      </w:r>
      <w:r>
        <w:t xml:space="preserve">.</w:t>
      </w:r>
      <w:r>
        <w:t xml:space="preserve"> </w:t>
      </w:r>
      <w:r>
        <w:t xml:space="preserve">Climate signals are then identified by examining month-by-month or seasonal correlations of the ring-width index chronology to one or more climate variables over the current year and, typically, previous growing season</w:t>
      </w:r>
      <w:r>
        <w:t xml:space="preserve"> </w:t>
      </w:r>
      <w:r>
        <w:t xml:space="preserve">(e.g., Fritts, 1976; Meko et al., 2011; Zang &amp; Biondi, 2015)</w:t>
      </w:r>
      <w:r>
        <w:t xml:space="preserve">.</w:t>
      </w:r>
      <w:r>
        <w:t xml:space="preserve"> </w:t>
      </w:r>
      <w:r>
        <w:t xml:space="preserve">Following identification of the top climate driver(s), statistical models describing their relationships to tree growth can be used for applications such as climate reconstruction</w:t>
      </w:r>
      <w:r>
        <w:t xml:space="preserve"> </w:t>
      </w:r>
      <w:r>
        <w:t xml:space="preserve">(e.g., Buntgen et al., 2011)</w:t>
      </w:r>
      <w:r>
        <w:t xml:space="preserve"> </w:t>
      </w:r>
      <w:r>
        <w:t xml:space="preserve">or projection of tree growth responses to climate change</w:t>
      </w:r>
      <w:r>
        <w:t xml:space="preserve"> </w:t>
      </w:r>
      <w:r>
        <w:t xml:space="preserve">(e.g., Charney et al., 2016)</w:t>
      </w:r>
      <w:r>
        <w:t xml:space="preserve">.</w:t>
      </w:r>
      <w:r>
        <w:t xml:space="preserve"> </w:t>
      </w:r>
      <w:r>
        <w:t xml:space="preserve">An important caveat for the latter, however, is that the slopes of correlations between climate variables and ring-width index chronologies are not identical to the mean slope of the relationship among individuals within the population, as the process of building species chronologies obfuscates individual-level responses</w:t>
      </w:r>
      <w:r>
        <w:t xml:space="preserve"> </w:t>
      </w:r>
      <w:r>
        <w:t xml:space="preserve">(Carrer, 2011; Pederson et al., 2020)</w:t>
      </w:r>
      <w:r>
        <w:t xml:space="preserve">.</w:t>
      </w:r>
      <w:r>
        <w:t xml:space="preserve"> </w:t>
      </w:r>
      <w:r>
        <w:t xml:space="preserve">Although population-level climate responses have been approximated based on climate sensitives derived from species chronologies</w:t>
      </w:r>
      <w:r>
        <w:t xml:space="preserve"> </w:t>
      </w:r>
      <w:r>
        <w:t xml:space="preserve">(e.g., Charney et al., 2016; Helcoski et al., 2019)</w:t>
      </w:r>
      <w:r>
        <w:t xml:space="preserve">, the removal of individual-level variation prior to analysis of climate sensitivity limits potential for using species chronologies to characterize the climate sensitivity of stand productivity.</w:t>
      </w:r>
      <w:r>
        <w:t xml:space="preserve"> </w:t>
      </w:r>
      <w:r>
        <w:t xml:space="preserve">In particular, analysis of species-level chronologies does not allow the direct characterization of known variation in climate sensitivity in relation to tree height, canopy position, or microhabitat characteristics such as topographic wetness index</w:t>
      </w:r>
      <w:r>
        <w:t xml:space="preserve"> </w:t>
      </w:r>
      <w:r>
        <w:t xml:space="preserve">(e.g., Bennett et al., 2015; McGregor et al., 2020; Rollinson et al., 2021)</w:t>
      </w:r>
      <w:r>
        <w:t xml:space="preserve">.</w:t>
      </w:r>
    </w:p>
    <w:p>
      <w:pPr>
        <w:pStyle w:val="BodyText"/>
      </w:pPr>
      <w:r>
        <w:rPr>
          <w:iCs/>
          <w:i/>
        </w:rPr>
        <w:t xml:space="preserve">(reword to ecology focus):</w:t>
      </w:r>
      <w:r>
        <w:t xml:space="preserve"> </w:t>
      </w:r>
      <w:r>
        <w:t xml:space="preserve">Dendrochronological studies most commonly focus on linear climate responses to individual climate drivers, thereby missing nonlinearities and additive or interactive climate effects known to be widespread within forest settings</w:t>
      </w:r>
      <w:r>
        <w:t xml:space="preserve"> </w:t>
      </w:r>
      <w:r>
        <w:t xml:space="preserve">(Wilmking et al., 2020; Woodhouse, 1999)</w:t>
      </w:r>
      <w:r>
        <w:t xml:space="preserve">.</w:t>
      </w:r>
      <w:r>
        <w:t xml:space="preserve"> </w:t>
      </w:r>
      <w:r>
        <w:t xml:space="preserve">Nonlinearities in climate sensitivities of tree metabolism and growth have been observed across a wide range of spatio-temporal scales.</w:t>
      </w:r>
      <w:r>
        <w:t xml:space="preserve"> </w:t>
      </w:r>
      <w:r>
        <w:t xml:space="preserve">Over time frames of seconds to days, photosynthesis and respiration display unimodal relationships to temporal variation in temperature, typically peaking at temperatures reflective of the environment to which the plant is adapted and acclimated</w:t>
      </w:r>
      <w:r>
        <w:t xml:space="preserve"> </w:t>
      </w:r>
      <w:r>
        <w:t xml:space="preserve">(Kumarathunge et al., 2019)</w:t>
      </w:r>
      <w:r>
        <w:t xml:space="preserve">.</w:t>
      </w:r>
      <w:r>
        <w:t xml:space="preserve"> </w:t>
      </w:r>
      <w:r>
        <w:t xml:space="preserve">Across broad climatic gradients, annual forest productivity generally increases with temperature, precipitation, and potential evapotranspiration (PET) up to a point, after which it plateaus or decreases</w:t>
      </w:r>
      <w:r>
        <w:t xml:space="preserve"> </w:t>
      </w:r>
      <w:r>
        <w:t xml:space="preserve">(Banbury Morgan et al., 2021; M. J. P. Sullivan et al., 2020)</w:t>
      </w:r>
      <w:r>
        <w:t xml:space="preserve">.</w:t>
      </w:r>
      <w:r>
        <w:t xml:space="preserve"> </w:t>
      </w:r>
      <w:r>
        <w:t xml:space="preserve">Filling a critical gap between short-term physiological responses and the global gradients representing millennia of community assembly and species adaptation, the annual growth records of tree rings capture tree growth responses to interannual climatic variation.</w:t>
      </w:r>
      <w:r>
        <w:t xml:space="preserve"> </w:t>
      </w:r>
      <w:r>
        <w:t xml:space="preserve">Yet, because non-linearities are problematic for reconstructing climate variables</w:t>
      </w:r>
      <w:r>
        <w:t xml:space="preserve"> </w:t>
      </w:r>
      <w:r>
        <w:t xml:space="preserve">(Esper &amp; Frank, 2009)</w:t>
      </w:r>
      <w:r>
        <w:t xml:space="preserve">, systems exhibiting these are typically not the first focus for sampling.</w:t>
      </w:r>
      <w:r>
        <w:t xml:space="preserve"> </w:t>
      </w:r>
      <w:r>
        <w:t xml:space="preserve">Many worked around the non-linearity issues by sampling at sites with characteristics that result in trees being more climate-limited, though not all</w:t>
      </w:r>
      <w:r>
        <w:t xml:space="preserve"> </w:t>
      </w:r>
      <w:r>
        <w:t xml:space="preserve">(E. R. Cook, 1982)</w:t>
      </w:r>
      <w:r>
        <w:t xml:space="preserve">.</w:t>
      </w:r>
      <w:r>
        <w:t xml:space="preserve"> </w:t>
      </w:r>
      <w:r>
        <w:t xml:space="preserve">Importantly, traditional analysis methods are designed around first-order linear growth-climate relationships</w:t>
      </w:r>
      <w:r>
        <w:t xml:space="preserve"> </w:t>
      </w:r>
      <w:r>
        <w:t xml:space="preserve">(Fritts, 1976)</w:t>
      </w:r>
      <w:r>
        <w:t xml:space="preserve">.</w:t>
      </w:r>
      <w:r>
        <w:t xml:space="preserve"> </w:t>
      </w:r>
      <w:r>
        <w:rPr>
          <w:iCs/>
          <w:i/>
        </w:rPr>
        <w:t xml:space="preserve">Dendrochronological studies allowing for nonlinear or threshold responses of tree growth to climate are less common</w:t>
      </w:r>
      <w:r>
        <w:rPr>
          <w:iCs/>
          <w:i/>
        </w:rPr>
        <w:t xml:space="preserve"> </w:t>
      </w:r>
      <w:r>
        <w:rPr>
          <w:iCs/>
          <w:i/>
        </w:rPr>
        <w:t xml:space="preserve">(Cavin &amp; Jump, 2017; Edward R. Cook &amp; Johnson, 1989; Ljungqvist et al., 2020; Rollinson et al., 2021; Tolwinski-Ward et al., 2013; Tumajer et al., 2017; Woodhouse, 1999)</w:t>
      </w:r>
      <w:r>
        <w:rPr>
          <w:iCs/>
          <w:i/>
        </w:rPr>
        <w:t xml:space="preserve"> </w:t>
      </w:r>
      <w:r>
        <w:rPr>
          <w:bCs/>
          <w:b/>
          <w:iCs/>
          <w:i/>
        </w:rPr>
        <w:t xml:space="preserve">one could say these were a lot of citation for it to be uncommon. Perhaps make it more clear what aspects are less common?</w:t>
      </w:r>
      <w:r>
        <w:rPr>
          <w:iCs/>
          <w:i/>
        </w:rPr>
        <w:t xml:space="preserve">, and we therefore know little about the nonlinearities in tree growth responses to interannual variation in climate that occur for trees within forest settings.</w:t>
      </w:r>
      <w:r>
        <w:t xml:space="preserve"> </w:t>
      </w:r>
      <w:r>
        <w:t xml:space="preserve">Furthermore, temperature and moisture are known to jointly shape tree growth</w:t>
      </w:r>
      <w:r>
        <w:t xml:space="preserve"> </w:t>
      </w:r>
      <w:r>
        <w:t xml:space="preserve">(Beedlow et al., 2013; Foster et al., 2016)</w:t>
      </w:r>
      <w:r>
        <w:t xml:space="preserve"> </w:t>
      </w:r>
      <w:r>
        <w:t xml:space="preserve">and forest productivity</w:t>
      </w:r>
      <w:r>
        <w:t xml:space="preserve"> </w:t>
      </w:r>
      <w:r>
        <w:t xml:space="preserve">(e.g., Alexander et al., 2018; Banbury Morgan et al., 2021)</w:t>
      </w:r>
      <w:r>
        <w:t xml:space="preserve">, yet growth sensitivity to their additive or interactive effects, potentially operating over different seasonal windows, is not commonly considered</w:t>
      </w:r>
      <w:r>
        <w:t xml:space="preserve"> </w:t>
      </w:r>
      <w:r>
        <w:t xml:space="preserve">(but see Foster et al., 2016; Meko et al., 2011; Sánchez-Salguero et al., 2015)</w:t>
      </w:r>
      <w:r>
        <w:t xml:space="preserve">,</w:t>
      </w:r>
      <w:r>
        <w:t xml:space="preserve"> </w:t>
      </w:r>
      <w:r>
        <w:rPr>
          <w:bCs/>
          <w:b/>
        </w:rPr>
        <w:t xml:space="preserve">largely because dendroclimate studies sample in such a way as to isolate one or other of moisture or temperature limitation.</w:t>
      </w:r>
    </w:p>
    <w:p>
      <w:pPr>
        <w:pStyle w:val="BodyText"/>
      </w:pPr>
      <w:r>
        <w:rPr>
          <w:iCs/>
          <w:i/>
        </w:rPr>
        <w:t xml:space="preserve">(most of this is climate sensitivity changing with DBH):</w:t>
      </w:r>
      <w:r>
        <w:t xml:space="preserve"> </w:t>
      </w:r>
      <w:r>
        <w:t xml:space="preserve">Tree diameter at breast height (DBH) scales predictably with numerous traits affecting tree growth rate (e.g., height, crown size and position, root mass</w:t>
      </w:r>
      <w:r>
        <w:t xml:space="preserve"> </w:t>
      </w:r>
      <w:r>
        <w:t xml:space="preserve">Enquist &amp; Niklas (2002)</w:t>
      </w:r>
      <w:r>
        <w:t xml:space="preserve">;</w:t>
      </w:r>
      <w:r>
        <w:t xml:space="preserve"> </w:t>
      </w:r>
      <w:r>
        <w:t xml:space="preserve">Niklas (2004)</w:t>
      </w:r>
      <w:r>
        <w:t xml:space="preserve">] and therefore is itself linked to growth</w:t>
      </w:r>
      <w:r>
        <w:t xml:space="preserve"> </w:t>
      </w:r>
      <w:r>
        <w:t xml:space="preserve">(e.g., Foster et al., 2016; Muller-Landau et al., 2006)</w:t>
      </w:r>
      <w:r>
        <w:t xml:space="preserve"> </w:t>
      </w:r>
      <w:r>
        <w:t xml:space="preserve">and its climate sensitivity</w:t>
      </w:r>
      <w:r>
        <w:t xml:space="preserve"> </w:t>
      </w:r>
      <w:r>
        <w:t xml:space="preserve">(e.g., Bennett et al., 2015; McGregor et al., 2020)</w:t>
      </w:r>
      <w:r>
        <w:t xml:space="preserve">.</w:t>
      </w:r>
      <w:r>
        <w:t xml:space="preserve"> </w:t>
      </w:r>
      <w:r>
        <w:t xml:space="preserve">However, for dendrochronological studies aimed at deciphering climate signals, DBH is not typically a variable of interest, and its influence,</w:t>
      </w:r>
      <w:r>
        <w:t xml:space="preserve"> </w:t>
      </w:r>
      <w:r>
        <w:rPr>
          <w:iCs/>
          <w:i/>
        </w:rPr>
        <w:t xml:space="preserve">along with the influence of stand dynamics in closed-canopy forests</w:t>
      </w:r>
      <w:r>
        <w:rPr>
          <w:iCs/>
          <w:i/>
        </w:rPr>
        <w:t xml:space="preserve"> </w:t>
      </w:r>
      <w:r>
        <w:t xml:space="preserve">, is removed through detrending</w:t>
      </w:r>
      <w:r>
        <w:t xml:space="preserve"> </w:t>
      </w:r>
      <w:r>
        <w:t xml:space="preserve">(Edward R. Cook &amp; Peters, 1997)</w:t>
      </w:r>
      <w:r>
        <w:t xml:space="preserve">.</w:t>
      </w:r>
      <w:r>
        <w:t xml:space="preserve"> </w:t>
      </w:r>
      <w:r>
        <w:t xml:space="preserve">Moreover, many studies constrain sampling to only trees in canopy positions or those that appear to be old</w:t>
      </w:r>
      <w:r>
        <w:t xml:space="preserve"> </w:t>
      </w:r>
      <w:r>
        <w:t xml:space="preserve">(Fritts, 1976; Huckaby et al., 2003; Pederson, 2010)</w:t>
      </w:r>
      <w:r>
        <w:t xml:space="preserve">.</w:t>
      </w:r>
      <w:r>
        <w:t xml:space="preserve"> </w:t>
      </w:r>
      <w:r>
        <w:t xml:space="preserve">While convenient for developing long chronologies and identifying climate signals</w:t>
      </w:r>
      <w:r>
        <w:t xml:space="preserve"> </w:t>
      </w:r>
      <w:r>
        <w:t xml:space="preserve">(Fritts, 1976)</w:t>
      </w:r>
      <w:r>
        <w:t xml:space="preserve">, this approach is not optimal for subsequent inference of the climate sensitivity of forest productivity</w:t>
      </w:r>
      <w:r>
        <w:t xml:space="preserve"> </w:t>
      </w:r>
      <w:r>
        <w:t xml:space="preserve">(Babst et al., 2018)</w:t>
      </w:r>
      <w:r>
        <w:t xml:space="preserve">.</w:t>
      </w:r>
      <w:r>
        <w:t xml:space="preserve"> </w:t>
      </w:r>
      <w:r>
        <w:t xml:space="preserve">Although climate correlations can be transformed to climate sensitivity</w:t>
      </w:r>
      <w:r>
        <w:t xml:space="preserve"> </w:t>
      </w:r>
      <w:r>
        <w:t xml:space="preserve">(i.e., magnitude of response,</w:t>
      </w:r>
      <w:r>
        <w:t xml:space="preserve"> </w:t>
      </w:r>
      <w:r>
        <w:rPr>
          <w:iCs/>
          <w:i/>
        </w:rPr>
        <w:t xml:space="preserve">sensu</w:t>
      </w:r>
      <w:r>
        <w:t xml:space="preserve"> </w:t>
      </w:r>
      <w:r>
        <w:t xml:space="preserve">Charney et al., 2016)</w:t>
      </w:r>
      <w:r>
        <w:t xml:space="preserve"> </w:t>
      </w:r>
      <w:r>
        <w:t xml:space="preserve">and scaled to characterize the climate sensitivity of stand productivity based on the scaling of ring width (RW) with DBH</w:t>
      </w:r>
      <w:r>
        <w:t xml:space="preserve"> </w:t>
      </w:r>
      <w:r>
        <w:t xml:space="preserve">(Helcoski et al., 2019)</w:t>
      </w:r>
      <w:r>
        <w:t xml:space="preserve">, they cannot be used to directly model known interactive effects of DBH and climate on tree growth</w:t>
      </w:r>
      <w:r>
        <w:t xml:space="preserve"> </w:t>
      </w:r>
      <w:r>
        <w:t xml:space="preserve">(Trouillier et al., 2019)</w:t>
      </w:r>
      <w:r>
        <w:t xml:space="preserve">.</w:t>
      </w:r>
      <w:r>
        <w:t xml:space="preserve"> </w:t>
      </w:r>
      <w:r>
        <w:t xml:space="preserve">For example, drought sensitivity tends to increase with tree size</w:t>
      </w:r>
      <w:r>
        <w:t xml:space="preserve"> </w:t>
      </w:r>
      <w:r>
        <w:t xml:space="preserve">(Bennett et al., 2015; Gillerot et al., 2020; McGregor et al., 2020)</w:t>
      </w:r>
      <w:r>
        <w:t xml:space="preserve">, and responses to temperature can also vary with tree size or canopy position</w:t>
      </w:r>
      <w:r>
        <w:t xml:space="preserve"> </w:t>
      </w:r>
      <w:r>
        <w:t xml:space="preserve">(Rollinson et al., 2021; Rossi et al., 2007)</w:t>
      </w:r>
      <w:r>
        <w:t xml:space="preserve">.</w:t>
      </w:r>
      <w:r>
        <w:t xml:space="preserve"> </w:t>
      </w:r>
      <w:r>
        <w:t xml:space="preserve">However, the removal of DBH signals via detrending makes it impossible to account for such size differences in climate sensitivity in a systematic, integrative way.</w:t>
      </w:r>
      <w:r>
        <w:t xml:space="preserve"> </w:t>
      </w:r>
      <w:r>
        <w:t xml:space="preserve">To use tree rings to predict tree growth, ecosystem productivity, and forest dynamics, we need models that include DBH</w:t>
      </w:r>
      <w:r>
        <w:t xml:space="preserve"> </w:t>
      </w:r>
      <w:r>
        <w:t xml:space="preserve">(e.g., Evans et al., 2017; Klesse et al., 2020)</w:t>
      </w:r>
      <w:r>
        <w:t xml:space="preserve"> </w:t>
      </w:r>
      <w:r>
        <w:t xml:space="preserve">and its potential climate interactions</w:t>
      </w:r>
      <w:r>
        <w:t xml:space="preserve"> </w:t>
      </w:r>
      <w:r>
        <w:t xml:space="preserve">(e.g., Rollinson et al., 2021)</w:t>
      </w:r>
      <w:r>
        <w:t xml:space="preserve">.</w:t>
      </w:r>
    </w:p>
    <w:bookmarkEnd w:id="31"/>
    <w:bookmarkStart w:id="32" w:name="dbh"/>
    <w:p>
      <w:pPr>
        <w:pStyle w:val="Heading2"/>
      </w:pPr>
      <w:r>
        <w:rPr>
          <w:rStyle w:val="SectionNumber"/>
        </w:rPr>
        <w:t xml:space="preserve">0.2</w:t>
      </w:r>
      <w:r>
        <w:tab/>
      </w:r>
      <w:r>
        <w:t xml:space="preserve">DBH</w:t>
      </w:r>
    </w:p>
    <w:bookmarkEnd w:id="32"/>
    <w:bookmarkStart w:id="33" w:name="changing-growth-rates"/>
    <w:p>
      <w:pPr>
        <w:pStyle w:val="Heading2"/>
      </w:pPr>
      <w:r>
        <w:rPr>
          <w:rStyle w:val="SectionNumber"/>
        </w:rPr>
        <w:t xml:space="preserve">0.3</w:t>
      </w:r>
      <w:r>
        <w:tab/>
      </w:r>
      <w:r>
        <w:t xml:space="preserve">Changing growth rates</w:t>
      </w:r>
    </w:p>
    <w:p>
      <w:pPr>
        <w:pStyle w:val="FirstParagraph"/>
      </w:pPr>
      <w:r>
        <w:rPr>
          <w:iCs/>
          <w:i/>
        </w:rPr>
        <w:t xml:space="preserve">(keep mostly the same, but shift emphasis more towards ecology):</w:t>
      </w:r>
      <w:r>
        <w:t xml:space="preserve"> </w:t>
      </w:r>
      <w:r>
        <w:t xml:space="preserve">Characterizing how tree growth and forest productivity are responding to slowly changing environmental drivers is challenging and uncertain.</w:t>
      </w:r>
      <w:r>
        <w:t xml:space="preserve"> </w:t>
      </w:r>
      <w:r>
        <w:t xml:space="preserve">Directional climate change (as opposed to interannual variation), rising atmospheric CO</w:t>
      </w:r>
      <w:r>
        <w:rPr>
          <w:vertAlign w:val="subscript"/>
        </w:rPr>
        <w:t xml:space="preserve">2</w:t>
      </w:r>
      <w:r>
        <w:t xml:space="preserve"> </w:t>
      </w:r>
      <w:r>
        <w:t xml:space="preserve">concentrations, and changes in atmospheric deposition of sulfur dioxide (SO</w:t>
      </w:r>
      <w:r>
        <w:rPr>
          <w:vertAlign w:val="subscript"/>
        </w:rPr>
        <w:t xml:space="preserve">2</w:t>
      </w:r>
      <w:r>
        <w:t xml:space="preserve">) and nitrogen oxides (NO</w:t>
      </w:r>
      <w:r>
        <w:rPr>
          <w:vertAlign w:val="subscript"/>
        </w:rPr>
        <w:t xml:space="preserve">x</w:t>
      </w:r>
      <w:r>
        <w:t xml:space="preserve">) are all potentially influencing tree growth</w:t>
      </w:r>
      <w:r>
        <w:t xml:space="preserve"> </w:t>
      </w:r>
      <w:r>
        <w:t xml:space="preserve">(Belmecheri et al., 2021; Levesque et al., 2017; Mathias &amp; Thomas, 2018; Maxwell et al., 2019; Takahashi et al., 2020; Walker et al., 2020)</w:t>
      </w:r>
      <w:r>
        <w:t xml:space="preserve">.</w:t>
      </w:r>
      <w:r>
        <w:t xml:space="preserve"> </w:t>
      </w:r>
      <w:r>
        <w:t xml:space="preserve">At the same time, stand dynamics influence growth: tree growth rates are sensitive to competition, the intensity of which tends to increase as forests mature, and to canopy position, which can change directionally as trees overtop or are overtopped by their neighbors.</w:t>
      </w:r>
      <w:r>
        <w:t xml:space="preserve"> </w:t>
      </w:r>
      <w:r>
        <w:t xml:space="preserve">Moreover, carbon allocation to woody growth – as opposed to leaf or fine root production, reproduction, defenses, etc. – is known to decline as individual trees and forest stands age</w:t>
      </w:r>
      <w:r>
        <w:t xml:space="preserve"> </w:t>
      </w:r>
      <w:r>
        <w:t xml:space="preserve">(Goulden et al., 2011; Pregitzer &amp; Euskirchen, 2004; Thomas, 2011)</w:t>
      </w:r>
      <w:r>
        <w:t xml:space="preserve">.</w:t>
      </w:r>
      <w:r>
        <w:t xml:space="preserve"> </w:t>
      </w:r>
      <w:r>
        <w:t xml:space="preserve">However, tree size and time are almost inextricably linked (because each cored individual increases in DBH through time) and difficult to disentangle due to various sampling and analysis biases</w:t>
      </w:r>
      <w:r>
        <w:t xml:space="preserve"> </w:t>
      </w:r>
      <w:r>
        <w:t xml:space="preserve">(Bowman et al., 2013; Brienen et al., 2017, 2012; Cherubini et al., 1998; Hember et al., 2019; Nehrbass-Ahles et al., 2014; Peters et al., 2015; P. F. Sullivan et al., 2016)</w:t>
      </w:r>
      <w:r>
        <w:t xml:space="preserve">.</w:t>
      </w:r>
      <w:r>
        <w:t xml:space="preserve"> </w:t>
      </w:r>
      <w:r>
        <w:t xml:space="preserve">Continued improvement of analytical methods, in combination with sampling approaches that minimize potential biases, will be important to disentangling DBH from time and detecting directional growth trends.</w:t>
      </w:r>
    </w:p>
    <w:p>
      <w:pPr>
        <w:pStyle w:val="BodyText"/>
      </w:pPr>
      <w:r>
        <w:t xml:space="preserve">Here, we develop, and apply to ten forested sites spanning 52 degrees latitude, a new method that allows simultaneous consideration of the effects of primary climate drivers (i.e., the most influential climate variables and the seasonal window over which they operate), tree size, and calendar year on annual tree growth.</w:t>
      </w:r>
      <w:r>
        <w:t xml:space="preserve"> </w:t>
      </w:r>
      <w:r>
        <w:t xml:space="preserve">This approach allows us to address the following questions and associated hypotheses (Table 1) for a globally distributed tree-ring dataset:</w:t>
      </w:r>
      <w:r>
        <w:t xml:space="preserve"> </w:t>
      </w:r>
      <w:r>
        <w:t xml:space="preserve">(1) How does interannual climate variation shape annual tree growth (ring width, RW)?</w:t>
      </w:r>
      <w:r>
        <w:t xml:space="preserve"> </w:t>
      </w:r>
      <w:r>
        <w:t xml:space="preserve">(2) How does growth rate vary with DBH?</w:t>
      </w:r>
      <w:r>
        <w:t xml:space="preserve"> </w:t>
      </w:r>
      <w:r>
        <w:t xml:space="preserve">(3) How have growth rates changed through time?</w:t>
      </w:r>
    </w:p>
    <w:p>
      <w:r>
        <w:br w:type="page"/>
      </w:r>
    </w:p>
    <w:p>
      <w:pPr>
        <w:pStyle w:val="BodyText"/>
      </w:pPr>
      <w:r>
        <w:rPr>
          <w:bCs/>
          <w:b/>
        </w:rPr>
        <w:t xml:space="preserve">Table 1 | (DRAFT hypothesis table– needs to be filled in and condensed/ cleaned up)</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544"/>
        <w:gridCol w:w="2151"/>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Focal questions, 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does interannual climate variation shape annual tree growth?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Multi-month 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Water influences growth over relatively long seasonal windows (≥3 months).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 / 10 sites</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Growth respones to water are predominantly positive,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 </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...but these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Over shorter time scales, high temperature (T) limits growth, often nonlinearly.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Growth is most sensitive to T over relatively short seasonal windows (≤3 months).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 / 10 sites</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Growth responds more strongly to maximum T or PET than to  minimum 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8 / 10 sites</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Growth respones to T are predominantly either negative…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13 / 38 SSC</w:t>
            </w:r>
          </w:p>
        </w:tc>
      </w:tr>
      <w:tr>
        <w:trPr>
          <w:cantSplit/>
          <w:trHeight w:val="54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…or non-linear concave down.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18 / 38 SSC</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However, there are cases where growth increases with 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 / 38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Climate sensitivity often varies with tree diameter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49% of SSVC</w:t>
            </w:r>
          </w:p>
        </w:tc>
      </w:tr>
      <w:tr>
        <w:trPr>
          <w:cantSplit/>
          <w:trHeight w:val="54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Water and DBH have an interactive effect on RW.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16 / 36 SSC</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Temperature and DBH have an interactive effect on RW.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12 / 32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does growth rate vary with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Growth rate, by any metric, varies nonlinearly with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X% of SSVC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RW declines with DBH for light-demanding species,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...but increases with DBH for shade-tolerant species.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Basal area increment (BAI) peaks at intermediate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Biomass increment (∆AGB) peaks at intermediate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have growth rates changed through time?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Growth rates of most forest tree populations have declined through time.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90% of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XX / XX  sp. at 7 sites</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In relatively undisturbed old-growth forests, growth rates of some species has declined,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XX / XX sp. at 3 sites</w:t>
            </w:r>
          </w:p>
        </w:tc>
      </w:tr>
      <w:tr>
        <w:trPr>
          <w:cantSplit/>
          <w:trHeight w:val="57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 / XX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 SSCV=species-site-variable combination</w:t>
            </w:r>
          </w:p>
        </w:tc>
      </w:tr>
    </w:tbl>
    <w:bookmarkEnd w:id="33"/>
    <w:bookmarkEnd w:id="34"/>
    <w:bookmarkStart w:id="41" w:name="Materials"/>
    <w:p>
      <w:pPr>
        <w:pStyle w:val="Heading1"/>
      </w:pPr>
      <w:r>
        <w:t xml:space="preserve">Materials and Methods</w:t>
      </w:r>
    </w:p>
    <w:bookmarkStart w:id="36" w:name="Data"/>
    <w:p>
      <w:pPr>
        <w:pStyle w:val="Heading2"/>
      </w:pPr>
      <w:r>
        <w:t xml:space="preserve">Data sources and preparation</w:t>
      </w:r>
    </w:p>
    <w:p>
      <w:pPr>
        <w:pStyle w:val="FirstParagraph"/>
      </w:pPr>
      <w:r>
        <w:t xml:space="preserve">We analyzed tree-ring data, most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 </w:t>
      </w:r>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K. J.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varied objectives of the original studies (Tables S1, S3).</w:t>
      </w:r>
      <w:r>
        <w:t xml:space="preserve"> </w:t>
      </w:r>
      <w:r>
        <w:t xml:space="preserve">There was wide variation in the distribution of record start years, which approximate the age distribution of sampled trees (Figs. S1-S10).</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 Kašpar, Tumajer, Vašíčková, and Šamonil, 2021</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p>
        </w:tc>
      </w:tr>
    </w:tbl>
    <w:p>
      <w:pPr>
        <w:pStyle w:val="BodyText"/>
      </w:pPr>
      <w:r>
        <w:t xml:space="preserve">All tree cores</w:t>
      </w:r>
      <w:r>
        <w:t xml:space="preserve"> </w:t>
      </w:r>
      <w:r>
        <w:rPr>
          <w:bCs/>
          <w:b/>
        </w:rPr>
        <w:t xml:space="preserve">(n = XXXX)</w:t>
      </w:r>
      <w:r>
        <w:t xml:space="preserve"> </w:t>
      </w:r>
      <w:r>
        <w:t xml:space="preserve">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5">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w:t>
      </w:r>
      <w:r>
        <w:t xml:space="preserve"> </w:t>
      </w:r>
      <w:r>
        <w:t xml:space="preserve">(K. Anderson-Teixeira et al., 2020)</w:t>
      </w:r>
      <w:r>
        <w:t xml:space="preserve">.</w:t>
      </w:r>
    </w:p>
    <w:bookmarkEnd w:id="36"/>
    <w:bookmarkStart w:id="40"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minimal compared to cross-site differences (Fig. 2); however, analyses focused on interspecific differences could optimize species-specific climate sensitivity estimates by fitting</w:t>
      </w:r>
      <w:r>
        <w:t xml:space="preserve"> </w:t>
      </w:r>
      <w:r>
        <w:rPr>
          <w:iCs/>
          <w:i/>
        </w:rPr>
        <w:t xml:space="preserve">climwin</w:t>
      </w:r>
      <w:r>
        <w:t xml:space="preserve"> </w:t>
      </w:r>
      <w:r>
        <w:t xml:space="preserve">individually by species.</w:t>
      </w:r>
    </w:p>
    <w:p>
      <w:pPr>
        <w:pStyle w:val="CaptionedFigure"/>
      </w:pPr>
      <w:r>
        <w:drawing>
          <wp:inline>
            <wp:extent cx="5943600" cy="6520337"/>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7"/>
                    <a:stretch>
                      <a:fillRect/>
                    </a:stretch>
                  </pic:blipFill>
                  <pic:spPr bwMode="auto">
                    <a:xfrm>
                      <a:off x="0" y="0"/>
                      <a:ext cx="5943600" cy="6520337"/>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w:t>
      </w:r>
    </w:p>
    <w:bookmarkStart w:id="38"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important climate variable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We then used</w:t>
      </w:r>
      <w:r>
        <w:t xml:space="preserve"> </w:t>
      </w:r>
      <w:r>
        <w:rPr>
          <w:iCs/>
          <w:i/>
        </w:rPr>
        <w:t xml:space="preserve">climwin</w:t>
      </w:r>
      <w:r>
        <w:t xml:space="preserve"> </w:t>
      </w:r>
      <w:r>
        <w:t xml:space="preserve">to identify the climate variables that most strongly correlated with the individual tree-level residuals of the growth variables, RW, BAI, or</w:t>
      </w:r>
      <w:r>
        <w:t xml:space="preserve"> </w:t>
      </w:r>
      <m:oMath>
        <m:r>
          <m:t>Δ</m:t>
        </m:r>
      </m:oMath>
      <w:r>
        <w:t xml:space="preserve">AGB, specifying quadratic fits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identified by</w:t>
      </w:r>
      <w:r>
        <w:t xml:space="preserve"> </w:t>
      </w:r>
      <w:r>
        <w:rPr>
          <w:iCs/>
          <w:i/>
        </w:rPr>
        <w:t xml:space="preserve">climwin</w:t>
      </w:r>
      <w:r>
        <w:t xml:space="preserve"> </w:t>
      </w:r>
      <w:r>
        <w:t xml:space="preserve">as having the lowest AIC as a candidate climate variable for the multivariate models.</w:t>
      </w:r>
    </w:p>
    <w:p>
      <w:pPr>
        <w:pStyle w:val="BodyText"/>
      </w:pPr>
      <w:r>
        <w:t xml:space="preserve">We tested whether this process identified similar climate variable-month combinations to what would be identified using traditional methods for four species (detailed in Appendix S4).</w:t>
      </w:r>
      <w:r>
        <w:t xml:space="preserve"> </w:t>
      </w:r>
      <w:r>
        <w:t xml:space="preserve">Furthermore, we explored alternate methods of climate variable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8"/>
    <w:bookmarkStart w:id="39" w:name="Combining"/>
    <w:p>
      <w:pPr>
        <w:pStyle w:val="Heading3"/>
      </w:pPr>
      <w:r>
        <w:t xml:space="preserve">Step 2: Combining drivers in GLS model</w:t>
      </w:r>
    </w:p>
    <w:p>
      <w:pPr>
        <w:pStyle w:val="FirstParagraph"/>
      </w:pPr>
      <w:r>
        <w:t xml:space="preserve">Having identified the primary climate drivers in temperature and precipitation variable groups, we next combined climate variables (included in all models) and DBH (included in models with DBH and its climate interactions) into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 with core identity as a random intercept and yeaar as a continuous time covariate for the within-group correlation structure (function</w:t>
      </w:r>
      <w:r>
        <w:t xml:space="preserve"> </w:t>
      </w:r>
      <w:r>
        <w:rPr>
          <w:iCs/>
          <w:i/>
        </w:rPr>
        <w:t xml:space="preserve">corCAR1</w:t>
      </w:r>
      <w:r>
        <w:t xml:space="preserve">). We will refer to this model as a generalized least squares (GLS) model (Fig. 1).</w:t>
      </w:r>
    </w:p>
    <w:p>
      <w:pPr>
        <w:pStyle w:val="BodyText"/>
      </w:pP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w:t>
      </w:r>
      <w:r>
        <w:t xml:space="preserve">and removed any variable with a variance inflation factor &gt; 3 (none required removal).</w:t>
      </w:r>
      <w:r>
        <w:t xml:space="preserve"> </w:t>
      </w:r>
      <w:r>
        <w:t xml:space="preserve">Within the GLS models, our response variables were log[RW], log[BAI], or log[</w:t>
      </w:r>
      <m:oMath>
        <m:r>
          <m:t>Δ</m:t>
        </m:r>
      </m:oMath>
      <w:r>
        <w:t xml:space="preserve"> </w:t>
      </w:r>
      <w:r>
        <w:t xml:space="preserve">AGB].</w:t>
      </w:r>
    </w:p>
    <w:p>
      <w:pPr>
        <w:pStyle w:val="BodyText"/>
      </w:pPr>
      <w:r>
        <w:t xml:space="preserve">For each species independently, we ran every combination of the candidate climate variables and DBH, including both first- and second-order terms for each.</w:t>
      </w:r>
      <w:r>
        <w:t xml:space="preserve"> </w:t>
      </w:r>
      <w:r>
        <w:t xml:space="preserve">For climate response, we allowed concave-down fits, but ignored any concave-up fits on the basis that these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(with no missing values) for one species at one site. The method is set to maximum likelihood (</w:t>
      </w:r>
      <w:r>
        <w:rPr>
          <w:iCs/>
          <w:i/>
        </w:rPr>
        <w:t xml:space="preserve">ML</w:t>
      </w:r>
      <w:r>
        <w:t xml:space="preserve">) during the fixed effect model selection phase, but to restricted maximizing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variables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 (Figs. S58-S67).</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9"/>
    <w:bookmarkEnd w:id="40"/>
    <w:bookmarkEnd w:id="41"/>
    <w:bookmarkStart w:id="54" w:name="Results"/>
    <w:p>
      <w:pPr>
        <w:pStyle w:val="Heading1"/>
      </w:pPr>
      <w:r>
        <w:t xml:space="preserve">Results</w:t>
      </w:r>
    </w:p>
    <w:bookmarkStart w:id="43"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S11-S14; Table S5; Appendix S4).</w:t>
      </w:r>
      <w:r>
        <w:t xml:space="preserve"> </w:t>
      </w:r>
      <w:r>
        <w:t xml:space="preserve">While one-to-one correspondence of estimated slope coefficients describing the response of tree growth to interannual climatic variation was neither expected nor observed, estimates were correlated and rarely differed significantly (Appendix S4; S11-S14).</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indicate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42"/>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indicate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w:t>
      </w:r>
    </w:p>
    <w:p>
      <w:pPr>
        <w:pStyle w:val="BodyText"/>
      </w:pPr>
      <w:r>
        <w:rPr>
          <w:iCs/>
          <w:i/>
        </w:rPr>
        <w:t xml:space="preserve">Trends with year, when assessed, were consistent with those observed in a separate analysis of DBH-growth relationships by year (Figs. S58-S67).</w:t>
      </w:r>
    </w:p>
    <w:bookmarkEnd w:id="43"/>
    <w:bookmarkStart w:id="49" w:name="Climate"/>
    <w:p>
      <w:pPr>
        <w:pStyle w:val="Heading2"/>
      </w:pPr>
      <w:r>
        <w:t xml:space="preserve">Climate sensitivity</w:t>
      </w:r>
    </w:p>
    <w:bookmarkStart w:id="44" w:name="Most"/>
    <w:p>
      <w:pPr>
        <w:pStyle w:val="Heading3"/>
      </w:pPr>
      <w:r>
        <w:t xml:space="preserve">Most influencial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 (Figs. S15-S34).</w:t>
      </w:r>
      <w:r>
        <w:t xml:space="preserve"> </w:t>
      </w:r>
      <w:r>
        <w:t xml:space="preserve">For eight of 20 site-variable group (i.e., water and temperature) combinations, both both the most influential climate variable and seasonal window were identical across growth metrics (e.g., Fig. S19).</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Fig. S20),</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S18).</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Figs. S23- S24).</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most commonly coincided at least partially with months of active growth in the current year (Fig. 3; Table S1): year-round in the tropics (BCNM and HKK) or late spring/ summer outside of the tropics (n= 5 of 8).</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3), and</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(Table 1).</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4"/>
    <w:bookmarkStart w:id="46"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3).</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3 | Species-level responses of RW to climwin-selected variables in precipitation and temperature variable groups. 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3 | Species-level responses of RW to climwin-selected variables in precipitation and temperature variable groups.</w:t>
      </w:r>
      <w:r>
        <w:t xml:space="preserve"> </w:t>
      </w:r>
      <w:r>
        <w:t xml:space="preserve">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pPr>
        <w:pStyle w:val="BodyText"/>
      </w:pPr>
      <w:r>
        <w:t xml:space="preserve">Responses to precipitation amount (PPT) and frequency (PDF) were included in the best model for all but two species, and were predominantly positive (Fig. 3).</w:t>
      </w:r>
      <w:r>
        <w:t xml:space="preserve"> </w:t>
      </w:r>
      <w:r>
        <w:t xml:space="preserve">Specifically, there were positive first-order linear terms for precipitation all but one species (</w:t>
      </w:r>
      <w:r>
        <w:rPr>
          <w:iCs/>
          <w:i/>
        </w:rPr>
        <w:t xml:space="preserve">Tsuga canadensis</w:t>
      </w:r>
      <w:r>
        <w:t xml:space="preserve"> </w:t>
      </w:r>
      <w:r>
        <w:t xml:space="preserve">at HF; Fig. 3).</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3).</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3).</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predominately positive prior to 1970 and predominantly negative afterwards (Fig. S55).</w:t>
      </w:r>
    </w:p>
    <w:bookmarkEnd w:id="46"/>
    <w:bookmarkStart w:id="48" w:name="Variation"/>
    <w:p>
      <w:pPr>
        <w:pStyle w:val="Heading3"/>
      </w:pPr>
      <w:r>
        <w:t xml:space="preserve">Variation in climate sensitivity with DBH</w:t>
      </w:r>
    </w:p>
    <w:p>
      <w:pPr>
        <w:pStyle w:val="FirstParagraph"/>
      </w:pPr>
      <w:r>
        <w:t xml:space="preserve">Interactive effects of climate and DBH were found for 90 of the 203 (44%) species-variable combinations for which they were tested.</w:t>
      </w:r>
      <w:r>
        <w:t xml:space="preserve"> </w:t>
      </w:r>
      <w:r>
        <w:t xml:space="preserve">For precipitation variables, interactions were significant for 16 of the 36 (44%) interactions with RW as the growth metric (Fig. S56) and for 17 of the 36 (47%) with BAI as the growth metric (Fig. S57).</w:t>
      </w:r>
      <w:r>
        <w:t xml:space="preserve"> </w:t>
      </w:r>
      <w:r>
        <w:t xml:space="preserve">The majority of these interactions were positive (75% for RW; 65% for BAI), indicating that larger trees generally respond more positively to precipitation or its frequency (Fig. 4).</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S56) and for 50% with BAI as the growth metric (Fig. S57).</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4), whereas positive interactions were more common when the main effect of temperature was positive (e.g., HF, ZOF).</w:t>
      </w:r>
    </w:p>
    <w:p>
      <w:pPr>
        <w:pStyle w:val="CaptionedFigure"/>
      </w:pPr>
      <w:r>
        <w:drawing>
          <wp:inline>
            <wp:extent cx="5943600" cy="5943600"/>
            <wp:effectExtent b="0" l="0" r="0" t="0"/>
            <wp:docPr descr="Figure 4 | Examples of climate - DBH interactions for three species at three sites. 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w:t>
      </w:r>
    </w:p>
    <w:bookmarkEnd w:id="48"/>
    <w:bookmarkEnd w:id="49"/>
    <w:bookmarkStart w:id="51" w:name="Variation"/>
    <w:p>
      <w:pPr>
        <w:pStyle w:val="Heading2"/>
      </w:pPr>
      <w:r>
        <w:t xml:space="preserve">Variation with DBH</w:t>
      </w:r>
    </w:p>
    <w:p>
      <w:pPr>
        <w:pStyle w:val="FirstParagraph"/>
      </w:pPr>
      <w:r>
        <w:t xml:space="preserve">When a precipitation variable, a temperature variable, and DBH were all included as candidate variables in the GLS models, typically all three were included in the top model, regardless of the growth metric used.</w:t>
      </w:r>
      <w:r>
        <w:t xml:space="preserve"> </w:t>
      </w:r>
      <w:r>
        <w:t xml:space="preserve">Climate responses were generally similar to those described above for models without a DBH term,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3, S35-S54).</w:t>
      </w:r>
      <w:r>
        <w:t xml:space="preserve"> </w:t>
      </w:r>
      <w:r>
        <w:t xml:space="preserve">In general, DBH explained more variation in growth rates than did climate, but its relative importance varied across growth metrics and sites (Figs. S35-S54).</w:t>
      </w:r>
      <w:r>
        <w:t xml:space="preserve"> </w:t>
      </w:r>
      <w:r>
        <w:t xml:space="preserve">The relative importance of DBH tended to be least for RW, intermediate for BAI, and highest for</w:t>
      </w:r>
      <w:r>
        <w:t xml:space="preserve"> </w:t>
      </w:r>
      <m:oMath>
        <m:r>
          <m:t>Δ</m:t>
        </m:r>
      </m:oMath>
      <w:r>
        <w:t xml:space="preserve">AGB (e.g., at SCBI; Fig. S39).</w:t>
      </w:r>
      <w:r>
        <w:t xml:space="preserve"> </w:t>
      </w:r>
      <w:r>
        <w:t xml:space="preserve">However, there were exceptions, particularly when RW decreased steeply with DBH (e.g., LT; Fig. S49).</w:t>
      </w:r>
    </w:p>
    <w:p>
      <w:pPr>
        <w:pStyle w:val="BodyText"/>
      </w:pPr>
      <w:r>
        <w:t xml:space="preserve">All three growth metrics, RW, BAI, and</w:t>
      </w:r>
      <w:r>
        <w:t xml:space="preserve"> </w:t>
      </w:r>
      <m:oMath>
        <m:r>
          <m:t>Δ</m:t>
        </m:r>
      </m:oMath>
      <w:r>
        <w:t xml:space="preserve">AGB, varied with DBH for most species at all sites (Fig. 5).</w:t>
      </w:r>
      <w:r>
        <w:t xml:space="preserve"> </w:t>
      </w: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5).</w:t>
      </w:r>
      <w:r>
        <w:t xml:space="preserve"> </w:t>
      </w:r>
      <w:r>
        <w:t xml:space="preserve">On one end of the spectrum, some species exhibited maximum RW at low DBH, followed by fairly rapid declines in RW with increasing DBH.</w:t>
      </w:r>
      <w:r>
        <w:t xml:space="preserve"> </w:t>
      </w:r>
      <w:r>
        <w:t xml:space="preserve">Species following this pattern either had low to at most intermediate shade tolerance (e.g.,</w:t>
      </w:r>
      <w:r>
        <w:t xml:space="preserve"> </w:t>
      </w:r>
      <w:r>
        <w:rPr>
          <w:iCs/>
          <w:i/>
        </w:rPr>
        <w:t xml:space="preserve">Melia azedarach</w:t>
      </w:r>
      <w:r>
        <w:t xml:space="preserve"> </w:t>
      </w:r>
      <w:r>
        <w:t xml:space="preserve">at HKK,</w:t>
      </w:r>
      <w:r>
        <w:t xml:space="preserve"> </w:t>
      </w:r>
      <w:r>
        <w:rPr>
          <w:iCs/>
          <w:i/>
        </w:rPr>
        <w:t xml:space="preserve">Juglans nigra</w:t>
      </w:r>
      <w:r>
        <w:t xml:space="preserve"> </w:t>
      </w:r>
      <w:r>
        <w:t xml:space="preserve">at SCBI,</w:t>
      </w:r>
      <w:r>
        <w:t xml:space="preserve"> </w:t>
      </w:r>
      <w:r>
        <w:rPr>
          <w:iCs/>
          <w:i/>
        </w:rPr>
        <w:t xml:space="preserve">Acer rubrum</w:t>
      </w:r>
      <w:r>
        <w:t xml:space="preserve"> </w:t>
      </w:r>
      <w:r>
        <w:t xml:space="preserve">at HF,</w:t>
      </w:r>
      <w:r>
        <w:t xml:space="preserve"> </w:t>
      </w:r>
      <w:r>
        <w:rPr>
          <w:iCs/>
          <w:i/>
        </w:rPr>
        <w:t xml:space="preserve">Betula papyrifera</w:t>
      </w:r>
      <w:r>
        <w:t xml:space="preserve"> </w:t>
      </w:r>
      <w:r>
        <w:t xml:space="preserve">at NIO;</w:t>
      </w:r>
      <w:r>
        <w:t xml:space="preserve"> </w:t>
      </w:r>
      <w:r>
        <w:rPr>
          <w:iCs/>
          <w:i/>
        </w:rPr>
        <w:t xml:space="preserve">Populous tremuloides</w:t>
      </w:r>
      <w:r>
        <w:t xml:space="preserve"> </w:t>
      </w:r>
      <w:r>
        <w:t xml:space="preserve">at CB; Table S2) or grew in relatively open stands (e.g., both species at LT,</w:t>
      </w:r>
      <w:r>
        <w:t xml:space="preserve"> </w:t>
      </w:r>
      <w:r>
        <w:rPr>
          <w:iCs/>
          <w:i/>
        </w:rPr>
        <w:t xml:space="preserve">Picea mariana</w:t>
      </w:r>
      <w:r>
        <w:t xml:space="preserve"> </w:t>
      </w:r>
      <w:r>
        <w:t xml:space="preserve">at SC; Fig. 5).</w:t>
      </w:r>
      <w:r>
        <w:t xml:space="preserve"> </w:t>
      </w:r>
      <w:r>
        <w:t xml:space="preserve">At the other end of the spectrum, some species had low RW at small DBH, increased to peak RW at intermediate DBH, and subsequently declined.</w:t>
      </w:r>
      <w:r>
        <w:t xml:space="preserve"> </w:t>
      </w:r>
      <w:r>
        <w:t xml:space="preserve">These included, but were not limited to, shade-tolerant species at sites where they presumably established under closed-canopy conditions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Acer saccharum</w:t>
      </w:r>
      <w:r>
        <w:t xml:space="preserve"> </w:t>
      </w:r>
      <w:r>
        <w:t xml:space="preserve">at LDW,</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most commonly increasing to a peak at intermediate DBH and then declining (Fig. 5).</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5 | Growth sensitivity to DBH: (a) RW, (b) BAI, (c) \Delta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5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Growth sensitivity to DBH: (a) RW, (b) BAI, (c)</w:t>
      </w:r>
      <w:r>
        <w:rPr>
          <w:bCs/>
          <w:b/>
        </w:rPr>
        <w:t xml:space="preserve"> </w:t>
      </w:r>
      <m:oMath>
        <m:r>
          <m:t>Δ</m:t>
        </m:r>
      </m:oMath>
      <w:r>
        <w:rPr>
          <w:bCs/>
          <w:b/>
        </w:rPr>
        <w:t xml:space="preserve">AGB.</w:t>
      </w:r>
      <w:r>
        <w:t xml:space="preserve"> </w:t>
      </w:r>
      <w:r>
        <w:t xml:space="preserve">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51"/>
    <w:bookmarkStart w:id="53"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6, S35-S54).</w:t>
      </w:r>
      <w:r>
        <w:t xml:space="preserve"> </w:t>
      </w:r>
      <w:r>
        <w:t xml:space="preserve">In 90-91% of cases (depending on growth metric), the growth trend over time was negative.</w:t>
      </w:r>
      <w:r>
        <w:t xml:space="preserve"> </w:t>
      </w:r>
      <w:r>
        <w:t xml:space="preserve">Declines were particularly dramatic for</w:t>
      </w:r>
      <w:r>
        <w:t xml:space="preserve"> </w:t>
      </w:r>
      <w:r>
        <w:rPr>
          <w:iCs/>
          <w:i/>
        </w:rPr>
        <w:t xml:space="preserve">Picea mariana</w:t>
      </w:r>
      <w:r>
        <w:t xml:space="preserve"> </w:t>
      </w:r>
      <w:r>
        <w:t xml:space="preserve">at SC,</w:t>
      </w:r>
      <w:r>
        <w:t xml:space="preserve"> </w:t>
      </w:r>
      <w:r>
        <w:rPr>
          <w:iCs/>
          <w:i/>
        </w:rPr>
        <w:t xml:space="preserve">Pinus ponderosa</w:t>
      </w:r>
      <w:r>
        <w:t xml:space="preserve"> </w:t>
      </w:r>
      <w:r>
        <w:t xml:space="preserve">at LT, all four species at HF, and several species at SCBI (Fig. 6).</w:t>
      </w:r>
      <w:r>
        <w:t xml:space="preserve"> </w:t>
      </w:r>
      <w:r>
        <w:t xml:space="preserve">In such cases, models without</w:t>
      </w:r>
      <w:r>
        <w:t xml:space="preserve"> </w:t>
      </w:r>
      <w:r>
        <w:rPr>
          <w:rStyle w:val="VerbatimChar"/>
        </w:rPr>
        <w:t xml:space="preserve">year</w:t>
      </w:r>
      <w:r>
        <w:t xml:space="preserve"> </w:t>
      </w:r>
      <w:r>
        <w:t xml:space="preserve">predicted declines in growth at large DBH that should more properly be attributed to the effect of year (Figs. S35-S54).</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S35-S54).</w:t>
      </w:r>
    </w:p>
    <w:p>
      <w:pPr>
        <w:pStyle w:val="CaptionedFigure"/>
      </w:pPr>
      <w:r>
        <w:drawing>
          <wp:inline>
            <wp:extent cx="5943600" cy="5943600"/>
            <wp:effectExtent b="0" l="0" r="0" t="0"/>
            <wp:docPr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5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Effect of year, when included in the best model, on BAI.</w:t>
      </w:r>
      <w:r>
        <w:t xml:space="preserve"> </w:t>
      </w:r>
      <w:r>
        <w:t xml:space="preserve">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53"/>
    <w:bookmarkEnd w:id="54"/>
    <w:bookmarkStart w:id="59"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analysis methods were not designed to address questions that are critical to understanding whole-forest productivity (Table 1).</w:t>
      </w:r>
      <w:r>
        <w:t xml:space="preserve"> </w:t>
      </w:r>
      <w:r>
        <w:t xml:space="preserve">Our novel method provides a powerful approach to elucidate how tree growth is simultaneously shaped by climate, tree size, slowly changing environmental conditions, and their interactions (Fig. 1).</w:t>
      </w:r>
      <w:r>
        <w:t xml:space="preserve"> </w:t>
      </w:r>
      <w:r>
        <w:t xml:space="preserve">For each of these drivers individually, the method yields results that are consistent with those that would be obtained using established methods (Figs. 2, S11-S14, S58-S67; Table S5; see also Appendix S4).</w:t>
      </w:r>
      <w:r>
        <w:t xml:space="preserve"> </w:t>
      </w:r>
      <w:r>
        <w:t xml:space="preserve">By allowing these factors to be considered simultaneously, our approach opens the door to robust analyses of the joint and interactive effects of climate, tree size, and other drivers.</w:t>
      </w:r>
      <w:r>
        <w:t xml:space="preserve"> </w:t>
      </w:r>
      <w:r>
        <w:t xml:space="preserve">Applied across multiple forest types and species distributed globally across 10 sites, this method yields a more complete understanding of the drivers of variability and directional changes in tree growth over the past century (Tables 1-2).</w:t>
      </w:r>
    </w:p>
    <w:bookmarkStart w:id="55" w:name="Climate"/>
    <w:p>
      <w:pPr>
        <w:pStyle w:val="Heading2"/>
      </w:pPr>
      <w:r>
        <w:t xml:space="preserve">Climate sensitivity</w:t>
      </w:r>
    </w:p>
    <w:p>
      <w:pPr>
        <w:pStyle w:val="FirstParagraph"/>
      </w:pPr>
      <w:r>
        <w:t xml:space="preserve">Across diverse climates and forest types (Tables 2, S2), growth rates of 40 tree species generally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(Fig. 3).</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the majority of forests globally are moisture limited and respond negatively to temperature, with a shrinking area of temperature-limited forests in cold, humid regions (with SC falling near the transition zone).</w:t>
      </w:r>
      <w:r>
        <w:t xml:space="preserve"> </w:t>
      </w:r>
      <w:r>
        <w:t xml:space="preserve">Within warmer regions, forests in humid climates can sometimes benefit from warm winter or spring temperatures</w:t>
      </w:r>
      <w:r>
        <w:t xml:space="preserve"> </w:t>
      </w:r>
      <w:r>
        <w:t xml:space="preserve">(Babst et al., 2019; Tumajer et al., 2017)</w:t>
      </w:r>
      <w:r>
        <w:t xml:space="preserve">, as we show for all three species at ZOF and one species at HF (Fig. 3).</w:t>
      </w:r>
      <w:r>
        <w:t xml:space="preserve"> </w:t>
      </w:r>
      <w:r>
        <w:t xml:space="preserve">However, the predominantly negative temperature responses (Fig. 3) imply that warmer temperatures are likely to reduce growth across the wide range of forest types and climates represented here.</w:t>
      </w:r>
      <w:r>
        <w:t xml:space="preserve"> </w:t>
      </w:r>
      <w:r>
        <w:t xml:space="preserve">This growth decrease at high temperatures is probably driven primarily by increased atmospheric dryness (PET or vapor pressure deficit) and ensuant exacerbation of observed water limitations (</w:t>
      </w:r>
      <w:r>
        <w:rPr>
          <w:bCs/>
          <w:b/>
        </w:rPr>
        <w:t xml:space="preserve">REFS</w:t>
      </w:r>
      <w:r>
        <w:t xml:space="preserve">)</w:t>
      </w:r>
      <w:r>
        <w:t xml:space="preserve"> </w:t>
      </w:r>
      <w:r>
        <w:t xml:space="preserve">(Humphrey et al., 2021; López et al., 2021)</w:t>
      </w:r>
      <w:r>
        <w:t xml:space="preserve">.</w:t>
      </w:r>
      <w:r>
        <w:t xml:space="preserve"> </w:t>
      </w:r>
      <w:r>
        <w:t xml:space="preserve">This effect occurs in addition to the effects of precipitation (Fig. 3), highlighting the fact that precipitation and temperature jointly influence drought (</w:t>
      </w:r>
      <w:r>
        <w:rPr>
          <w:bCs/>
          <w:b/>
        </w:rPr>
        <w:t xml:space="preserve">REFS?</w:t>
      </w:r>
      <w:r>
        <w:t xml:space="preserve">), but, critically, tends to occur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3).</w:t>
      </w:r>
      <w:r>
        <w:t xml:space="preserve"> </w:t>
      </w:r>
      <w:r>
        <w:t xml:space="preserve">This suggests that relatively short periods of anomalously high temperatures and atmospheric dryness,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3).</w:t>
      </w:r>
      <w:r>
        <w:t xml:space="preserve"> </w:t>
      </w:r>
      <w:r>
        <w:t xml:space="preserve">This result, which is consistent with physiological expectations</w:t>
      </w:r>
      <w:r>
        <w:t xml:space="preserve"> </w:t>
      </w:r>
      <w:r>
        <w:t xml:space="preserve">(</w:t>
      </w:r>
      <w:r>
        <w:rPr>
          <w:bCs/>
          <w:b/>
        </w:rPr>
        <w:t xml:space="preserve">REFS</w:t>
      </w:r>
      <w:r>
        <w:t xml:space="preserve">, Wilmking et al., 2020)</w:t>
      </w:r>
      <w:r>
        <w:t xml:space="preserve">, indicates that the majority of tree-ring records examined here cover climate variation beyond the range over which the response is linear.</w:t>
      </w:r>
      <w:r>
        <w:t xml:space="preserve"> </w:t>
      </w:r>
      <w:r>
        <w:t xml:space="preserve">The nonlinear form of most climate growth responses implies that as the climate changes,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variables and DBH were common (44% of cases analyzed; Figs. 4, S56, S57).</w:t>
      </w:r>
      <w:r>
        <w:t xml:space="preserve"> </w:t>
      </w:r>
      <w:r>
        <w:t xml:space="preserve">The most coherent pattern observed in this analysis was a tendency for larger trees to be more sensitive to precipitation and high temperatures (Fig. 4), consistent with widespread observations that larger trees are more sensitive to drought</w:t>
      </w:r>
      <w:r>
        <w:t xml:space="preserve"> </w:t>
      </w:r>
      <w:r>
        <w:t xml:space="preserve">(e.g., Bennett et al., 2015; Gillerot et al., 2020; Hacket-Pain et al., 2016; McGregor et al., 2020;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5"/>
    <w:bookmarkStart w:id="56" w:name="Variation"/>
    <w:p>
      <w:pPr>
        <w:pStyle w:val="Heading2"/>
      </w:pPr>
      <w:r>
        <w:t xml:space="preserve">Variation with DBH</w:t>
      </w:r>
    </w:p>
    <w:p>
      <w:pPr>
        <w:pStyle w:val="FirstParagraph"/>
      </w:pPr>
      <w:r>
        <w:t xml:space="preserve">Growth rate – whether measured as RW, BAI, or</w:t>
      </w:r>
      <w:r>
        <w:t xml:space="preserve"> </w:t>
      </w:r>
      <m:oMath>
        <m:r>
          <m:t>Δ</m:t>
        </m:r>
      </m:oMath>
      <w:r>
        <w:t xml:space="preserve">AGB – varied nonlinearly with DBH for the majority of site-species combinations (81 - 98% depending on growth metric; Fig. 5).</w:t>
      </w:r>
      <w:r>
        <w:t xml:space="preserve"> </w:t>
      </w:r>
      <w:r>
        <w:t xml:space="preserve">Variation in these patterns – particularly for RW, for which variation was most pronounced – was driven by two primary, interrelated factors: species ecology and stand history.</w:t>
      </w:r>
      <w:r>
        <w:t xml:space="preserve"> </w:t>
      </w:r>
      <w:r>
        <w:t xml:space="preserve">Species that would have established in fairly open conditions – i.e., shade-intolerant species (Table S2) and those at sites with more open canopies (e.g., LT, SC) – exhibited rapid initial growth, measured as RW, followed by a roughly exponential decline.</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of studies primarily based on trees that established in high-light environments, where declining RW is in part attributable to the geometric constraint that new growth is spread around an ever-growing circumference</w:t>
      </w:r>
      <w:r>
        <w:t xml:space="preserve"> </w:t>
      </w:r>
      <w:r>
        <w:t xml:space="preserve">(Biondi &amp; Qeadan, 2008; Fritts, 1976)</w:t>
      </w:r>
      <w:r>
        <w:t xml:space="preserve">.</w:t>
      </w:r>
      <w:r>
        <w:t xml:space="preserve"> </w:t>
      </w:r>
      <w:r>
        <w:t xml:space="preserve">However, within the forest settings studied here, the majority of species exhibited initially low, but increasing, RW.</w:t>
      </w:r>
      <w:r>
        <w:t xml:space="preserve"> </w:t>
      </w:r>
      <w:r>
        <w:t xml:space="preserve">This latter pattern is consistent with the observation that when contemporary growth rates are compared across individuals within a closed-canopy stand (i.e., a</w:t>
      </w:r>
      <w:r>
        <w:t xml:space="preserve"> </w:t>
      </w:r>
      <w:r>
        <w:t xml:space="preserve">“</w:t>
      </w:r>
      <w:r>
        <w:t xml:space="preserve">cross-sectional</w:t>
      </w:r>
      <w:r>
        <w:t xml:space="preserve">”</w:t>
      </w:r>
      <w:r>
        <w:t xml:space="preserve"> </w:t>
      </w:r>
      <w:r>
        <w:t xml:space="preserve">analysis), RW increases continuously with DBH</w:t>
      </w:r>
      <w:r>
        <w:t xml:space="preserve"> </w:t>
      </w:r>
      <w:r>
        <w:t xml:space="preserve">(e.g., K. J. Anderson-Teixeira, McGarvey, et al., 2015; Helcoski et al., 2019; Muller-Landau et al., 2006)</w:t>
      </w:r>
      <w:r>
        <w:t xml:space="preserve">, or increases and subsequently decreases</w:t>
      </w:r>
      <w:r>
        <w:t xml:space="preserve"> </w:t>
      </w:r>
      <w:r>
        <w:t xml:space="preserve">(Schelhaas et al., 2018)</w:t>
      </w:r>
      <w:r>
        <w:t xml:space="preserve">.</w:t>
      </w:r>
    </w:p>
    <w:p>
      <w:pPr>
        <w:pStyle w:val="BodyText"/>
      </w:pPr>
      <w:r>
        <w:t xml:space="preserve">We found evidence of saturation or decline in BAI and</w:t>
      </w:r>
      <w:r>
        <w:t xml:space="preserve"> </w:t>
      </w:r>
      <m:oMath>
        <m:r>
          <m:t>Δ</m:t>
        </m:r>
      </m:oMath>
      <w:r>
        <w:t xml:space="preserve">AGB for the majority (77%) of species-site combinations analyzed (Fig. 5), contrasting with findings of cross-sectional analyses showing that</w:t>
      </w:r>
      <w:r>
        <w:t xml:space="preserve"> </w:t>
      </w:r>
      <m:oMath>
        <m:r>
          <m:t>Δ</m:t>
        </m:r>
      </m:oMath>
      <w:r>
        <w:t xml:space="preserve">AGB increases continuously with DBH</w:t>
      </w:r>
      <w:r>
        <w:t xml:space="preserve"> </w:t>
      </w:r>
      <w:r>
        <w:t xml:space="preserve">(Meakem et al., 2018; Stephenson et al., 2014)</w:t>
      </w:r>
      <w:r>
        <w:t xml:space="preserve">, which has also been observed in tree rings</w:t>
      </w:r>
      <w:r>
        <w:t xml:space="preserve"> </w:t>
      </w:r>
      <w:r>
        <w:t xml:space="preserve">(Foster et al., 2016)</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Notably, inclusion of year in the GLS models tended to reduce the magnitude of BAI and</w:t>
      </w:r>
      <w:r>
        <w:t xml:space="preserve"> </w:t>
      </w:r>
      <m:oMath>
        <m:r>
          <m:t>Δ</m:t>
        </m:r>
      </m:oMath>
      <w:r>
        <w:t xml:space="preserve">AGB declines at larger DBH (Figs. S35-S54), suggesting that some of the declines (Fig. 5) are more properly attributed to the effect of year than DBH.</w:t>
      </w:r>
    </w:p>
    <w:bookmarkEnd w:id="56"/>
    <w:bookmarkStart w:id="57"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w:t>
      </w:r>
      <w:r>
        <w:t xml:space="preserve"> </w:t>
      </w:r>
      <w:r>
        <w:t xml:space="preserve">First, changes in climate can drive dramatic growth trends (e.g., declines at LT) and therefore must be factored out in order to capture the influence of other environmental drivers.</w:t>
      </w:r>
      <w:r>
        <w:t xml:space="preserve"> </w:t>
      </w:r>
      <w:r>
        <w:t xml:space="preserve">Second, correcting for any relationship between tree growth rate and age or DBH (Fig. 5) is essential for unbiased reconstruction of growth trends, yet the reliability of existing analytical approaches remains mixed [</w:t>
      </w:r>
      <w:r>
        <w:rPr>
          <w:bCs/>
          <w:b/>
        </w:rPr>
        <w:t xml:space="preserve">REFS</w:t>
      </w:r>
      <w:r>
        <w:t xml:space="preserve">;</w:t>
      </w:r>
      <w:r>
        <w:t xml:space="preserve"> </w:t>
      </w:r>
      <w:r>
        <w:t xml:space="preserve">Peters et al. (2015)</w:t>
      </w:r>
      <w:r>
        <w:t xml:space="preserve">].</w:t>
      </w:r>
      <w:r>
        <w:t xml:space="preserve"> </w:t>
      </w:r>
      <w:r>
        <w:t xml:space="preserve">A comparative analysis of several methods revealed low reliability of two of the most commonly used approaches, conservative detrending and basal area correction</w:t>
      </w:r>
      <w:r>
        <w:t xml:space="preserve"> </w:t>
      </w:r>
      <w:r>
        <w:t xml:space="preserve">(Peters et al., 2015)</w:t>
      </w:r>
      <w:r>
        <w:t xml:space="preserve">, both of which assume a constancy of growth in mature trees that is violated by the DBH growth trends observed here (Fig. 5).</w:t>
      </w:r>
      <w:r>
        <w:t xml:space="preserve"> </w:t>
      </w:r>
      <w:r>
        <w:t xml:space="preserve">Our method is conceptually parallel to regional curve standardization, which performed better at growth trend detection in the analysis of</w:t>
      </w:r>
      <w:r>
        <w:t xml:space="preserve"> </w:t>
      </w:r>
      <w:r>
        <w:t xml:space="preserve">Peters et al. (2015)</w:t>
      </w:r>
      <w:r>
        <w:t xml:space="preserve">, but differs in that we standardize relative to DBH rather than age, correct for any trends in the most influential climate drivers, and include random effects of tree to account for persistent growth differences among individuals (see next paragraph).</w:t>
      </w:r>
      <w:r>
        <w:t xml:space="preserve"> </w:t>
      </w:r>
      <w:r>
        <w:t xml:space="preserve">It is important to bear in mind, however, that growth trends in relation to DBH and year are linked, such that poor model representation of the ontogenetic effects of growth could bias estimated trends over time.</w:t>
      </w:r>
      <w:r>
        <w:t xml:space="preserve"> </w:t>
      </w:r>
      <w:r>
        <w:t xml:space="preserve">While consistency in the direction of estimated temporal trends across growth metrics and relative to an alternative analysis method (Figs. S58-S67) rules out the potential for severe bias, the close linkage between DBH and calendar year implies that it is difficult, if not impossible, to fully disentangle the two statistically.</w:t>
      </w:r>
    </w:p>
    <w:p>
      <w:pPr>
        <w:pStyle w:val="BodyText"/>
      </w:pPr>
      <w:r>
        <w:t xml:space="preserve">A third third important challenge is that persistent growth differences among individuals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are competitive winners that probably had above-average growth rates</w:t>
      </w:r>
      <w:r>
        <w:t xml:space="preserve"> </w:t>
      </w:r>
      <w:r>
        <w:t xml:space="preserve">(Aubry-Kientz et al., 2015)</w:t>
      </w:r>
      <w:r>
        <w:t xml:space="preserve">, which would upwardly bias average growth rate estimates for early decades</w:t>
      </w:r>
      <w:r>
        <w:t xml:space="preserve"> </w:t>
      </w:r>
      <w:r>
        <w:t xml:space="preserve">(Groenendijk et al., 2015)</w:t>
      </w:r>
      <w:r>
        <w:t xml:space="preserve">.</w:t>
      </w:r>
      <w:r>
        <w:t xml:space="preserve"> </w:t>
      </w:r>
      <w:r>
        <w:t xml:space="preserve">While including a random effect of tree should help to avoid the the most severe potential biases associated with persistent growth differences across individuals, it is not possible to obtain fully representative samples of tree populations at all points throughout the history of a stand, as would be required to ensure unbiased representation through time</w:t>
      </w:r>
      <w:r>
        <w:t xml:space="preserve"> </w:t>
      </w:r>
      <w:r>
        <w:t xml:space="preserve">(Bowman et al., 2013; Brienen et al., 2017, 2012)</w:t>
      </w:r>
      <w:r>
        <w:t xml:space="preserve">.</w:t>
      </w:r>
      <w:r>
        <w:t xml:space="preserve"> </w:t>
      </w:r>
      <w:r>
        <w:t xml:space="preserve">Thus, observed trends should be interpreted as representative of only the sampled population of trees, as opposed to all individuals of the species that existed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Our analysis revealed that growth rates changed directionally for the majority (73-78%, depending on growth metric) of site-species combinations selected for analysis based on the sampling representation of DBH by year (Fig. 6).</w:t>
      </w:r>
      <w:r>
        <w:t xml:space="preserve"> </w:t>
      </w:r>
      <w:r>
        <w:t xml:space="preserve">The majority of negative growth trends detected here (Fig. 6) are probably attributable to stand dynamics as cohorts and stands develop oer time, and are pretty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Figs. S1-S10),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Such a trend is not indicative of a directional response to changing environmental conditions that would be generalizable across stands (e.g., rising atmospheric CO</w:t>
      </w:r>
      <w:r>
        <w:rPr>
          <w:vertAlign w:val="subscript"/>
        </w:rPr>
        <w:t xml:space="preserve">2</w:t>
      </w:r>
      <w:r>
        <w:t xml:space="preserve">), but it does indicate declining growth of the species within the stand.</w:t>
      </w:r>
      <w:r>
        <w:t xml:space="preserve"> </w:t>
      </w:r>
      <w:r>
        <w:t xml:space="preserve">This can occur, for example, when a species undergoes a dramatic decline in recruitment within a stand (e.g.,</w:t>
      </w:r>
      <w:r>
        <w:t xml:space="preserve"> </w:t>
      </w:r>
      <w:r>
        <w:rPr>
          <w:iCs/>
          <w:i/>
        </w:rPr>
        <w:t xml:space="preserve">Quercus</w:t>
      </w:r>
      <w:r>
        <w:t xml:space="preserve"> </w:t>
      </w:r>
      <w:r>
        <w:t xml:space="preserve">spp. at SCBI;</w:t>
      </w:r>
      <w:r>
        <w:t xml:space="preserve"> </w:t>
      </w:r>
      <w:r>
        <w:rPr>
          <w:iCs/>
          <w:i/>
        </w:rPr>
        <w:t xml:space="preserve">Abies alba</w:t>
      </w:r>
      <w:r>
        <w:t xml:space="preserve"> </w:t>
      </w:r>
      <w:r>
        <w:t xml:space="preserve">at ZOF), such that fast-growing individuals disappear from progressively larger DBH classes as time proceeds.</w:t>
      </w:r>
      <w:r>
        <w:t xml:space="preserve"> </w:t>
      </w:r>
      <w:r>
        <w:t xml:space="preserve">In secondary stands, particularly those where many of the sampled species recruited in pulses that were followed by low recruitment (e.g., SCBI, HF; Appendix S1, Figs. S1-S10),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w:t>
      </w:r>
      <w:r>
        <w:t xml:space="preserve">.</w:t>
      </w:r>
      <w:r>
        <w:t xml:space="preserve"> </w:t>
      </w:r>
      <w:r>
        <w:t xml:space="preserve">Even within older forests, light-demanding species that establish in gaps (e.g.,</w:t>
      </w:r>
      <w:r>
        <w:t xml:space="preserve"> </w:t>
      </w:r>
      <w:r>
        <w:rPr>
          <w:iCs/>
          <w:i/>
        </w:rPr>
        <w:t xml:space="preserve">Jacaranda copaia</w:t>
      </w:r>
      <w:r>
        <w:t xml:space="preserve"> </w:t>
      </w:r>
      <w:r>
        <w:t xml:space="preserve">at BCNM,</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For more shade-tolerant species in stands with no known major disturbance within the past 150 years (ZOF, CB), mixed growth trends probably reflect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p>
    <w:p>
      <w:pPr>
        <w:pStyle w:val="BodyText"/>
      </w:pPr>
      <w:r>
        <w:t xml:space="preserve">In a few instances, directional changes in growth are likely attributable to abiotic drivers.</w:t>
      </w:r>
      <w:r>
        <w:t xml:space="preserve"> </w:t>
      </w:r>
      <w:r>
        <w:t xml:space="preserve">At Zofin, size-corrected growth rates were lowest in the 1970s and 1980s (Fig. S63),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In New Mexico (LT), where growth rates of</w:t>
      </w:r>
      <w:r>
        <w:t xml:space="preserve"> </w:t>
      </w:r>
      <w:r>
        <w:rPr>
          <w:iCs/>
          <w:i/>
        </w:rPr>
        <w:t xml:space="preserve">Pinus ponderosa</w:t>
      </w:r>
      <w:r>
        <w:t xml:space="preserve"> </w:t>
      </w:r>
      <w:r>
        <w:t xml:space="preserve">declined, it is possible that the primary climate drivers identified here do not capture all aspects of a strong regional warming and drying trend</w:t>
      </w:r>
      <w:r>
        <w:t xml:space="preserve"> </w:t>
      </w:r>
      <w:r>
        <w:t xml:space="preserve">(Touchan et al., 2011; Williams et al., 2013)</w:t>
      </w:r>
      <w:r>
        <w:t xml:space="preserve">.</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we attribute pronounced negative growth trends to a combination of successional declines and indirect climatic stress.</w:t>
      </w:r>
    </w:p>
    <w:p>
      <w:pPr>
        <w:pStyle w:val="BodyText"/>
      </w:pPr>
      <w:r>
        <w:t xml:space="preserve">There is a notable lack of evidence that growth rates of any species benefited substantially from increasing CO</w:t>
      </w:r>
      <w:r>
        <w:rPr>
          <w:vertAlign w:val="subscript"/>
        </w:rPr>
        <w:t xml:space="preserve">2</w:t>
      </w:r>
      <w:r>
        <w:t xml:space="preserve">, corroborating previous analyses from HKK</w:t>
      </w:r>
      <w:r>
        <w:t xml:space="preserve"> </w:t>
      </w:r>
      <w:r>
        <w:t xml:space="preserve">(Groenendijk et al., 2015; Nock et al., 2011; van der Sleen et al., 2015, 2017)</w:t>
      </w:r>
      <w:r>
        <w:t xml:space="preserve">.</w:t>
      </w:r>
      <w:r>
        <w:t xml:space="preserve"> </w:t>
      </w:r>
      <w:r>
        <w:t xml:space="preserve">With a few exceptions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Fig. 6), any growth benefit from elevated CO</w:t>
      </w:r>
      <w:r>
        <w:rPr>
          <w:vertAlign w:val="subscript"/>
        </w:rPr>
        <w:t xml:space="preserve">2</w:t>
      </w:r>
      <w:r>
        <w:t xml:space="preserve"> </w:t>
      </w:r>
      <w:r>
        <w:t xml:space="preserve">was outweighed by some combination of demographic or successional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2020)</w:t>
      </w:r>
      <w:r>
        <w:t xml:space="preserve">, albeit contrasting with some</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2020)</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2020)</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7"/>
    <w:bookmarkStart w:id="58" w:name="Conclusions"/>
    <w:p>
      <w:pPr>
        <w:pStyle w:val="Heading2"/>
      </w:pPr>
      <w:r>
        <w:t xml:space="preserve">Conclusions</w:t>
      </w:r>
    </w:p>
    <w:p>
      <w:pPr>
        <w:pStyle w:val="FirstParagraph"/>
      </w:pPr>
      <w:r>
        <w:t xml:space="preserve">In this study, we present a novel robust approach that allows integrative analysis of factors that jointly influence tree growth (Table 1).</w:t>
      </w:r>
      <w:r>
        <w:t xml:space="preserve"> </w:t>
      </w:r>
      <w:r>
        <w:t xml:space="preserve">Specifically, it allows us to demonstrate that</w:t>
      </w:r>
      <w:r>
        <w:t xml:space="preserve"> </w:t>
      </w:r>
      <w:r>
        <w:t xml:space="preserve">(1) growth is generally simultaneously influenced by temperature and precipitation over different seasonal windows,</w:t>
      </w:r>
      <w:r>
        <w:t xml:space="preserve"> </w:t>
      </w:r>
      <w:r>
        <w:t xml:space="preserve">(2) nonlinear climate responses and interactive effects of climate with DBH are common (Figs. 3 and 4, respectively),</w:t>
      </w:r>
      <w:r>
        <w:t xml:space="preserve"> </w:t>
      </w:r>
      <w:r>
        <w:t xml:space="preserve">(3) growth – expressed in any metric – almost universally varies with DBH (Fig. 5),</w:t>
      </w:r>
      <w:r>
        <w:t xml:space="preserve"> </w:t>
      </w:r>
      <w:r>
        <w:t xml:space="preserve">and (4) current or recently living trees commonly show growth declines in response to some combination of stand dynamics and environmental change (Fig. 6).</w:t>
      </w:r>
      <w:r>
        <w:t xml:space="preserve"> </w:t>
      </w:r>
      <w:r>
        <w:t xml:space="preserve">While traditional dendrochronology methods, particularly those focused on climate reconstruction, generally sample and analyze data to minimize many of these effects, they are critical for understanding forest productivity in an era of global change.</w:t>
      </w:r>
      <w:r>
        <w:t xml:space="preserve"> </w:t>
      </w:r>
      <w:r>
        <w:t xml:space="preserve">As global change pressures intensify and the need to understand changing forest dynamics becomes increasingly urgent</w:t>
      </w:r>
      <w:r>
        <w:t xml:space="preserve"> </w:t>
      </w:r>
      <w:r>
        <w:t xml:space="preserve">(McDowell et al., 2020; Thom et al., 2017)</w:t>
      </w:r>
      <w:r>
        <w:t xml:space="preserve">, we expect that this approach will prove valuable to understanding drivers of tree growth and forest change.</w:t>
      </w:r>
    </w:p>
    <w:bookmarkEnd w:id="58"/>
    <w:bookmarkEnd w:id="59"/>
    <w:bookmarkStart w:id="60"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60"/>
    <w:bookmarkStart w:id="61" w:name="Authors"/>
    <w:p>
      <w:pPr>
        <w:pStyle w:val="Heading1"/>
      </w:pPr>
      <w:r>
        <w:t xml:space="preserve">Authors’ contributions</w:t>
      </w:r>
    </w:p>
    <w:p>
      <w:pPr>
        <w:pStyle w:val="FirstParagraph"/>
      </w:pPr>
      <w:r>
        <w:t xml:space="preserve">KAT, VH, CR, RA, CP conceived the ideas and designed methodology;</w:t>
      </w:r>
      <w:r>
        <w:t xml:space="preserve"> </w:t>
      </w:r>
      <w:r>
        <w:t xml:space="preserve">NP, CDA, RAS, TA, JLB, JDB, SB, PC, RH, JK, JL, EQM, JM,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61"/>
    <w:bookmarkStart w:id="62" w:name="Data"/>
    <w:p>
      <w:pPr>
        <w:pStyle w:val="Heading1"/>
      </w:pPr>
      <w:r>
        <w:t xml:space="preserve">Data availability</w:t>
      </w:r>
    </w:p>
    <w:p>
      <w:pPr>
        <w:pStyle w:val="FirstParagraph"/>
      </w:pPr>
      <w:r>
        <w:t xml:space="preserve">Code and full results are available via the project repository in GitHub (github.com/EcoClimLab/ForestGEO-climate-sensitivity) and archived in Zenodo (DOI: TBD) .</w:t>
      </w:r>
      <w:r>
        <w:t xml:space="preserve"> </w:t>
      </w:r>
      <w:r>
        <w:t xml:space="preserve">Data for [# TBD] of the sites are archived in the The DendroEcological Network (DEN) database [SCBI, … ;</w:t>
      </w:r>
      <w:r>
        <w:t xml:space="preserve"> </w:t>
      </w:r>
      <w:r>
        <w:t xml:space="preserve">Rayback et al. (2020)</w:t>
      </w:r>
      <w:r>
        <w:t xml:space="preserve">] and/or the International Tree-Ring Data Bank, ITRDB (CB; …).</w:t>
      </w:r>
    </w:p>
    <w:bookmarkEnd w:id="62"/>
    <w:bookmarkStart w:id="63"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Qualtiative comparison of results from this study with previous studies employing conventional methods.</w:t>
      </w:r>
    </w:p>
    <w:p>
      <w:pPr>
        <w:pStyle w:val="BodyText"/>
      </w:pPr>
      <w:r>
        <w:t xml:space="preserve">Figures S1-S10. Density plots of core record start years by species for all sites.</w:t>
      </w:r>
    </w:p>
    <w:p>
      <w:pPr>
        <w:pStyle w:val="BodyText"/>
      </w:pPr>
      <w:r>
        <w:t xml:space="preserve">Figures S11-S14. Comparison of our approach with traditional methods of identifying climate signals for four species.</w:t>
      </w:r>
    </w:p>
    <w:p>
      <w:pPr>
        <w:pStyle w:val="BodyText"/>
      </w:pPr>
      <w:r>
        <w:t xml:space="preserve">Figures S15-S34. Climwin output for water and temperature variable groups at all sites.</w:t>
      </w:r>
    </w:p>
    <w:p>
      <w:pPr>
        <w:pStyle w:val="BodyText"/>
      </w:pPr>
      <w:r>
        <w:t xml:space="preserve">Figures S35-S54. Best GLS models models excluding and including year for all sites.</w:t>
      </w:r>
    </w:p>
    <w:p>
      <w:pPr>
        <w:pStyle w:val="BodyText"/>
      </w:pPr>
      <w:r>
        <w:t xml:space="preserve">Figure S55. Climate responses at SC before and after 1970.</w:t>
      </w:r>
    </w:p>
    <w:p>
      <w:pPr>
        <w:pStyle w:val="BodyText"/>
      </w:pPr>
      <w:r>
        <w:t xml:space="preserve">Figure S56. All signficant climate - DBH interactions with RW as the response metric.</w:t>
      </w:r>
    </w:p>
    <w:p>
      <w:pPr>
        <w:pStyle w:val="BodyText"/>
      </w:pPr>
      <w:r>
        <w:t xml:space="preserve">Figure S57. All signficant climate - DBH interactions with RW as the response metric.</w:t>
      </w:r>
    </w:p>
    <w:p>
      <w:pPr>
        <w:pStyle w:val="BodyText"/>
      </w:pPr>
      <w:r>
        <w:t xml:space="preserve">Figures S58-S67. Relationships between DBH and BAI by decade for all sites.</w:t>
      </w:r>
    </w:p>
    <w:bookmarkEnd w:id="63"/>
    <w:bookmarkStart w:id="320" w:name="References"/>
    <w:p>
      <w:pPr>
        <w:pStyle w:val="Heading1"/>
      </w:pPr>
      <w:r>
        <w:t xml:space="preserve">References</w:t>
      </w:r>
    </w:p>
    <w:bookmarkStart w:id="319" w:name="refs"/>
    <w:bookmarkStart w:id="65"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4">
        <w:r>
          <w:rPr>
            <w:rStyle w:val="Hyperlink"/>
          </w:rPr>
          <w:t xml:space="preserve">https://doi.org/10.1017/qua.2019.33</w:t>
        </w:r>
      </w:hyperlink>
    </w:p>
    <w:bookmarkEnd w:id="65"/>
    <w:bookmarkStart w:id="67" w:name="ref-alexander_relative_2018"/>
    <w:p>
      <w:pPr>
        <w:pStyle w:val="Bibliography"/>
      </w:pPr>
      <w:r>
        <w:t xml:space="preserve">Alexander, M. R., Rollinson, C. R., Babst, F., Trouet, V., &amp; Moore, D. J. P. (2018). Relative influences of multiple sources of uncertainty on cumulative and incremental tree-ring-derived aboveground biomass estimates.</w:t>
      </w:r>
      <w:r>
        <w:t xml:space="preserve"> </w:t>
      </w:r>
      <w:r>
        <w:rPr>
          <w:iCs/>
          <w:i/>
        </w:rPr>
        <w:t xml:space="preserve">Trees</w:t>
      </w:r>
      <w:r>
        <w:t xml:space="preserve">,</w:t>
      </w:r>
      <w:r>
        <w:t xml:space="preserve"> </w:t>
      </w:r>
      <w:r>
        <w:rPr>
          <w:iCs/>
          <w:i/>
        </w:rPr>
        <w:t xml:space="preserve">32</w:t>
      </w:r>
      <w:r>
        <w:t xml:space="preserve">(1), 265–276.</w:t>
      </w:r>
      <w:r>
        <w:t xml:space="preserve"> </w:t>
      </w:r>
      <w:hyperlink r:id="rId66">
        <w:r>
          <w:rPr>
            <w:rStyle w:val="Hyperlink"/>
          </w:rPr>
          <w:t xml:space="preserve">https://doi.org/10.1007/s00468-017-1629-0</w:t>
        </w:r>
      </w:hyperlink>
    </w:p>
    <w:bookmarkEnd w:id="67"/>
    <w:bookmarkStart w:id="69"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8">
        <w:r>
          <w:rPr>
            <w:rStyle w:val="Hyperlink"/>
          </w:rPr>
          <w:t xml:space="preserve">https://doi.org/10.1007/s00442-017-3879-3</w:t>
        </w:r>
      </w:hyperlink>
    </w:p>
    <w:bookmarkEnd w:id="69"/>
    <w:bookmarkStart w:id="71"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70">
        <w:r>
          <w:rPr>
            <w:rStyle w:val="Hyperlink"/>
          </w:rPr>
          <w:t xml:space="preserve">https://doi.org/10.1007/978-3-319-61669-8</w:t>
        </w:r>
      </w:hyperlink>
    </w:p>
    <w:bookmarkEnd w:id="71"/>
    <w:bookmarkStart w:id="73" w:name="ref-anderson-teixeira_forestgeo_2020"/>
    <w:p>
      <w:pPr>
        <w:pStyle w:val="Bibliography"/>
      </w:pPr>
      <w:r>
        <w:t xml:space="preserve">Anderson-Teixeira, K., Gonzalez, B., ForestGEO, McGregor, I., Gonzalez-Akre, E., RHelcoski, Herrmann, V., Kim, A. Y., Terrell, A., &amp; Camerondow35. (2020).</w:t>
      </w:r>
      <w:r>
        <w:t xml:space="preserve"> </w:t>
      </w:r>
      <w:r>
        <w:rPr>
          <w:iCs/>
          <w:i/>
        </w:rPr>
        <w:t xml:space="preserve">Forestgeo/</w:t>
      </w:r>
      <w:r>
        <w:rPr>
          <w:iCs/>
          <w:i/>
        </w:rPr>
        <w:t xml:space="preserve">Climate</w:t>
      </w:r>
      <w:r>
        <w:rPr>
          <w:iCs/>
          <w:i/>
        </w:rPr>
        <w:t xml:space="preserve">:</w:t>
      </w:r>
      <w:r>
        <w:rPr>
          <w:iCs/>
          <w:i/>
        </w:rPr>
        <w:t xml:space="preserve"> </w:t>
      </w:r>
      <w:r>
        <w:rPr>
          <w:iCs/>
          <w:i/>
        </w:rPr>
        <w:t xml:space="preserve">Initial</w:t>
      </w:r>
      <w:r>
        <w:rPr>
          <w:iCs/>
          <w:i/>
        </w:rPr>
        <w:t xml:space="preserve"> </w:t>
      </w:r>
      <w:r>
        <w:rPr>
          <w:iCs/>
          <w:i/>
        </w:rPr>
        <w:t xml:space="preserve">release</w:t>
      </w:r>
      <w:r>
        <w:t xml:space="preserve">. Zenodo.</w:t>
      </w:r>
      <w:r>
        <w:t xml:space="preserve"> </w:t>
      </w:r>
      <w:hyperlink r:id="rId72">
        <w:r>
          <w:rPr>
            <w:rStyle w:val="Hyperlink"/>
          </w:rPr>
          <w:t xml:space="preserve">https://doi.org/10.5281/ZENODO.3958215</w:t>
        </w:r>
      </w:hyperlink>
    </w:p>
    <w:bookmarkEnd w:id="73"/>
    <w:bookmarkStart w:id="75"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74">
        <w:r>
          <w:rPr>
            <w:rStyle w:val="Hyperlink"/>
          </w:rPr>
          <w:t xml:space="preserve">https://doi.org/10.1111/gcb.12712</w:t>
        </w:r>
      </w:hyperlink>
    </w:p>
    <w:bookmarkEnd w:id="75"/>
    <w:bookmarkStart w:id="77"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6">
        <w:r>
          <w:rPr>
            <w:rStyle w:val="Hyperlink"/>
          </w:rPr>
          <w:t xml:space="preserve">https://doi.org/10.1111/1365-2435.12470</w:t>
        </w:r>
      </w:hyperlink>
    </w:p>
    <w:bookmarkEnd w:id="77"/>
    <w:bookmarkStart w:id="79"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8">
        <w:r>
          <w:rPr>
            <w:rStyle w:val="Hyperlink"/>
          </w:rPr>
          <w:t xml:space="preserve">https://doi.org/10.5194/bg-17-4173-2020</w:t>
        </w:r>
      </w:hyperlink>
    </w:p>
    <w:bookmarkEnd w:id="79"/>
    <w:bookmarkStart w:id="81" w:name="ref-au_demographic_2020"/>
    <w:p>
      <w:pPr>
        <w:pStyle w:val="Bibliography"/>
      </w:pPr>
      <w:r>
        <w:t xml:space="preserve">Au, T. F., Maxwell, J. T., Novick, K. A., Robeson, S. M., Warner, S. M., Lockwood, B. R., Phillips, R. P., Harley, G. L., Telewski, F. W., Therrell, M. D., &amp; Pederson, N. (2020). Demographic shifts in eastern</w:t>
      </w:r>
      <w:r>
        <w:t xml:space="preserve"> </w:t>
      </w:r>
      <w:r>
        <w:t xml:space="preserve">US</w:t>
      </w:r>
      <w:r>
        <w:t xml:space="preserve"> </w:t>
      </w:r>
      <w:r>
        <w:t xml:space="preserve">forests increase the impact of late-season drought on forest growth.</w:t>
      </w:r>
      <w:r>
        <w:t xml:space="preserve"> </w:t>
      </w:r>
      <w:r>
        <w:rPr>
          <w:iCs/>
          <w:i/>
        </w:rPr>
        <w:t xml:space="preserve">Ecography</w:t>
      </w:r>
      <w:r>
        <w:t xml:space="preserve">,</w:t>
      </w:r>
      <w:r>
        <w:t xml:space="preserve"> </w:t>
      </w:r>
      <w:r>
        <w:rPr>
          <w:iCs/>
          <w:i/>
        </w:rPr>
        <w:t xml:space="preserve">43</w:t>
      </w:r>
      <w:r>
        <w:t xml:space="preserve">(10), 1475–1486.</w:t>
      </w:r>
      <w:r>
        <w:t xml:space="preserve"> </w:t>
      </w:r>
      <w:hyperlink r:id="rId80">
        <w:r>
          <w:rPr>
            <w:rStyle w:val="Hyperlink"/>
          </w:rPr>
          <w:t xml:space="preserve">https://doi.org/10.1111/ecog.05055</w:t>
        </w:r>
      </w:hyperlink>
    </w:p>
    <w:bookmarkEnd w:id="81"/>
    <w:bookmarkStart w:id="83"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82">
        <w:r>
          <w:rPr>
            <w:rStyle w:val="Hyperlink"/>
          </w:rPr>
          <w:t xml:space="preserve">https://doi.org/10.1002/ece3.1532</w:t>
        </w:r>
      </w:hyperlink>
    </w:p>
    <w:bookmarkEnd w:id="83"/>
    <w:bookmarkStart w:id="85"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84">
        <w:r>
          <w:rPr>
            <w:rStyle w:val="Hyperlink"/>
          </w:rPr>
          <w:t xml:space="preserve">https://doi.org/10.1016/j.quascirev.2018.07.009</w:t>
        </w:r>
      </w:hyperlink>
    </w:p>
    <w:bookmarkEnd w:id="85"/>
    <w:bookmarkStart w:id="87"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86">
        <w:r>
          <w:rPr>
            <w:rStyle w:val="Hyperlink"/>
          </w:rPr>
          <w:t xml:space="preserve">https://doi.org/10.1126/sciadv.aat4313</w:t>
        </w:r>
      </w:hyperlink>
    </w:p>
    <w:bookmarkEnd w:id="87"/>
    <w:bookmarkStart w:id="89"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8">
        <w:r>
          <w:rPr>
            <w:rStyle w:val="Hyperlink"/>
          </w:rPr>
          <w:t xml:space="preserve">https://doi.org/10.1111/gcb.12349</w:t>
        </w:r>
      </w:hyperlink>
    </w:p>
    <w:bookmarkEnd w:id="89"/>
    <w:bookmarkStart w:id="90" w:name="ref-banburymorgan_global_2021"/>
    <w:p>
      <w:pPr>
        <w:pStyle w:val="Bibliography"/>
      </w:pPr>
      <w:r>
        <w:t xml:space="preserve">Banbury Morgan, B., Herrmann, V., Kunert, N., Bond-Lamberty, B., Muller-Landau, H. C., &amp; Anderson-Teixeira, K. J. (2021). Global patterns of forest autotrophic carbon fluxes.</w:t>
      </w:r>
      <w:r>
        <w:t xml:space="preserve"> </w:t>
      </w:r>
      <w:r>
        <w:rPr>
          <w:iCs/>
          <w:i/>
        </w:rPr>
        <w:t xml:space="preserve">Global Change Biology</w:t>
      </w:r>
      <w:r>
        <w:t xml:space="preserve">,</w:t>
      </w:r>
      <w:r>
        <w:t xml:space="preserve"> </w:t>
      </w:r>
      <w:r>
        <w:rPr>
          <w:iCs/>
          <w:i/>
        </w:rPr>
        <w:t xml:space="preserve">in press</w:t>
      </w:r>
      <w:r>
        <w:t xml:space="preserve">.</w:t>
      </w:r>
    </w:p>
    <w:bookmarkEnd w:id="90"/>
    <w:bookmarkStart w:id="92" w:name="ref-beedlow_importance_2013"/>
    <w:p>
      <w:pPr>
        <w:pStyle w:val="Bibliography"/>
      </w:pPr>
      <w:r>
        <w:t xml:space="preserve">Beedlow, P. A., Lee, E. H., Tingey, D. T., Waschmann, R. S., &amp; Burdick, C. A. (2013). The importance of seasonal temperature and moisture patterns on growth of</w:t>
      </w:r>
      <w:r>
        <w:t xml:space="preserve"> </w:t>
      </w:r>
      <w:r>
        <w:t xml:space="preserve">Douglas</w:t>
      </w:r>
      <w:r>
        <w:t xml:space="preserve">-fir in western</w:t>
      </w:r>
      <w:r>
        <w:t xml:space="preserve"> </w:t>
      </w:r>
      <w:r>
        <w:t xml:space="preserve">Oregon</w:t>
      </w:r>
      <w:r>
        <w:t xml:space="preserve">,</w:t>
      </w:r>
      <w:r>
        <w:t xml:space="preserve"> </w:t>
      </w:r>
      <w:r>
        <w:t xml:space="preserve">USA</w:t>
      </w:r>
      <w:r>
        <w:t xml:space="preserve">.</w:t>
      </w:r>
      <w:r>
        <w:t xml:space="preserve"> </w:t>
      </w:r>
      <w:r>
        <w:rPr>
          <w:iCs/>
          <w:i/>
        </w:rPr>
        <w:t xml:space="preserve">Agricultural and Forest Meteorology</w:t>
      </w:r>
      <w:r>
        <w:t xml:space="preserve">,</w:t>
      </w:r>
      <w:r>
        <w:t xml:space="preserve"> </w:t>
      </w:r>
      <w:r>
        <w:rPr>
          <w:iCs/>
          <w:i/>
        </w:rPr>
        <w:t xml:space="preserve">169</w:t>
      </w:r>
      <w:r>
        <w:t xml:space="preserve">, 174–185.</w:t>
      </w:r>
      <w:r>
        <w:t xml:space="preserve"> </w:t>
      </w:r>
      <w:hyperlink r:id="rId91">
        <w:r>
          <w:rPr>
            <w:rStyle w:val="Hyperlink"/>
          </w:rPr>
          <w:t xml:space="preserve">https://doi.org/10.1016/j.agrformet.2012.10.010</w:t>
        </w:r>
      </w:hyperlink>
    </w:p>
    <w:bookmarkEnd w:id="92"/>
    <w:bookmarkStart w:id="94"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93">
        <w:r>
          <w:rPr>
            <w:rStyle w:val="Hyperlink"/>
          </w:rPr>
          <w:t xml:space="preserve">https://doi.org/10.1111/gcb.15491</w:t>
        </w:r>
      </w:hyperlink>
    </w:p>
    <w:bookmarkEnd w:id="94"/>
    <w:bookmarkStart w:id="96"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95">
        <w:r>
          <w:rPr>
            <w:rStyle w:val="Hyperlink"/>
          </w:rPr>
          <w:t xml:space="preserve">https://doi.org/10.1038/nplants.2015.139</w:t>
        </w:r>
      </w:hyperlink>
    </w:p>
    <w:bookmarkEnd w:id="96"/>
    <w:bookmarkStart w:id="98"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97">
        <w:r>
          <w:rPr>
            <w:rStyle w:val="Hyperlink"/>
          </w:rPr>
          <w:t xml:space="preserve">https://doi.org/10.3959/2008-6.1</w:t>
        </w:r>
      </w:hyperlink>
    </w:p>
    <w:bookmarkEnd w:id="98"/>
    <w:bookmarkStart w:id="100"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99">
        <w:r>
          <w:rPr>
            <w:rStyle w:val="Hyperlink"/>
          </w:rPr>
          <w:t xml:space="preserve">https://www.ncdc.noaa.gov/paleo-search/study/31995</w:t>
        </w:r>
      </w:hyperlink>
    </w:p>
    <w:bookmarkEnd w:id="100"/>
    <w:bookmarkStart w:id="102"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101">
        <w:r>
          <w:rPr>
            <w:rStyle w:val="Hyperlink"/>
          </w:rPr>
          <w:t xml:space="preserve">https://www.ncdc.noaa.gov/paleo-search/study/31996</w:t>
        </w:r>
      </w:hyperlink>
    </w:p>
    <w:bookmarkEnd w:id="102"/>
    <w:bookmarkStart w:id="104"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103">
        <w:r>
          <w:rPr>
            <w:rStyle w:val="Hyperlink"/>
          </w:rPr>
          <w:t xml:space="preserve">https://www.ncdc.noaa.gov/paleo-search/study/31997</w:t>
        </w:r>
      </w:hyperlink>
    </w:p>
    <w:bookmarkEnd w:id="104"/>
    <w:bookmarkStart w:id="106"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105">
        <w:r>
          <w:rPr>
            <w:rStyle w:val="Hyperlink"/>
          </w:rPr>
          <w:t xml:space="preserve">https://doi.org/10.1890/13-0010.1</w:t>
        </w:r>
      </w:hyperlink>
    </w:p>
    <w:bookmarkEnd w:id="106"/>
    <w:bookmarkStart w:id="108"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107">
        <w:r>
          <w:rPr>
            <w:rStyle w:val="Hyperlink"/>
          </w:rPr>
          <w:t xml:space="preserve">https://doi.org/10.1016/j.tplants.2012.08.005</w:t>
        </w:r>
      </w:hyperlink>
    </w:p>
    <w:bookmarkEnd w:id="108"/>
    <w:bookmarkStart w:id="110"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109">
        <w:r>
          <w:rPr>
            <w:rStyle w:val="Hyperlink"/>
          </w:rPr>
          <w:t xml:space="preserve">https://doi.org/10.1078/1125-7865-00017</w:t>
        </w:r>
      </w:hyperlink>
    </w:p>
    <w:bookmarkEnd w:id="110"/>
    <w:bookmarkStart w:id="112"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11">
        <w:r>
          <w:rPr>
            <w:rStyle w:val="Hyperlink"/>
          </w:rPr>
          <w:t xml:space="preserve">https://doi.org/10.1029/2011GB004143</w:t>
        </w:r>
      </w:hyperlink>
    </w:p>
    <w:bookmarkEnd w:id="112"/>
    <w:bookmarkStart w:id="114"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13">
        <w:r>
          <w:rPr>
            <w:rStyle w:val="Hyperlink"/>
          </w:rPr>
          <w:t xml:space="preserve">https://doi.org/10.1111/gcb.13410</w:t>
        </w:r>
      </w:hyperlink>
    </w:p>
    <w:bookmarkEnd w:id="114"/>
    <w:bookmarkStart w:id="116"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15">
        <w:r>
          <w:rPr>
            <w:rStyle w:val="Hyperlink"/>
          </w:rPr>
          <w:t xml:space="preserve">https://doi.org/10.1139/cjfr-2018-0206</w:t>
        </w:r>
      </w:hyperlink>
    </w:p>
    <w:bookmarkEnd w:id="116"/>
    <w:bookmarkStart w:id="118"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17">
        <w:r>
          <w:rPr>
            <w:rStyle w:val="Hyperlink"/>
          </w:rPr>
          <w:t xml:space="preserve">https://doi.org/10.1126/science.1197175</w:t>
        </w:r>
      </w:hyperlink>
    </w:p>
    <w:bookmarkEnd w:id="118"/>
    <w:bookmarkStart w:id="120"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19">
        <w:r>
          <w:rPr>
            <w:rStyle w:val="Hyperlink"/>
          </w:rPr>
          <w:t xml:space="preserve">https://doi.org/10.1111/gcb.13535</w:t>
        </w:r>
      </w:hyperlink>
    </w:p>
    <w:bookmarkEnd w:id="120"/>
    <w:bookmarkStart w:id="122" w:name="ref-carrer_individualistic_2011"/>
    <w:p>
      <w:pPr>
        <w:pStyle w:val="Bibliography"/>
      </w:pPr>
      <w:r>
        <w:t xml:space="preserve">Carrer, M. (2011). Individualistic and</w:t>
      </w:r>
      <w:r>
        <w:t xml:space="preserve"> </w:t>
      </w:r>
      <w:r>
        <w:t xml:space="preserve">Time</w:t>
      </w:r>
      <w:r>
        <w:t xml:space="preserve">-</w:t>
      </w:r>
      <w:r>
        <w:t xml:space="preserve">Varying Tree</w:t>
      </w:r>
      <w:r>
        <w:t xml:space="preserve">-</w:t>
      </w:r>
      <w:r>
        <w:t xml:space="preserve">Ring Growth</w:t>
      </w:r>
      <w:r>
        <w:t xml:space="preserve"> </w:t>
      </w:r>
      <w:r>
        <w:t xml:space="preserve">to</w:t>
      </w:r>
      <w:r>
        <w:t xml:space="preserve"> </w:t>
      </w:r>
      <w:r>
        <w:t xml:space="preserve">Climate Sensitivity</w:t>
      </w:r>
      <w:r>
        <w:t xml:space="preserve">.</w:t>
      </w:r>
      <w:r>
        <w:t xml:space="preserve"> </w:t>
      </w:r>
      <w:r>
        <w:rPr>
          <w:iCs/>
          <w:i/>
        </w:rPr>
        <w:t xml:space="preserve">PLOS ONE</w:t>
      </w:r>
      <w:r>
        <w:t xml:space="preserve">,</w:t>
      </w:r>
      <w:r>
        <w:t xml:space="preserve"> </w:t>
      </w:r>
      <w:r>
        <w:rPr>
          <w:iCs/>
          <w:i/>
        </w:rPr>
        <w:t xml:space="preserve">6</w:t>
      </w:r>
      <w:r>
        <w:t xml:space="preserve">(7), e22813.</w:t>
      </w:r>
      <w:r>
        <w:t xml:space="preserve"> </w:t>
      </w:r>
      <w:hyperlink r:id="rId121">
        <w:r>
          <w:rPr>
            <w:rStyle w:val="Hyperlink"/>
          </w:rPr>
          <w:t xml:space="preserve">https://doi.org/10.1371/journal.pone.0022813</w:t>
        </w:r>
      </w:hyperlink>
    </w:p>
    <w:bookmarkEnd w:id="122"/>
    <w:bookmarkStart w:id="124" w:name="ref-cavin_highest_2017"/>
    <w:p>
      <w:pPr>
        <w:pStyle w:val="Bibliography"/>
      </w:pPr>
      <w:r>
        <w:t xml:space="preserve">Cavin, L., &amp; Jump, A. S. (2017). Highest drought sensitivity and lowest resistance to growth suppression are found in the range core of the tree</w:t>
      </w:r>
      <w:r>
        <w:t xml:space="preserve"> </w:t>
      </w:r>
      <w:r>
        <w:t xml:space="preserve">Fagus</w:t>
      </w:r>
      <w:r>
        <w:t xml:space="preserve"> </w:t>
      </w:r>
      <w:r>
        <w:t xml:space="preserve">sylvatica</w:t>
      </w:r>
      <w:r>
        <w:t xml:space="preserve"> </w:t>
      </w:r>
      <w:r>
        <w:t xml:space="preserve">L</w:t>
      </w:r>
      <w:r>
        <w:t xml:space="preserve">. Not the equatorial range edge.</w:t>
      </w:r>
      <w:r>
        <w:t xml:space="preserve"> </w:t>
      </w:r>
      <w:r>
        <w:rPr>
          <w:iCs/>
          <w:i/>
        </w:rPr>
        <w:t xml:space="preserve">Global Change Biology</w:t>
      </w:r>
      <w:r>
        <w:t xml:space="preserve">,</w:t>
      </w:r>
      <w:r>
        <w:t xml:space="preserve"> </w:t>
      </w:r>
      <w:r>
        <w:rPr>
          <w:iCs/>
          <w:i/>
        </w:rPr>
        <w:t xml:space="preserve">23</w:t>
      </w:r>
      <w:r>
        <w:t xml:space="preserve">(1), 362–379.</w:t>
      </w:r>
      <w:r>
        <w:t xml:space="preserve"> </w:t>
      </w:r>
      <w:hyperlink r:id="rId123">
        <w:r>
          <w:rPr>
            <w:rStyle w:val="Hyperlink"/>
          </w:rPr>
          <w:t xml:space="preserve">https://doi.org/10.1111/gcb.13366</w:t>
        </w:r>
      </w:hyperlink>
    </w:p>
    <w:bookmarkEnd w:id="124"/>
    <w:bookmarkStart w:id="126" w:name="ref-charney_observed_2016"/>
    <w:p>
      <w:pPr>
        <w:pStyle w:val="Bibliography"/>
      </w:pPr>
      <w:r>
        <w:t xml:space="preserve">Charney, N. D., Babst, F., Poulter, B., Record, S., Trouet, V. M., Frank, D., Enquist, B. J., &amp; Evans, M. E. K. (2016). Observed forest sensitivity to climate implies large changes in 21st century</w:t>
      </w:r>
      <w:r>
        <w:t xml:space="preserve"> </w:t>
      </w:r>
      <w:r>
        <w:t xml:space="preserve">North American</w:t>
      </w:r>
      <w:r>
        <w:t xml:space="preserve"> </w:t>
      </w:r>
      <w:r>
        <w:t xml:space="preserve">forest growth.</w:t>
      </w:r>
      <w:r>
        <w:t xml:space="preserve"> </w:t>
      </w:r>
      <w:r>
        <w:rPr>
          <w:iCs/>
          <w:i/>
        </w:rPr>
        <w:t xml:space="preserve">Ecology Letters</w:t>
      </w:r>
      <w:r>
        <w:t xml:space="preserve">,</w:t>
      </w:r>
      <w:r>
        <w:t xml:space="preserve"> </w:t>
      </w:r>
      <w:r>
        <w:rPr>
          <w:iCs/>
          <w:i/>
        </w:rPr>
        <w:t xml:space="preserve">19</w:t>
      </w:r>
      <w:r>
        <w:t xml:space="preserve">(9), 1119–1128.</w:t>
      </w:r>
      <w:r>
        <w:t xml:space="preserve"> </w:t>
      </w:r>
      <w:hyperlink r:id="rId125">
        <w:r>
          <w:rPr>
            <w:rStyle w:val="Hyperlink"/>
          </w:rPr>
          <w:t xml:space="preserve">https://doi.org/10.1111/ele.12650</w:t>
        </w:r>
      </w:hyperlink>
    </w:p>
    <w:bookmarkEnd w:id="126"/>
    <w:bookmarkStart w:id="128"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27">
        <w:r>
          <w:rPr>
            <w:rStyle w:val="Hyperlink"/>
          </w:rPr>
          <w:t xml:space="preserve">https://doi.org/10.1016/S0378-1127(98)00242-4</w:t>
        </w:r>
      </w:hyperlink>
    </w:p>
    <w:bookmarkEnd w:id="128"/>
    <w:bookmarkStart w:id="130" w:name="ref-cook_treering_1982"/>
    <w:p>
      <w:pPr>
        <w:pStyle w:val="Bibliography"/>
      </w:pPr>
      <w:r>
        <w:t xml:space="preserve">Cook, E. R. (1982). Tree-ring data networks: comment. In M. K. Hughes, P. M. Kelly, J. R. Pilcher, &amp; V. C. LaMarche Jr. (Eds.),</w:t>
      </w:r>
      <w:r>
        <w:t xml:space="preserve"> </w:t>
      </w:r>
      <w:r>
        <w:rPr>
          <w:iCs/>
          <w:i/>
        </w:rPr>
        <w:t xml:space="preserve">Climate from</w:t>
      </w:r>
      <w:r>
        <w:rPr>
          <w:iCs/>
          <w:i/>
        </w:rPr>
        <w:t xml:space="preserve"> </w:t>
      </w:r>
      <w:r>
        <w:rPr>
          <w:iCs/>
          <w:i/>
        </w:rPr>
        <w:t xml:space="preserve">Tree Rings</w:t>
      </w:r>
      <w:r>
        <w:t xml:space="preserve"> </w:t>
      </w:r>
      <w:r>
        <w:t xml:space="preserve">(First, pp. 1–31).</w:t>
      </w:r>
      <w:r>
        <w:t xml:space="preserve"> </w:t>
      </w:r>
      <w:r>
        <w:t xml:space="preserve">Cambridge University Press</w:t>
      </w:r>
      <w:r>
        <w:t xml:space="preserve">.</w:t>
      </w:r>
      <w:r>
        <w:t xml:space="preserve"> </w:t>
      </w:r>
      <w:hyperlink r:id="rId129">
        <w:r>
          <w:rPr>
            <w:rStyle w:val="Hyperlink"/>
          </w:rPr>
          <w:t xml:space="preserve">https://doi.org/10.1017/CBO9780511760006.002</w:t>
        </w:r>
      </w:hyperlink>
    </w:p>
    <w:bookmarkEnd w:id="130"/>
    <w:bookmarkStart w:id="132" w:name="ref-cook_climate_1989"/>
    <w:p>
      <w:pPr>
        <w:pStyle w:val="Bibliography"/>
      </w:pPr>
      <w:r>
        <w:t xml:space="preserve">Cook, Edward R., &amp; Johnson, ArthurH. (1989). Climate change and forest decline:</w:t>
      </w:r>
      <w:r>
        <w:t xml:space="preserve"> </w:t>
      </w:r>
      <w:r>
        <w:t xml:space="preserve">A</w:t>
      </w:r>
      <w:r>
        <w:t xml:space="preserve"> </w:t>
      </w:r>
      <w:r>
        <w:t xml:space="preserve">review of the red spruce case.</w:t>
      </w:r>
      <w:r>
        <w:t xml:space="preserve"> </w:t>
      </w:r>
      <w:r>
        <w:rPr>
          <w:iCs/>
          <w:i/>
        </w:rPr>
        <w:t xml:space="preserve">Water, Air, and Soil Pollution</w:t>
      </w:r>
      <w:r>
        <w:t xml:space="preserve">,</w:t>
      </w:r>
      <w:r>
        <w:t xml:space="preserve"> </w:t>
      </w:r>
      <w:r>
        <w:rPr>
          <w:iCs/>
          <w:i/>
        </w:rPr>
        <w:t xml:space="preserve">48</w:t>
      </w:r>
      <w:r>
        <w:t xml:space="preserve">(1-2).</w:t>
      </w:r>
      <w:r>
        <w:t xml:space="preserve"> </w:t>
      </w:r>
      <w:hyperlink r:id="rId131">
        <w:r>
          <w:rPr>
            <w:rStyle w:val="Hyperlink"/>
          </w:rPr>
          <w:t xml:space="preserve">https://doi.org/10.1007/BF00282374</w:t>
        </w:r>
      </w:hyperlink>
    </w:p>
    <w:bookmarkEnd w:id="132"/>
    <w:bookmarkStart w:id="134" w:name="ref-cook_calculating_1997"/>
    <w:p>
      <w:pPr>
        <w:pStyle w:val="Bibliography"/>
      </w:pPr>
      <w:r>
        <w:t xml:space="preserve">Cook, Edward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33">
        <w:r>
          <w:rPr>
            <w:rStyle w:val="Hyperlink"/>
          </w:rPr>
          <w:t xml:space="preserve">https://doi.org/10.1177/095968369700700314</w:t>
        </w:r>
      </w:hyperlink>
    </w:p>
    <w:bookmarkEnd w:id="134"/>
    <w:bookmarkStart w:id="136"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35">
        <w:r>
          <w:rPr>
            <w:rStyle w:val="Hyperlink"/>
          </w:rPr>
          <w:t xml:space="preserve">https://doi.org/10.1016/j.biocon.2020.108907</w:t>
        </w:r>
      </w:hyperlink>
    </w:p>
    <w:bookmarkEnd w:id="136"/>
    <w:bookmarkStart w:id="138" w:name="ref-davis_forest_2009"/>
    <w:p>
      <w:pPr>
        <w:pStyle w:val="Bibliography"/>
      </w:pPr>
      <w:r>
        <w:t xml:space="preserve">Davis, S. C., Hessl, A. E., Scott, C. J., Adams, M. B., &amp; Thomas, R. B. (2009). Forest carbon sequestration changes in response to timber harvest.</w:t>
      </w:r>
      <w:r>
        <w:t xml:space="preserve"> </w:t>
      </w:r>
      <w:r>
        <w:rPr>
          <w:iCs/>
          <w:i/>
        </w:rPr>
        <w:t xml:space="preserve">Forest Ecology and Management</w:t>
      </w:r>
      <w:r>
        <w:t xml:space="preserve">,</w:t>
      </w:r>
      <w:r>
        <w:t xml:space="preserve"> </w:t>
      </w:r>
      <w:r>
        <w:rPr>
          <w:iCs/>
          <w:i/>
        </w:rPr>
        <w:t xml:space="preserve">258</w:t>
      </w:r>
      <w:r>
        <w:t xml:space="preserve">(9), 2101–2109.</w:t>
      </w:r>
      <w:r>
        <w:t xml:space="preserve"> </w:t>
      </w:r>
      <w:hyperlink r:id="rId137">
        <w:r>
          <w:rPr>
            <w:rStyle w:val="Hyperlink"/>
          </w:rPr>
          <w:t xml:space="preserve">https://doi.org/10.1016/j.foreco.2009.08.009</w:t>
        </w:r>
      </w:hyperlink>
    </w:p>
    <w:bookmarkEnd w:id="138"/>
    <w:bookmarkStart w:id="140"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39">
        <w:r>
          <w:rPr>
            <w:rStyle w:val="Hyperlink"/>
          </w:rPr>
          <w:t xml:space="preserve">https://doi.org/10.1111/1365-2745.13569</w:t>
        </w:r>
      </w:hyperlink>
    </w:p>
    <w:bookmarkEnd w:id="140"/>
    <w:bookmarkStart w:id="142"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41">
        <w:r>
          <w:rPr>
            <w:rStyle w:val="Hyperlink"/>
          </w:rPr>
          <w:t xml:space="preserve">https://doi.org/10.1038/s41467-020-14300-5</w:t>
        </w:r>
      </w:hyperlink>
    </w:p>
    <w:bookmarkEnd w:id="142"/>
    <w:bookmarkStart w:id="144"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43">
        <w:r>
          <w:rPr>
            <w:rStyle w:val="Hyperlink"/>
          </w:rPr>
          <w:t xml:space="preserve">https://doi.org/10.1002/ecs2.1454</w:t>
        </w:r>
      </w:hyperlink>
    </w:p>
    <w:bookmarkEnd w:id="144"/>
    <w:bookmarkStart w:id="146"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45">
        <w:r>
          <w:rPr>
            <w:rStyle w:val="Hyperlink"/>
          </w:rPr>
          <w:t xml:space="preserve">https://doi.org/10.1016/j.foreco.2008.10.014</w:t>
        </w:r>
      </w:hyperlink>
    </w:p>
    <w:bookmarkEnd w:id="146"/>
    <w:bookmarkStart w:id="148" w:name="ref-enquist_global_2002"/>
    <w:p>
      <w:pPr>
        <w:pStyle w:val="Bibliography"/>
      </w:pPr>
      <w:r>
        <w:t xml:space="preserve">Enquist, B. J., &amp; Niklas, K. J. (2002). Global</w:t>
      </w:r>
      <w:r>
        <w:t xml:space="preserve"> </w:t>
      </w:r>
      <w:r>
        <w:t xml:space="preserve">Allocation Rules</w:t>
      </w:r>
      <w:r>
        <w:t xml:space="preserve"> </w:t>
      </w:r>
      <w:r>
        <w:t xml:space="preserve">for</w:t>
      </w:r>
      <w:r>
        <w:t xml:space="preserve"> </w:t>
      </w:r>
      <w:r>
        <w:t xml:space="preserve">Patterns</w:t>
      </w:r>
      <w:r>
        <w:t xml:space="preserve"> </w:t>
      </w:r>
      <w:r>
        <w:t xml:space="preserve">of</w:t>
      </w:r>
      <w:r>
        <w:t xml:space="preserve"> </w:t>
      </w:r>
      <w:r>
        <w:t xml:space="preserve">Biomass Partitioning</w:t>
      </w:r>
      <w:r>
        <w:t xml:space="preserve"> </w:t>
      </w:r>
      <w:r>
        <w:t xml:space="preserve">in</w:t>
      </w:r>
      <w:r>
        <w:t xml:space="preserve"> </w:t>
      </w:r>
      <w:r>
        <w:t xml:space="preserve">Seed Plants</w:t>
      </w:r>
      <w:r>
        <w:t xml:space="preserve">.</w:t>
      </w:r>
      <w:r>
        <w:t xml:space="preserve"> </w:t>
      </w:r>
      <w:r>
        <w:rPr>
          <w:iCs/>
          <w:i/>
        </w:rPr>
        <w:t xml:space="preserve">Science</w:t>
      </w:r>
      <w:r>
        <w:t xml:space="preserve">,</w:t>
      </w:r>
      <w:r>
        <w:t xml:space="preserve"> </w:t>
      </w:r>
      <w:r>
        <w:rPr>
          <w:iCs/>
          <w:i/>
        </w:rPr>
        <w:t xml:space="preserve">295</w:t>
      </w:r>
      <w:r>
        <w:t xml:space="preserve">(5559), 1517–1520.</w:t>
      </w:r>
      <w:r>
        <w:t xml:space="preserve"> </w:t>
      </w:r>
      <w:hyperlink r:id="rId147">
        <w:r>
          <w:rPr>
            <w:rStyle w:val="Hyperlink"/>
          </w:rPr>
          <w:t xml:space="preserve">https://doi.org/10.1126/science.1066360</w:t>
        </w:r>
      </w:hyperlink>
    </w:p>
    <w:bookmarkEnd w:id="148"/>
    <w:bookmarkStart w:id="150" w:name="ref-esper_divergence_2009"/>
    <w:p>
      <w:pPr>
        <w:pStyle w:val="Bibliography"/>
      </w:pPr>
      <w:r>
        <w:t xml:space="preserve">Esper, J., &amp; Frank, D. (2009). Divergence pitfalls in tree-ring research.</w:t>
      </w:r>
      <w:r>
        <w:t xml:space="preserve"> </w:t>
      </w:r>
      <w:r>
        <w:rPr>
          <w:iCs/>
          <w:i/>
        </w:rPr>
        <w:t xml:space="preserve">Climatic Change</w:t>
      </w:r>
      <w:r>
        <w:t xml:space="preserve">,</w:t>
      </w:r>
      <w:r>
        <w:t xml:space="preserve"> </w:t>
      </w:r>
      <w:r>
        <w:rPr>
          <w:iCs/>
          <w:i/>
        </w:rPr>
        <w:t xml:space="preserve">94</w:t>
      </w:r>
      <w:r>
        <w:t xml:space="preserve">(3-4), 261–266.</w:t>
      </w:r>
      <w:r>
        <w:t xml:space="preserve"> </w:t>
      </w:r>
      <w:hyperlink r:id="rId149">
        <w:r>
          <w:rPr>
            <w:rStyle w:val="Hyperlink"/>
          </w:rPr>
          <w:t xml:space="preserve">https://doi.org/10.1007/s10584-009-9594-2</w:t>
        </w:r>
      </w:hyperlink>
    </w:p>
    <w:bookmarkEnd w:id="150"/>
    <w:bookmarkStart w:id="152"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51">
        <w:r>
          <w:rPr>
            <w:rStyle w:val="Hyperlink"/>
          </w:rPr>
          <w:t xml:space="preserve">https://doi.org/10.1002/ecs2.1889</w:t>
        </w:r>
      </w:hyperlink>
    </w:p>
    <w:bookmarkEnd w:id="152"/>
    <w:bookmarkStart w:id="154"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53">
        <w:r>
          <w:rPr>
            <w:rStyle w:val="Hyperlink"/>
          </w:rPr>
          <w:t xml:space="preserve">https://doi.org/10.1002/ecm.1423</w:t>
        </w:r>
      </w:hyperlink>
    </w:p>
    <w:bookmarkEnd w:id="154"/>
    <w:bookmarkStart w:id="156"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55">
        <w:r>
          <w:rPr>
            <w:rStyle w:val="Hyperlink"/>
          </w:rPr>
          <w:t xml:space="preserve">https://doi.org/10.1016/j.foreco.2020.118717</w:t>
        </w:r>
      </w:hyperlink>
    </w:p>
    <w:bookmarkEnd w:id="156"/>
    <w:bookmarkStart w:id="158" w:name="ref-foster_predicting_2016"/>
    <w:p>
      <w:pPr>
        <w:pStyle w:val="Bibliography"/>
      </w:pPr>
      <w:r>
        <w:t xml:space="preserve">Foster, J. R., Finley, A. O., D’Amato, A. W., Bradford, J. B., &amp; Banerjee, S. (2016). Predicting tree biomass growth in the temperate</w:t>
      </w:r>
      <w:r>
        <w:t xml:space="preserve">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57">
        <w:r>
          <w:rPr>
            <w:rStyle w:val="Hyperlink"/>
          </w:rPr>
          <w:t xml:space="preserve">https://doi.org/10.1111/gcb.13208</w:t>
        </w:r>
      </w:hyperlink>
    </w:p>
    <w:bookmarkEnd w:id="158"/>
    <w:bookmarkStart w:id="159"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59"/>
    <w:bookmarkStart w:id="161"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60">
        <w:r>
          <w:rPr>
            <w:rStyle w:val="Hyperlink"/>
          </w:rPr>
          <w:t xml:space="preserve">https://doi.org/10.1016/S0065-2504(08)60158-0</w:t>
        </w:r>
      </w:hyperlink>
    </w:p>
    <w:bookmarkEnd w:id="161"/>
    <w:bookmarkStart w:id="163"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62">
        <w:r>
          <w:rPr>
            <w:rStyle w:val="Hyperlink"/>
          </w:rPr>
          <w:t xml:space="preserve">https://doi.org/10.1002/ecs2.1847</w:t>
        </w:r>
      </w:hyperlink>
    </w:p>
    <w:bookmarkEnd w:id="163"/>
    <w:bookmarkStart w:id="165"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64">
        <w:r>
          <w:rPr>
            <w:rStyle w:val="Hyperlink"/>
          </w:rPr>
          <w:t xml:space="preserve">https://doi.org/10.1007/s10584-020-02868-2</w:t>
        </w:r>
      </w:hyperlink>
    </w:p>
    <w:bookmarkEnd w:id="165"/>
    <w:bookmarkStart w:id="167"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66">
        <w:r>
          <w:rPr>
            <w:rStyle w:val="Hyperlink"/>
          </w:rPr>
          <w:t xml:space="preserve">https://doi.org/10.1007/s10021-020-00501-y</w:t>
        </w:r>
      </w:hyperlink>
    </w:p>
    <w:bookmarkEnd w:id="167"/>
    <w:bookmarkStart w:id="169"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68">
        <w:r>
          <w:rPr>
            <w:rStyle w:val="Hyperlink"/>
          </w:rPr>
          <w:t xml:space="preserve">https://doi.org/10.1073/pnas.1610156113</w:t>
        </w:r>
      </w:hyperlink>
    </w:p>
    <w:bookmarkEnd w:id="169"/>
    <w:bookmarkStart w:id="170"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70"/>
    <w:bookmarkStart w:id="172"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71">
        <w:r>
          <w:rPr>
            <w:rStyle w:val="Hyperlink"/>
          </w:rPr>
          <w:t xml:space="preserve">https://doi.org/10.2307/1937545</w:t>
        </w:r>
      </w:hyperlink>
    </w:p>
    <w:bookmarkEnd w:id="172"/>
    <w:bookmarkStart w:id="174"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73">
        <w:r>
          <w:rPr>
            <w:rStyle w:val="Hyperlink"/>
          </w:rPr>
          <w:t xml:space="preserve">https://doi.org/10.1111/gcb.12955</w:t>
        </w:r>
      </w:hyperlink>
    </w:p>
    <w:bookmarkEnd w:id="174"/>
    <w:bookmarkStart w:id="176"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75">
        <w:r>
          <w:rPr>
            <w:rStyle w:val="Hyperlink"/>
          </w:rPr>
          <w:t xml:space="preserve">https://doi.org/10.1007/s10342-016-0982-7</w:t>
        </w:r>
      </w:hyperlink>
    </w:p>
    <w:bookmarkEnd w:id="176"/>
    <w:bookmarkStart w:id="178"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77">
        <w:r>
          <w:rPr>
            <w:rStyle w:val="Hyperlink"/>
          </w:rPr>
          <w:t xml:space="preserve">https://doi.org/10.1111/gcb.14561</w:t>
        </w:r>
      </w:hyperlink>
    </w:p>
    <w:bookmarkEnd w:id="178"/>
    <w:bookmarkStart w:id="180"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79">
        <w:r>
          <w:rPr>
            <w:rStyle w:val="Hyperlink"/>
          </w:rPr>
          <w:t xml:space="preserve">https://doi.org/10.1002/joc.3711</w:t>
        </w:r>
      </w:hyperlink>
    </w:p>
    <w:bookmarkEnd w:id="180"/>
    <w:bookmarkStart w:id="182"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81">
        <w:r>
          <w:rPr>
            <w:rStyle w:val="Hyperlink"/>
          </w:rPr>
          <w:t xml:space="preserve">https://doi.org/10.1038/s41597-020-0453-3</w:t>
        </w:r>
      </w:hyperlink>
    </w:p>
    <w:bookmarkEnd w:id="182"/>
    <w:bookmarkStart w:id="184"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83">
        <w:r>
          <w:rPr>
            <w:rStyle w:val="Hyperlink"/>
          </w:rPr>
          <w:t xml:space="preserve">https://doi.org/10.1111/nph.15906</w:t>
        </w:r>
      </w:hyperlink>
    </w:p>
    <w:bookmarkEnd w:id="184"/>
    <w:bookmarkStart w:id="186"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85">
        <w:r>
          <w:rPr>
            <w:rStyle w:val="Hyperlink"/>
          </w:rPr>
          <w:t xml:space="preserve">https://doi.org/10.1029/2018JG004573</w:t>
        </w:r>
      </w:hyperlink>
    </w:p>
    <w:bookmarkEnd w:id="186"/>
    <w:bookmarkStart w:id="188" w:name="ref-huckaby_identification_2003"/>
    <w:p>
      <w:pPr>
        <w:pStyle w:val="Bibliography"/>
      </w:pPr>
      <w:r>
        <w:t xml:space="preserve">Huckaby, L. S., Kaufmann, M. R., Fornwalt, P. J., Stoker, J. M., &amp; Dennis, C. (2003). Identification and ecology of old ponderosa pine trees in the</w:t>
      </w:r>
      <w:r>
        <w:t xml:space="preserve"> </w:t>
      </w:r>
      <w:r>
        <w:t xml:space="preserve">Colorado Front Range</w:t>
      </w:r>
      <w:r>
        <w:t xml:space="preserve">.</w:t>
      </w:r>
      <w:r>
        <w:t xml:space="preserve"> </w:t>
      </w:r>
      <w:r>
        <w:rPr>
          <w:iCs/>
          <w:i/>
        </w:rPr>
        <w:t xml:space="preserve">Gen. Tech. Rep. RMRS-GTR-110. Fort Collins, CO: U.S. Department of Agriculture, Forest Service, Rocky Mountain Research Station. 47 p.</w:t>
      </w:r>
      <w:r>
        <w:t xml:space="preserve">,</w:t>
      </w:r>
      <w:r>
        <w:t xml:space="preserve"> </w:t>
      </w:r>
      <w:r>
        <w:rPr>
          <w:iCs/>
          <w:i/>
        </w:rPr>
        <w:t xml:space="preserve">110</w:t>
      </w:r>
      <w:r>
        <w:t xml:space="preserve">.</w:t>
      </w:r>
      <w:r>
        <w:t xml:space="preserve"> </w:t>
      </w:r>
      <w:hyperlink r:id="rId187">
        <w:r>
          <w:rPr>
            <w:rStyle w:val="Hyperlink"/>
          </w:rPr>
          <w:t xml:space="preserve">https://doi.org/10.2737/RMRS-GTR-110</w:t>
        </w:r>
      </w:hyperlink>
    </w:p>
    <w:bookmarkEnd w:id="188"/>
    <w:bookmarkStart w:id="190" w:name="ref-humphrey_soil_2021"/>
    <w:p>
      <w:pPr>
        <w:pStyle w:val="Bibliography"/>
      </w:pPr>
      <w:r>
        <w:t xml:space="preserve">Humphrey, V., Berg, A., Ciais, P., Gentine, P., Jung, M., Reichstein, M., Seneviratne, S. I., &amp; Frankenberg, C. (2021). Soil moisture</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89">
        <w:r>
          <w:rPr>
            <w:rStyle w:val="Hyperlink"/>
          </w:rPr>
          <w:t xml:space="preserve">https://doi.org/10.1038/s41586-021-03325-5</w:t>
        </w:r>
      </w:hyperlink>
    </w:p>
    <w:bookmarkEnd w:id="190"/>
    <w:bookmarkStart w:id="192" w:name="ref-kaspar_speciesspecific_2021"/>
    <w:p>
      <w:pPr>
        <w:pStyle w:val="Bibliography"/>
      </w:pPr>
      <w:r>
        <w:t xml:space="preserve">Kašpar, J., Tumajer, J., Šamonil, P., &amp; Vašíčková, I. (2021). Species-specific climate</w:t>
      </w:r>
      <w:r>
        <w:t xml:space="preserve">growth interactions determine tree species dynamics in mixed</w:t>
      </w:r>
      <w:r>
        <w:t xml:space="preserve"> </w:t>
      </w:r>
      <w:r>
        <w:t xml:space="preserve">Central European</w:t>
      </w:r>
      <w:r>
        <w:t xml:space="preserve"> </w:t>
      </w:r>
      <w:r>
        <w:t xml:space="preserve">mountain forests.</w:t>
      </w:r>
      <w:r>
        <w:t xml:space="preserve"> </w:t>
      </w:r>
      <w:r>
        <w:rPr>
          <w:iCs/>
          <w:i/>
        </w:rPr>
        <w:t xml:space="preserve">Environmental Research Letters</w:t>
      </w:r>
      <w:r>
        <w:t xml:space="preserve">,</w:t>
      </w:r>
      <w:r>
        <w:t xml:space="preserve"> </w:t>
      </w:r>
      <w:r>
        <w:rPr>
          <w:iCs/>
          <w:i/>
        </w:rPr>
        <w:t xml:space="preserve">16</w:t>
      </w:r>
      <w:r>
        <w:t xml:space="preserve">(3), 034039.</w:t>
      </w:r>
      <w:r>
        <w:t xml:space="preserve"> </w:t>
      </w:r>
      <w:hyperlink r:id="rId191">
        <w:r>
          <w:rPr>
            <w:rStyle w:val="Hyperlink"/>
          </w:rPr>
          <w:t xml:space="preserve">https://doi.org/10.1088/1748-9326/abd8fb</w:t>
        </w:r>
      </w:hyperlink>
    </w:p>
    <w:bookmarkEnd w:id="192"/>
    <w:bookmarkStart w:id="194"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93">
        <w:r>
          <w:rPr>
            <w:rStyle w:val="Hyperlink"/>
          </w:rPr>
          <w:t xml:space="preserve">https://doi.org/10.1038/s41467-018-07800-y</w:t>
        </w:r>
      </w:hyperlink>
    </w:p>
    <w:bookmarkEnd w:id="194"/>
    <w:bookmarkStart w:id="196"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95">
        <w:r>
          <w:rPr>
            <w:rStyle w:val="Hyperlink"/>
          </w:rPr>
          <w:t xml:space="preserve">https://doi.org/10.1093/treephys/tpaa091</w:t>
        </w:r>
      </w:hyperlink>
    </w:p>
    <w:bookmarkEnd w:id="196"/>
    <w:bookmarkStart w:id="198"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97">
        <w:r>
          <w:rPr>
            <w:rStyle w:val="Hyperlink"/>
          </w:rPr>
          <w:t xml:space="preserve">https://doi.org/10.1111/nph.15668</w:t>
        </w:r>
      </w:hyperlink>
    </w:p>
    <w:bookmarkEnd w:id="198"/>
    <w:bookmarkStart w:id="200"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99">
        <w:r>
          <w:rPr>
            <w:rStyle w:val="Hyperlink"/>
          </w:rPr>
          <w:t xml:space="preserve">https://doi.org/10.1038/srep46158</w:t>
        </w:r>
      </w:hyperlink>
    </w:p>
    <w:bookmarkEnd w:id="200"/>
    <w:bookmarkStart w:id="202" w:name="ref-ljungqvist_assessing_2020"/>
    <w:p>
      <w:pPr>
        <w:pStyle w:val="Bibliography"/>
      </w:pPr>
      <w:r>
        <w:t xml:space="preserve">Ljungqvist, F. C., Thejll, P., Björklund, J., Gunnarson, B. E., Piermattei, A., Rydval, M., Seftigen, K., Støve, B., &amp; Büntgen, U. (2020). Assessing non-linearity in</w:t>
      </w:r>
      <w:r>
        <w:t xml:space="preserve"> </w:t>
      </w:r>
      <w:r>
        <w:t xml:space="preserve">European</w:t>
      </w:r>
      <w:r>
        <w:t xml:space="preserve"> </w:t>
      </w:r>
      <w:r>
        <w:t xml:space="preserve">temperature-sensitive tree-ring data.</w:t>
      </w:r>
      <w:r>
        <w:t xml:space="preserve"> </w:t>
      </w:r>
      <w:r>
        <w:rPr>
          <w:iCs/>
          <w:i/>
        </w:rPr>
        <w:t xml:space="preserve">Dendrochronologia</w:t>
      </w:r>
      <w:r>
        <w:t xml:space="preserve">,</w:t>
      </w:r>
      <w:r>
        <w:t xml:space="preserve"> </w:t>
      </w:r>
      <w:r>
        <w:rPr>
          <w:iCs/>
          <w:i/>
        </w:rPr>
        <w:t xml:space="preserve">59</w:t>
      </w:r>
      <w:r>
        <w:t xml:space="preserve">, 125652.</w:t>
      </w:r>
      <w:r>
        <w:t xml:space="preserve"> </w:t>
      </w:r>
      <w:hyperlink r:id="rId201">
        <w:r>
          <w:rPr>
            <w:rStyle w:val="Hyperlink"/>
          </w:rPr>
          <w:t xml:space="preserve">https://doi.org/10.1016/j.dendro.2019.125652</w:t>
        </w:r>
      </w:hyperlink>
    </w:p>
    <w:bookmarkEnd w:id="202"/>
    <w:bookmarkStart w:id="204"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203">
        <w:r>
          <w:rPr>
            <w:rStyle w:val="Hyperlink"/>
          </w:rPr>
          <w:t xml:space="preserve">https://doi.org/10.1139/x89-102</w:t>
        </w:r>
      </w:hyperlink>
    </w:p>
    <w:bookmarkEnd w:id="204"/>
    <w:bookmarkStart w:id="206"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205">
        <w:r>
          <w:rPr>
            <w:rStyle w:val="Hyperlink"/>
          </w:rPr>
          <w:t xml:space="preserve">https://doi.org/10.2307/1941026</w:t>
        </w:r>
      </w:hyperlink>
    </w:p>
    <w:bookmarkEnd w:id="206"/>
    <w:bookmarkStart w:id="208"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207">
        <w:r>
          <w:rPr>
            <w:rStyle w:val="Hyperlink"/>
          </w:rPr>
          <w:t xml:space="preserve">https://doi.org/10.1111/gcb.15548</w:t>
        </w:r>
      </w:hyperlink>
    </w:p>
    <w:bookmarkEnd w:id="208"/>
    <w:bookmarkStart w:id="210"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209">
        <w:r>
          <w:rPr>
            <w:rStyle w:val="Hyperlink"/>
          </w:rPr>
          <w:t xml:space="preserve">https://doi.org/10.1016/j.foreco.2009.03.009</w:t>
        </w:r>
      </w:hyperlink>
    </w:p>
    <w:bookmarkEnd w:id="210"/>
    <w:bookmarkStart w:id="212"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211">
        <w:r>
          <w:rPr>
            <w:rStyle w:val="Hyperlink"/>
          </w:rPr>
          <w:t xml:space="preserve">https://doi.org/10.1111/gcb.14273</w:t>
        </w:r>
      </w:hyperlink>
    </w:p>
    <w:bookmarkEnd w:id="212"/>
    <w:bookmarkStart w:id="214"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213">
        <w:r>
          <w:rPr>
            <w:rStyle w:val="Hyperlink"/>
          </w:rPr>
          <w:t xml:space="preserve">https://doi.org/10.1029/2019JG005298</w:t>
        </w:r>
      </w:hyperlink>
    </w:p>
    <w:bookmarkEnd w:id="214"/>
    <w:bookmarkStart w:id="216"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215">
        <w:r>
          <w:rPr>
            <w:rStyle w:val="Hyperlink"/>
          </w:rPr>
          <w:t xml:space="preserve">https://doi.org/10.1007/s10584-016-1720-3</w:t>
        </w:r>
      </w:hyperlink>
    </w:p>
    <w:bookmarkEnd w:id="216"/>
    <w:bookmarkStart w:id="218"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217">
        <w:r>
          <w:rPr>
            <w:rStyle w:val="Hyperlink"/>
          </w:rPr>
          <w:t xml:space="preserve">https://doi.org/10.1126/science.aaz9463</w:t>
        </w:r>
      </w:hyperlink>
    </w:p>
    <w:bookmarkEnd w:id="218"/>
    <w:bookmarkStart w:id="220" w:name="ref-mcgregor_tree_2020"/>
    <w:p>
      <w:pPr>
        <w:pStyle w:val="Bibliography"/>
      </w:pPr>
      <w:r>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w:t>
      </w:r>
      <w:r>
        <w:t xml:space="preserve"> </w:t>
      </w:r>
      <w:r>
        <w:rPr>
          <w:iCs/>
          <w:i/>
        </w:rPr>
        <w:t xml:space="preserve">New Phytologist</w:t>
      </w:r>
      <w:r>
        <w:t xml:space="preserve">.</w:t>
      </w:r>
      <w:r>
        <w:t xml:space="preserve"> </w:t>
      </w:r>
      <w:hyperlink r:id="rId219">
        <w:r>
          <w:rPr>
            <w:rStyle w:val="Hyperlink"/>
          </w:rPr>
          <w:t xml:space="preserve">https://doi.org/10.1111/nph.16996</w:t>
        </w:r>
      </w:hyperlink>
    </w:p>
    <w:bookmarkEnd w:id="220"/>
    <w:bookmarkStart w:id="222"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221">
        <w:r>
          <w:rPr>
            <w:rStyle w:val="Hyperlink"/>
          </w:rPr>
          <w:t xml:space="preserve">https://doi.org/10.1111/nph.14633</w:t>
        </w:r>
      </w:hyperlink>
    </w:p>
    <w:bookmarkEnd w:id="222"/>
    <w:bookmarkStart w:id="224"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223">
        <w:r>
          <w:rPr>
            <w:rStyle w:val="Hyperlink"/>
          </w:rPr>
          <w:t xml:space="preserve">https://doi.org/10.1016/j.cageo.2011.01.013</w:t>
        </w:r>
      </w:hyperlink>
    </w:p>
    <w:bookmarkEnd w:id="224"/>
    <w:bookmarkStart w:id="225"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225"/>
    <w:bookmarkStart w:id="227"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226">
        <w:r>
          <w:rPr>
            <w:rStyle w:val="Hyperlink"/>
          </w:rPr>
          <w:t xml:space="preserve">https://doi.org/10.1111/j.1600-0587.2013.00205.x</w:t>
        </w:r>
      </w:hyperlink>
    </w:p>
    <w:bookmarkEnd w:id="227"/>
    <w:bookmarkStart w:id="229"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28">
        <w:r>
          <w:rPr>
            <w:rStyle w:val="Hyperlink"/>
          </w:rPr>
          <w:t xml:space="preserve">https://doi.org/10.1111/gcb.12599</w:t>
        </w:r>
      </w:hyperlink>
    </w:p>
    <w:bookmarkEnd w:id="229"/>
    <w:bookmarkStart w:id="231" w:name="ref-niklas_plant_2004"/>
    <w:p>
      <w:pPr>
        <w:pStyle w:val="Bibliography"/>
      </w:pPr>
      <w:r>
        <w:t xml:space="preserve">Niklas, K. J. (2004). Plant allometry: Is there a grand unifying theory?</w:t>
      </w:r>
      <w:r>
        <w:t xml:space="preserve"> </w:t>
      </w:r>
      <w:r>
        <w:rPr>
          <w:iCs/>
          <w:i/>
        </w:rPr>
        <w:t xml:space="preserve">Biological Reviews</w:t>
      </w:r>
      <w:r>
        <w:t xml:space="preserve">,</w:t>
      </w:r>
      <w:r>
        <w:t xml:space="preserve"> </w:t>
      </w:r>
      <w:r>
        <w:rPr>
          <w:iCs/>
          <w:i/>
        </w:rPr>
        <w:t xml:space="preserve">79</w:t>
      </w:r>
      <w:r>
        <w:t xml:space="preserve">(4), 871–889.</w:t>
      </w:r>
      <w:r>
        <w:t xml:space="preserve"> </w:t>
      </w:r>
      <w:hyperlink r:id="rId230">
        <w:r>
          <w:rPr>
            <w:rStyle w:val="Hyperlink"/>
          </w:rPr>
          <w:t xml:space="preserve">https://doi.org/10.1017/S1464793104006499</w:t>
        </w:r>
      </w:hyperlink>
    </w:p>
    <w:bookmarkEnd w:id="231"/>
    <w:bookmarkStart w:id="233"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32">
        <w:r>
          <w:rPr>
            <w:rStyle w:val="Hyperlink"/>
          </w:rPr>
          <w:t xml:space="preserve">https://doi.org/10.1111/j.1365-2486.2010.02222.x</w:t>
        </w:r>
      </w:hyperlink>
    </w:p>
    <w:bookmarkEnd w:id="233"/>
    <w:bookmarkStart w:id="234"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34"/>
    <w:bookmarkStart w:id="236" w:name="ref-pederson_external_2010"/>
    <w:p>
      <w:pPr>
        <w:pStyle w:val="Bibliography"/>
      </w:pPr>
      <w:r>
        <w:t xml:space="preserve">Pederson, N. (2010). External</w:t>
      </w:r>
      <w:r>
        <w:t xml:space="preserve"> </w:t>
      </w:r>
      <w:r>
        <w:t xml:space="preserve">Characteristics</w:t>
      </w:r>
      <w:r>
        <w:t xml:space="preserve"> </w:t>
      </w:r>
      <w:r>
        <w:t xml:space="preserve">of</w:t>
      </w:r>
      <w:r>
        <w:t xml:space="preserve"> </w:t>
      </w:r>
      <w:r>
        <w:t xml:space="preserve">Old Trees</w:t>
      </w:r>
      <w:r>
        <w:t xml:space="preserve"> </w:t>
      </w:r>
      <w:r>
        <w:t xml:space="preserve">in the</w:t>
      </w:r>
      <w:r>
        <w:t xml:space="preserve"> </w:t>
      </w:r>
      <w:r>
        <w:t xml:space="preserve">Eastern Deciduous Forest</w:t>
      </w:r>
      <w:r>
        <w:t xml:space="preserve">.</w:t>
      </w:r>
      <w:r>
        <w:t xml:space="preserve"> </w:t>
      </w:r>
      <w:r>
        <w:rPr>
          <w:iCs/>
          <w:i/>
        </w:rPr>
        <w:t xml:space="preserve">Natural Areas Journal</w:t>
      </w:r>
      <w:r>
        <w:t xml:space="preserve">,</w:t>
      </w:r>
      <w:r>
        <w:t xml:space="preserve"> </w:t>
      </w:r>
      <w:r>
        <w:rPr>
          <w:iCs/>
          <w:i/>
        </w:rPr>
        <w:t xml:space="preserve">30</w:t>
      </w:r>
      <w:r>
        <w:t xml:space="preserve">(4), 396–407.</w:t>
      </w:r>
      <w:r>
        <w:t xml:space="preserve"> </w:t>
      </w:r>
      <w:hyperlink r:id="rId235">
        <w:r>
          <w:rPr>
            <w:rStyle w:val="Hyperlink"/>
          </w:rPr>
          <w:t xml:space="preserve">https://doi.org/10.3375/043.030.0405</w:t>
        </w:r>
      </w:hyperlink>
    </w:p>
    <w:bookmarkEnd w:id="236"/>
    <w:bookmarkStart w:id="238" w:name="ref-pederson_framework_2020"/>
    <w:p>
      <w:pPr>
        <w:pStyle w:val="Bibliography"/>
      </w:pPr>
      <w:r>
        <w:t xml:space="preserve">Pederson, N., Leland, C., Bishop, D. A., Pearl, J. K., Anchukaitis, K. J., Mandra, T., Hopton-Ahmed, M., &amp; Martin-Benito, D. (2020). A</w:t>
      </w:r>
      <w:r>
        <w:t xml:space="preserve"> </w:t>
      </w:r>
      <w:r>
        <w:t xml:space="preserve">Framework</w:t>
      </w:r>
      <w:r>
        <w:t xml:space="preserve"> </w:t>
      </w:r>
      <w:r>
        <w:t xml:space="preserve">for</w:t>
      </w:r>
      <w:r>
        <w:t xml:space="preserve"> </w:t>
      </w:r>
      <w:r>
        <w:t xml:space="preserve">Determining Population</w:t>
      </w:r>
      <w:r>
        <w:t xml:space="preserve">-</w:t>
      </w:r>
      <w:r>
        <w:t xml:space="preserve">Level Vulnerability</w:t>
      </w:r>
      <w:r>
        <w:t xml:space="preserve"> </w:t>
      </w:r>
      <w:r>
        <w:t xml:space="preserve">to</w:t>
      </w:r>
      <w:r>
        <w:t xml:space="preserve"> </w:t>
      </w:r>
      <w:r>
        <w:t xml:space="preserve">Climate</w:t>
      </w:r>
      <w:r>
        <w:t xml:space="preserve">:</w:t>
      </w:r>
      <w:r>
        <w:t xml:space="preserve"> </w:t>
      </w:r>
      <w:r>
        <w:t xml:space="preserve">Evidence</w:t>
      </w:r>
      <w:r>
        <w:t xml:space="preserve"> </w:t>
      </w:r>
      <w:r>
        <w:t xml:space="preserve">for</w:t>
      </w:r>
      <w:r>
        <w:t xml:space="preserve"> </w:t>
      </w:r>
      <w:r>
        <w:t xml:space="preserve">Growth Hysteresis</w:t>
      </w:r>
      <w:r>
        <w:t xml:space="preserve"> </w:t>
      </w:r>
      <w:r>
        <w:t xml:space="preserve">in</w:t>
      </w:r>
      <w:r>
        <w:t xml:space="preserve"> </w:t>
      </w:r>
      <w:r>
        <w:t xml:space="preserve">Chamaecyparis</w:t>
      </w:r>
      <w:r>
        <w:t xml:space="preserve"> </w:t>
      </w:r>
      <w:r>
        <w:t xml:space="preserve">thyoides</w:t>
      </w:r>
      <w:r>
        <w:t xml:space="preserve"> </w:t>
      </w:r>
      <w:r>
        <w:t xml:space="preserve">Along Its Contiguous Latitudinal Distribution</w:t>
      </w:r>
      <w:r>
        <w:t xml:space="preserve">.</w:t>
      </w:r>
      <w:r>
        <w:t xml:space="preserve"> </w:t>
      </w:r>
      <w:r>
        <w:rPr>
          <w:iCs/>
          <w:i/>
        </w:rPr>
        <w:t xml:space="preserve">Frontiers in Forests and Global Change</w:t>
      </w:r>
      <w:r>
        <w:t xml:space="preserve">,</w:t>
      </w:r>
      <w:r>
        <w:t xml:space="preserve"> </w:t>
      </w:r>
      <w:r>
        <w:rPr>
          <w:iCs/>
          <w:i/>
        </w:rPr>
        <w:t xml:space="preserve">3</w:t>
      </w:r>
      <w:r>
        <w:t xml:space="preserve">.</w:t>
      </w:r>
      <w:r>
        <w:t xml:space="preserve"> </w:t>
      </w:r>
      <w:hyperlink r:id="rId237">
        <w:r>
          <w:rPr>
            <w:rStyle w:val="Hyperlink"/>
          </w:rPr>
          <w:t xml:space="preserve">https://doi.org/10.3389/ffgc.2020.00039</w:t>
        </w:r>
      </w:hyperlink>
    </w:p>
    <w:bookmarkEnd w:id="238"/>
    <w:bookmarkStart w:id="240"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39">
        <w:r>
          <w:rPr>
            <w:rStyle w:val="Hyperlink"/>
          </w:rPr>
          <w:t xml:space="preserve">https://doi.org/10.1111/gcb.12826</w:t>
        </w:r>
      </w:hyperlink>
    </w:p>
    <w:bookmarkEnd w:id="240"/>
    <w:bookmarkStart w:id="241"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41"/>
    <w:bookmarkStart w:id="242"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42"/>
    <w:bookmarkStart w:id="244"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43">
        <w:r>
          <w:rPr>
            <w:rStyle w:val="Hyperlink"/>
          </w:rPr>
          <w:t xml:space="preserve">https://doi.org/10.1186/s40663-018-0139-x</w:t>
        </w:r>
      </w:hyperlink>
    </w:p>
    <w:bookmarkEnd w:id="244"/>
    <w:bookmarkStart w:id="246"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45">
        <w:r>
          <w:rPr>
            <w:rStyle w:val="Hyperlink"/>
          </w:rPr>
          <w:t xml:space="preserve">https://doi.org/10.1016/j.dendro.2020.125678</w:t>
        </w:r>
      </w:hyperlink>
    </w:p>
    <w:bookmarkEnd w:id="246"/>
    <w:bookmarkStart w:id="248"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47">
        <w:r>
          <w:rPr>
            <w:rStyle w:val="Hyperlink"/>
          </w:rPr>
          <w:t xml:space="preserve">https://doi.org/10.1111/2041-210X.12753</w:t>
        </w:r>
      </w:hyperlink>
    </w:p>
    <w:bookmarkEnd w:id="248"/>
    <w:bookmarkStart w:id="250"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49">
        <w:r>
          <w:rPr>
            <w:rStyle w:val="Hyperlink"/>
          </w:rPr>
          <w:t xml:space="preserve">https://doi.org/10.1002/ecy.3264</w:t>
        </w:r>
      </w:hyperlink>
    </w:p>
    <w:bookmarkEnd w:id="250"/>
    <w:bookmarkStart w:id="252"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51">
        <w:r>
          <w:rPr>
            <w:rStyle w:val="Hyperlink"/>
          </w:rPr>
          <w:t xml:space="preserve">https://doi.org/10.1111/j.1469-8137.2007.02235.x</w:t>
        </w:r>
      </w:hyperlink>
    </w:p>
    <w:bookmarkEnd w:id="252"/>
    <w:bookmarkStart w:id="254"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53">
        <w:r>
          <w:rPr>
            <w:rStyle w:val="Hyperlink"/>
          </w:rPr>
          <w:t xml:space="preserve">https://doi.org/10.1007/s00468-010-0480-3</w:t>
        </w:r>
      </w:hyperlink>
    </w:p>
    <w:bookmarkEnd w:id="254"/>
    <w:bookmarkStart w:id="256"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55">
        <w:r>
          <w:rPr>
            <w:rStyle w:val="Hyperlink"/>
          </w:rPr>
          <w:t xml:space="preserve">https://doi.org/10.1016/j.foreco.2015.08.034</w:t>
        </w:r>
      </w:hyperlink>
    </w:p>
    <w:bookmarkEnd w:id="256"/>
    <w:bookmarkStart w:id="258"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57">
        <w:r>
          <w:rPr>
            <w:rStyle w:val="Hyperlink"/>
          </w:rPr>
          <w:t xml:space="preserve">https://doi.org/10.1186/s40663-018-0133-3</w:t>
        </w:r>
      </w:hyperlink>
    </w:p>
    <w:bookmarkEnd w:id="258"/>
    <w:bookmarkStart w:id="260"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59">
        <w:r>
          <w:rPr>
            <w:rStyle w:val="Hyperlink"/>
          </w:rPr>
          <w:t xml:space="preserve">https://doi.org/10.1111/1365-2435.12775</w:t>
        </w:r>
      </w:hyperlink>
    </w:p>
    <w:bookmarkEnd w:id="260"/>
    <w:bookmarkStart w:id="262"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61">
        <w:r>
          <w:rPr>
            <w:rStyle w:val="Hyperlink"/>
          </w:rPr>
          <w:t xml:space="preserve">https://doi.org/10.1002/2016JG003528</w:t>
        </w:r>
      </w:hyperlink>
    </w:p>
    <w:bookmarkEnd w:id="262"/>
    <w:bookmarkStart w:id="263"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63"/>
    <w:bookmarkStart w:id="265"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64">
        <w:r>
          <w:rPr>
            <w:rStyle w:val="Hyperlink"/>
          </w:rPr>
          <w:t xml:space="preserve">https://doi.org/10.1038/nature12914</w:t>
        </w:r>
      </w:hyperlink>
    </w:p>
    <w:bookmarkEnd w:id="265"/>
    <w:bookmarkStart w:id="266"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66"/>
    <w:bookmarkStart w:id="268" w:name="ref-sullivan_longterm_2020"/>
    <w:p>
      <w:pPr>
        <w:pStyle w:val="Bibliography"/>
      </w:pPr>
      <w:r>
        <w:t xml:space="preserve">Sullivan, M. J. P., Lewis, S. L., Affum-Baffoe, K., Castilho, C., Costa, F., Sanchez, A. C., Ewango, C. E. N., Hubau, W., Marimon, B., Monteagudo-Mendoza, A., Qie, L., Sonké, B., Martinez, R. V., Baker, T. R., Brienen, R. J. W., Feldpausch, T. R., Galbraith, D., Gloor, M., Malhi, Y., … Phillips, O. L. (2020). Long-term thermal sensitivity of</w:t>
      </w:r>
      <w:r>
        <w:t xml:space="preserve"> </w:t>
      </w:r>
      <w:r>
        <w:t xml:space="preserve">Earth</w:t>
      </w:r>
      <w:r>
        <w:t xml:space="preserve">’s tropical forests.</w:t>
      </w:r>
      <w:r>
        <w:t xml:space="preserve"> </w:t>
      </w:r>
      <w:r>
        <w:rPr>
          <w:iCs/>
          <w:i/>
        </w:rPr>
        <w:t xml:space="preserve">Science</w:t>
      </w:r>
      <w:r>
        <w:t xml:space="preserve">,</w:t>
      </w:r>
      <w:r>
        <w:t xml:space="preserve"> </w:t>
      </w:r>
      <w:r>
        <w:rPr>
          <w:iCs/>
          <w:i/>
        </w:rPr>
        <w:t xml:space="preserve">368</w:t>
      </w:r>
      <w:r>
        <w:t xml:space="preserve">(6493), 869–874.</w:t>
      </w:r>
      <w:r>
        <w:t xml:space="preserve"> </w:t>
      </w:r>
      <w:hyperlink r:id="rId267">
        <w:r>
          <w:rPr>
            <w:rStyle w:val="Hyperlink"/>
          </w:rPr>
          <w:t xml:space="preserve">https://doi.org/10.1126/science.aaw7578</w:t>
        </w:r>
      </w:hyperlink>
    </w:p>
    <w:bookmarkEnd w:id="268"/>
    <w:bookmarkStart w:id="270"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69">
        <w:r>
          <w:rPr>
            <w:rStyle w:val="Hyperlink"/>
          </w:rPr>
          <w:t xml:space="preserve">https://doi.org/10.1088/1748-9326/11/11/114007</w:t>
        </w:r>
      </w:hyperlink>
    </w:p>
    <w:bookmarkEnd w:id="270"/>
    <w:bookmarkStart w:id="272"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71">
        <w:r>
          <w:rPr>
            <w:rStyle w:val="Hyperlink"/>
          </w:rPr>
          <w:t xml:space="preserve">https://doi.org/10.1007/s11258-007-9345-2</w:t>
        </w:r>
      </w:hyperlink>
    </w:p>
    <w:bookmarkEnd w:id="272"/>
    <w:bookmarkStart w:id="274"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73">
        <w:r>
          <w:rPr>
            <w:rStyle w:val="Hyperlink"/>
          </w:rPr>
          <w:t xml:space="preserve">https://doi.org/10.1016/j.scitotenv.2020.140288</w:t>
        </w:r>
      </w:hyperlink>
    </w:p>
    <w:bookmarkEnd w:id="274"/>
    <w:bookmarkStart w:id="276"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Cs/>
          <w:i/>
        </w:rPr>
        <w:t xml:space="preserve">Agricultural and Forest Meteorology</w:t>
      </w:r>
      <w:r>
        <w:t xml:space="preserve">,</w:t>
      </w:r>
      <w:r>
        <w:t xml:space="preserve"> </w:t>
      </w:r>
      <w:r>
        <w:rPr>
          <w:iCs/>
          <w:i/>
        </w:rPr>
        <w:t xml:space="preserve">249</w:t>
      </w:r>
      <w:r>
        <w:t xml:space="preserve">, 479–487.</w:t>
      </w:r>
      <w:r>
        <w:t xml:space="preserve"> </w:t>
      </w:r>
      <w:hyperlink r:id="rId275">
        <w:r>
          <w:rPr>
            <w:rStyle w:val="Hyperlink"/>
          </w:rPr>
          <w:t xml:space="preserve">https://doi.org/10.1016/j.agrformet.2017.08.007</w:t>
        </w:r>
      </w:hyperlink>
    </w:p>
    <w:bookmarkEnd w:id="276"/>
    <w:bookmarkStart w:id="278"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77">
        <w:r>
          <w:rPr>
            <w:rStyle w:val="Hyperlink"/>
          </w:rPr>
          <w:t xml:space="preserve">https://doi.org/10.1111/gcb.14120</w:t>
        </w:r>
      </w:hyperlink>
    </w:p>
    <w:bookmarkEnd w:id="278"/>
    <w:bookmarkStart w:id="280"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79">
        <w:r>
          <w:rPr>
            <w:rStyle w:val="Hyperlink"/>
          </w:rPr>
          <w:t xml:space="preserve">https://doi.org/10.1002/ecm.1272</w:t>
        </w:r>
      </w:hyperlink>
    </w:p>
    <w:bookmarkEnd w:id="280"/>
    <w:bookmarkStart w:id="282"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81">
        <w:r>
          <w:rPr>
            <w:rStyle w:val="Hyperlink"/>
          </w:rPr>
          <w:t xml:space="preserve">https://doi.org/10.1007/978-94-007-1242-3_2</w:t>
        </w:r>
      </w:hyperlink>
    </w:p>
    <w:bookmarkEnd w:id="282"/>
    <w:bookmarkStart w:id="284" w:name="ref-tolwinski-ward_bayesian_2013"/>
    <w:p>
      <w:pPr>
        <w:pStyle w:val="Bibliography"/>
      </w:pPr>
      <w:r>
        <w:t xml:space="preserve">Tolwinski-Ward, S. E., Anchukaitis, K. J., &amp; Evans, M. N. (2013). Bayesian parameter estimation and interpretation for an intermediate model of tree-ring width.</w:t>
      </w:r>
      <w:r>
        <w:t xml:space="preserve"> </w:t>
      </w:r>
      <w:r>
        <w:rPr>
          <w:iCs/>
          <w:i/>
        </w:rPr>
        <w:t xml:space="preserve">Climate of the Past</w:t>
      </w:r>
      <w:r>
        <w:t xml:space="preserve">,</w:t>
      </w:r>
      <w:r>
        <w:t xml:space="preserve"> </w:t>
      </w:r>
      <w:r>
        <w:rPr>
          <w:iCs/>
          <w:i/>
        </w:rPr>
        <w:t xml:space="preserve">9</w:t>
      </w:r>
      <w:r>
        <w:t xml:space="preserve">(4), 1481–1493.</w:t>
      </w:r>
      <w:r>
        <w:t xml:space="preserve"> </w:t>
      </w:r>
      <w:hyperlink r:id="rId283">
        <w:r>
          <w:rPr>
            <w:rStyle w:val="Hyperlink"/>
          </w:rPr>
          <w:t xml:space="preserve">https://doi.org/10.5194/cp-9-1481-2013</w:t>
        </w:r>
      </w:hyperlink>
    </w:p>
    <w:bookmarkEnd w:id="284"/>
    <w:bookmarkStart w:id="286"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changingb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85">
        <w:r>
          <w:rPr>
            <w:rStyle w:val="Hyperlink"/>
          </w:rPr>
          <w:t xml:space="preserve">https://doi.org/10.1002/joc.2117</w:t>
        </w:r>
      </w:hyperlink>
    </w:p>
    <w:bookmarkEnd w:id="286"/>
    <w:bookmarkStart w:id="288" w:name="ref-trouillier_size_2019"/>
    <w:p>
      <w:pPr>
        <w:pStyle w:val="Bibliography"/>
      </w:pPr>
      <w:r>
        <w:t xml:space="preserve">Trouillier, M., van der Maaten-Theunissen, M., Scharnweber, T., Würth, D., Burger, A., Schnittler, M., &amp; Wilmking, M. (2019). Size matters</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87">
        <w:r>
          <w:rPr>
            <w:rStyle w:val="Hyperlink"/>
          </w:rPr>
          <w:t xml:space="preserve">https://doi.org/10.1007/s00468-018-1767-z</w:t>
        </w:r>
      </w:hyperlink>
    </w:p>
    <w:bookmarkEnd w:id="288"/>
    <w:bookmarkStart w:id="290"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89">
        <w:r>
          <w:rPr>
            <w:rStyle w:val="Hyperlink"/>
          </w:rPr>
          <w:t xml:space="preserve">https://doi.org/10.1016/j.agrformet.2017.07.015</w:t>
        </w:r>
      </w:hyperlink>
    </w:p>
    <w:bookmarkEnd w:id="290"/>
    <w:bookmarkStart w:id="292"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91">
        <w:r>
          <w:rPr>
            <w:rStyle w:val="Hyperlink"/>
          </w:rPr>
          <w:t xml:space="preserve">https://doi.org/10.1111/2041-210X.12590</w:t>
        </w:r>
      </w:hyperlink>
    </w:p>
    <w:bookmarkEnd w:id="292"/>
    <w:bookmarkStart w:id="294"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93">
        <w:r>
          <w:rPr>
            <w:rStyle w:val="Hyperlink"/>
          </w:rPr>
          <w:t xml:space="preserve">https://doi.org/10.1111/gcb.13572</w:t>
        </w:r>
      </w:hyperlink>
    </w:p>
    <w:bookmarkEnd w:id="294"/>
    <w:bookmarkStart w:id="296"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95">
        <w:r>
          <w:rPr>
            <w:rStyle w:val="Hyperlink"/>
          </w:rPr>
          <w:t xml:space="preserve">https://doi.org/10.1038/ngeo2313</w:t>
        </w:r>
      </w:hyperlink>
    </w:p>
    <w:bookmarkEnd w:id="296"/>
    <w:bookmarkStart w:id="298"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97">
        <w:r>
          <w:rPr>
            <w:rStyle w:val="Hyperlink"/>
          </w:rPr>
          <w:t xml:space="preserve">https://doi.org/10.1007/s00442-013-2846-x</w:t>
        </w:r>
      </w:hyperlink>
    </w:p>
    <w:bookmarkEnd w:id="298"/>
    <w:bookmarkStart w:id="300"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99">
        <w:r>
          <w:rPr>
            <w:rStyle w:val="Hyperlink"/>
          </w:rPr>
          <w:t xml:space="preserve">https://doi.org/10.1890/0012-9615(2006)076[0549:HCGEDW]2.0.CO;2</w:t>
        </w:r>
      </w:hyperlink>
    </w:p>
    <w:bookmarkEnd w:id="300"/>
    <w:bookmarkStart w:id="302"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301">
        <w:r>
          <w:rPr>
            <w:rStyle w:val="Hyperlink"/>
          </w:rPr>
          <w:t xml:space="preserve">https://doi.org/10.1016/j.foreco.2009.03.007</w:t>
        </w:r>
      </w:hyperlink>
    </w:p>
    <w:bookmarkEnd w:id="302"/>
    <w:bookmarkStart w:id="304" w:name="ref-walker_integrating_2020"/>
    <w:p>
      <w:pPr>
        <w:pStyle w:val="Bibliography"/>
      </w:pPr>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w:t>
      </w:r>
      <w:r>
        <w:t xml:space="preserve"> </w:t>
      </w:r>
      <w:r>
        <w:t xml:space="preserve">CO2</w:t>
      </w:r>
      <w:r>
        <w:t xml:space="preserve">.</w:t>
      </w:r>
      <w:r>
        <w:t xml:space="preserve"> </w:t>
      </w:r>
      <w:r>
        <w:rPr>
          <w:iCs/>
          <w:i/>
        </w:rPr>
        <w:t xml:space="preserve">New Phytologist</w:t>
      </w:r>
      <w:r>
        <w:t xml:space="preserve">,</w:t>
      </w:r>
      <w:r>
        <w:t xml:space="preserve"> </w:t>
      </w:r>
      <w:r>
        <w:rPr>
          <w:iCs/>
          <w:i/>
        </w:rPr>
        <w:t xml:space="preserve">n/a</w:t>
      </w:r>
      <w:r>
        <w:t xml:space="preserve">(n/a).</w:t>
      </w:r>
      <w:r>
        <w:t xml:space="preserve"> </w:t>
      </w:r>
      <w:hyperlink r:id="rId303">
        <w:r>
          <w:rPr>
            <w:rStyle w:val="Hyperlink"/>
          </w:rPr>
          <w:t xml:space="preserve">https://doi.org/10.1111/nph.16866</w:t>
        </w:r>
      </w:hyperlink>
    </w:p>
    <w:bookmarkEnd w:id="304"/>
    <w:bookmarkStart w:id="306"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305">
        <w:r>
          <w:rPr>
            <w:rStyle w:val="Hyperlink"/>
          </w:rPr>
          <w:t xml:space="preserve">https://doi.org/10.1038/nclimate1693</w:t>
        </w:r>
      </w:hyperlink>
    </w:p>
    <w:bookmarkEnd w:id="306"/>
    <w:bookmarkStart w:id="308"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307">
        <w:r>
          <w:rPr>
            <w:rStyle w:val="Hyperlink"/>
          </w:rPr>
          <w:t xml:space="preserve">https://doi.org/10.1111/gcb.15057</w:t>
        </w:r>
      </w:hyperlink>
    </w:p>
    <w:bookmarkEnd w:id="308"/>
    <w:bookmarkStart w:id="310"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309">
        <w:r>
          <w:rPr>
            <w:rStyle w:val="Hyperlink"/>
          </w:rPr>
          <w:t xml:space="preserve">https://doi.org/10.1111/j.1467-9868.2010.00749.x</w:t>
        </w:r>
      </w:hyperlink>
    </w:p>
    <w:bookmarkEnd w:id="310"/>
    <w:bookmarkStart w:id="312"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311">
        <w:r>
          <w:rPr>
            <w:rStyle w:val="Hyperlink"/>
          </w:rPr>
          <w:t xml:space="preserve">https://doi.org/10.1191/095968399667128516</w:t>
        </w:r>
      </w:hyperlink>
    </w:p>
    <w:bookmarkEnd w:id="312"/>
    <w:bookmarkStart w:id="314"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313">
        <w:r>
          <w:rPr>
            <w:rStyle w:val="Hyperlink"/>
          </w:rPr>
          <w:t xml:space="preserve">https://doi.org/10.1016/j.dendro.2012.08.001</w:t>
        </w:r>
      </w:hyperlink>
    </w:p>
    <w:bookmarkEnd w:id="314"/>
    <w:bookmarkStart w:id="316" w:name="ref-zang_treeclim_2015"/>
    <w:p>
      <w:pPr>
        <w:pStyle w:val="Bibliography"/>
      </w:pPr>
      <w:r>
        <w:t xml:space="preserve">Zang, C., &amp; Biondi, F. (2015). Treeclim : An</w:t>
      </w:r>
      <w:r>
        <w:t xml:space="preserve"> </w:t>
      </w:r>
      <w:r>
        <w:t xml:space="preserve">R</w:t>
      </w:r>
      <w:r>
        <w:t xml:space="preserve"> </w:t>
      </w:r>
      <w:r>
        <w:t xml:space="preserve">package for the numerical calibration of proxy-climate relationships.</w:t>
      </w:r>
      <w:r>
        <w:t xml:space="preserve"> </w:t>
      </w:r>
      <w:r>
        <w:rPr>
          <w:iCs/>
          <w:i/>
        </w:rPr>
        <w:t xml:space="preserve">Ecography</w:t>
      </w:r>
      <w:r>
        <w:t xml:space="preserve">,</w:t>
      </w:r>
      <w:r>
        <w:t xml:space="preserve"> </w:t>
      </w:r>
      <w:r>
        <w:rPr>
          <w:iCs/>
          <w:i/>
        </w:rPr>
        <w:t xml:space="preserve">38</w:t>
      </w:r>
      <w:r>
        <w:t xml:space="preserve">(4), 431–436.</w:t>
      </w:r>
      <w:r>
        <w:t xml:space="preserve"> </w:t>
      </w:r>
      <w:hyperlink r:id="rId315">
        <w:r>
          <w:rPr>
            <w:rStyle w:val="Hyperlink"/>
          </w:rPr>
          <w:t xml:space="preserve">https://doi.org/10.1111/ecog.01335</w:t>
        </w:r>
      </w:hyperlink>
    </w:p>
    <w:bookmarkEnd w:id="316"/>
    <w:bookmarkStart w:id="318"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317">
        <w:r>
          <w:rPr>
            <w:rStyle w:val="Hyperlink"/>
          </w:rPr>
          <w:t xml:space="preserve">https://doi.org/10.1016/j.tplants.2013.05.006</w:t>
        </w:r>
      </w:hyperlink>
    </w:p>
    <w:bookmarkEnd w:id="318"/>
    <w:bookmarkEnd w:id="319"/>
    <w:bookmarkEnd w:id="320"/>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6">
    <w:nsid w:val="71315dca"/>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2" Target="media/rId42.png" /><Relationship Type="http://schemas.openxmlformats.org/officeDocument/2006/relationships/image" Id="rId37" Target="media/rId37.png" /><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61" Target="https://doi.org/10.1002/2016JG003528" TargetMode="External" /><Relationship Type="http://schemas.openxmlformats.org/officeDocument/2006/relationships/hyperlink" Id="rId82" Target="https://doi.org/10.1002/ece3.1532" TargetMode="External" /><Relationship Type="http://schemas.openxmlformats.org/officeDocument/2006/relationships/hyperlink" Id="rId279" Target="https://doi.org/10.1002/ecm.1272" TargetMode="External" /><Relationship Type="http://schemas.openxmlformats.org/officeDocument/2006/relationships/hyperlink" Id="rId153" Target="https://doi.org/10.1002/ecm.1423" TargetMode="External" /><Relationship Type="http://schemas.openxmlformats.org/officeDocument/2006/relationships/hyperlink" Id="rId143" Target="https://doi.org/10.1002/ecs2.1454" TargetMode="External" /><Relationship Type="http://schemas.openxmlformats.org/officeDocument/2006/relationships/hyperlink" Id="rId162" Target="https://doi.org/10.1002/ecs2.1847" TargetMode="External" /><Relationship Type="http://schemas.openxmlformats.org/officeDocument/2006/relationships/hyperlink" Id="rId151" Target="https://doi.org/10.1002/ecs2.1889" TargetMode="External" /><Relationship Type="http://schemas.openxmlformats.org/officeDocument/2006/relationships/hyperlink" Id="rId249" Target="https://doi.org/10.1002/ecy.3264" TargetMode="External" /><Relationship Type="http://schemas.openxmlformats.org/officeDocument/2006/relationships/hyperlink" Id="rId285" Target="https://doi.org/10.1002/joc.2117" TargetMode="External" /><Relationship Type="http://schemas.openxmlformats.org/officeDocument/2006/relationships/hyperlink" Id="rId179" Target="https://doi.org/10.1002/joc.3711" TargetMode="External" /><Relationship Type="http://schemas.openxmlformats.org/officeDocument/2006/relationships/hyperlink" Id="rId70" Target="https://doi.org/10.1007/978-3-319-61669-8" TargetMode="External" /><Relationship Type="http://schemas.openxmlformats.org/officeDocument/2006/relationships/hyperlink" Id="rId281" Target="https://doi.org/10.1007/978-94-007-1242-3_2" TargetMode="External" /><Relationship Type="http://schemas.openxmlformats.org/officeDocument/2006/relationships/hyperlink" Id="rId131" Target="https://doi.org/10.1007/BF00282374" TargetMode="External" /><Relationship Type="http://schemas.openxmlformats.org/officeDocument/2006/relationships/hyperlink" Id="rId297" Target="https://doi.org/10.1007/s00442-013-2846-x" TargetMode="External" /><Relationship Type="http://schemas.openxmlformats.org/officeDocument/2006/relationships/hyperlink" Id="rId68" Target="https://doi.org/10.1007/s00442-017-3879-3" TargetMode="External" /><Relationship Type="http://schemas.openxmlformats.org/officeDocument/2006/relationships/hyperlink" Id="rId253" Target="https://doi.org/10.1007/s00468-010-0480-3" TargetMode="External" /><Relationship Type="http://schemas.openxmlformats.org/officeDocument/2006/relationships/hyperlink" Id="rId66" Target="https://doi.org/10.1007/s00468-017-1629-0" TargetMode="External" /><Relationship Type="http://schemas.openxmlformats.org/officeDocument/2006/relationships/hyperlink" Id="rId287" Target="https://doi.org/10.1007/s00468-018-1767-z" TargetMode="External" /><Relationship Type="http://schemas.openxmlformats.org/officeDocument/2006/relationships/hyperlink" Id="rId166" Target="https://doi.org/10.1007/s10021-020-00501-y" TargetMode="External" /><Relationship Type="http://schemas.openxmlformats.org/officeDocument/2006/relationships/hyperlink" Id="rId175" Target="https://doi.org/10.1007/s10342-016-0982-7" TargetMode="External" /><Relationship Type="http://schemas.openxmlformats.org/officeDocument/2006/relationships/hyperlink" Id="rId149" Target="https://doi.org/10.1007/s10584-009-9594-2" TargetMode="External" /><Relationship Type="http://schemas.openxmlformats.org/officeDocument/2006/relationships/hyperlink" Id="rId215" Target="https://doi.org/10.1007/s10584-016-1720-3" TargetMode="External" /><Relationship Type="http://schemas.openxmlformats.org/officeDocument/2006/relationships/hyperlink" Id="rId164" Target="https://doi.org/10.1007/s10584-020-02868-2" TargetMode="External" /><Relationship Type="http://schemas.openxmlformats.org/officeDocument/2006/relationships/hyperlink" Id="rId271" Target="https://doi.org/10.1007/s11258-007-9345-2" TargetMode="External" /><Relationship Type="http://schemas.openxmlformats.org/officeDocument/2006/relationships/hyperlink" Id="rId160" Target="https://doi.org/10.1016/S0065-2504(08)60158-0" TargetMode="External" /><Relationship Type="http://schemas.openxmlformats.org/officeDocument/2006/relationships/hyperlink" Id="rId127" Target="https://doi.org/10.1016/S0378-1127(98)00242-4" TargetMode="External" /><Relationship Type="http://schemas.openxmlformats.org/officeDocument/2006/relationships/hyperlink" Id="rId91" Target="https://doi.org/10.1016/j.agrformet.2012.10.010" TargetMode="External" /><Relationship Type="http://schemas.openxmlformats.org/officeDocument/2006/relationships/hyperlink" Id="rId289" Target="https://doi.org/10.1016/j.agrformet.2017.07.015" TargetMode="External" /><Relationship Type="http://schemas.openxmlformats.org/officeDocument/2006/relationships/hyperlink" Id="rId275" Target="https://doi.org/10.1016/j.agrformet.2017.08.007" TargetMode="External" /><Relationship Type="http://schemas.openxmlformats.org/officeDocument/2006/relationships/hyperlink" Id="rId135" Target="https://doi.org/10.1016/j.biocon.2020.108907" TargetMode="External" /><Relationship Type="http://schemas.openxmlformats.org/officeDocument/2006/relationships/hyperlink" Id="rId223" Target="https://doi.org/10.1016/j.cageo.2011.01.013" TargetMode="External" /><Relationship Type="http://schemas.openxmlformats.org/officeDocument/2006/relationships/hyperlink" Id="rId313" Target="https://doi.org/10.1016/j.dendro.2012.08.001" TargetMode="External" /><Relationship Type="http://schemas.openxmlformats.org/officeDocument/2006/relationships/hyperlink" Id="rId201" Target="https://doi.org/10.1016/j.dendro.2019.125652" TargetMode="External" /><Relationship Type="http://schemas.openxmlformats.org/officeDocument/2006/relationships/hyperlink" Id="rId245" Target="https://doi.org/10.1016/j.dendro.2020.125678" TargetMode="External" /><Relationship Type="http://schemas.openxmlformats.org/officeDocument/2006/relationships/hyperlink" Id="rId145" Target="https://doi.org/10.1016/j.foreco.2008.10.014" TargetMode="External" /><Relationship Type="http://schemas.openxmlformats.org/officeDocument/2006/relationships/hyperlink" Id="rId301" Target="https://doi.org/10.1016/j.foreco.2009.03.007" TargetMode="External" /><Relationship Type="http://schemas.openxmlformats.org/officeDocument/2006/relationships/hyperlink" Id="rId209" Target="https://doi.org/10.1016/j.foreco.2009.03.009" TargetMode="External" /><Relationship Type="http://schemas.openxmlformats.org/officeDocument/2006/relationships/hyperlink" Id="rId137" Target="https://doi.org/10.1016/j.foreco.2009.08.009" TargetMode="External" /><Relationship Type="http://schemas.openxmlformats.org/officeDocument/2006/relationships/hyperlink" Id="rId255" Target="https://doi.org/10.1016/j.foreco.2015.08.034" TargetMode="External" /><Relationship Type="http://schemas.openxmlformats.org/officeDocument/2006/relationships/hyperlink" Id="rId155" Target="https://doi.org/10.1016/j.foreco.2020.118717" TargetMode="External" /><Relationship Type="http://schemas.openxmlformats.org/officeDocument/2006/relationships/hyperlink" Id="rId84" Target="https://doi.org/10.1016/j.quascirev.2018.07.009" TargetMode="External" /><Relationship Type="http://schemas.openxmlformats.org/officeDocument/2006/relationships/hyperlink" Id="rId273" Target="https://doi.org/10.1016/j.scitotenv.2020.140288" TargetMode="External" /><Relationship Type="http://schemas.openxmlformats.org/officeDocument/2006/relationships/hyperlink" Id="rId107" Target="https://doi.org/10.1016/j.tplants.2012.08.005" TargetMode="External" /><Relationship Type="http://schemas.openxmlformats.org/officeDocument/2006/relationships/hyperlink" Id="rId317" Target="https://doi.org/10.1016/j.tplants.2013.05.006" TargetMode="External" /><Relationship Type="http://schemas.openxmlformats.org/officeDocument/2006/relationships/hyperlink" Id="rId129" Target="https://doi.org/10.1017/CBO9780511760006.002" TargetMode="External" /><Relationship Type="http://schemas.openxmlformats.org/officeDocument/2006/relationships/hyperlink" Id="rId230" Target="https://doi.org/10.1017/S1464793104006499" TargetMode="External" /><Relationship Type="http://schemas.openxmlformats.org/officeDocument/2006/relationships/hyperlink" Id="rId64" Target="https://doi.org/10.1017/qua.2019.33" TargetMode="External" /><Relationship Type="http://schemas.openxmlformats.org/officeDocument/2006/relationships/hyperlink" Id="rId111" Target="https://doi.org/10.1029/2011GB004143" TargetMode="External" /><Relationship Type="http://schemas.openxmlformats.org/officeDocument/2006/relationships/hyperlink" Id="rId185" Target="https://doi.org/10.1029/2018JG004573" TargetMode="External" /><Relationship Type="http://schemas.openxmlformats.org/officeDocument/2006/relationships/hyperlink" Id="rId213" Target="https://doi.org/10.1029/2019JG005298" TargetMode="External" /><Relationship Type="http://schemas.openxmlformats.org/officeDocument/2006/relationships/hyperlink" Id="rId264" Target="https://doi.org/10.1038/nature12914" TargetMode="External" /><Relationship Type="http://schemas.openxmlformats.org/officeDocument/2006/relationships/hyperlink" Id="rId305" Target="https://doi.org/10.1038/nclimate1693" TargetMode="External" /><Relationship Type="http://schemas.openxmlformats.org/officeDocument/2006/relationships/hyperlink" Id="rId295" Target="https://doi.org/10.1038/ngeo2313" TargetMode="External" /><Relationship Type="http://schemas.openxmlformats.org/officeDocument/2006/relationships/hyperlink" Id="rId95" Target="https://doi.org/10.1038/nplants.2015.139" TargetMode="External" /><Relationship Type="http://schemas.openxmlformats.org/officeDocument/2006/relationships/hyperlink" Id="rId193" Target="https://doi.org/10.1038/s41467-018-07800-y" TargetMode="External" /><Relationship Type="http://schemas.openxmlformats.org/officeDocument/2006/relationships/hyperlink" Id="rId141" Target="https://doi.org/10.1038/s41467-020-14300-5" TargetMode="External" /><Relationship Type="http://schemas.openxmlformats.org/officeDocument/2006/relationships/hyperlink" Id="rId189" Target="https://doi.org/10.1038/s41586-021-03325-5" TargetMode="External" /><Relationship Type="http://schemas.openxmlformats.org/officeDocument/2006/relationships/hyperlink" Id="rId181" Target="https://doi.org/10.1038/s41597-020-0453-3" TargetMode="External" /><Relationship Type="http://schemas.openxmlformats.org/officeDocument/2006/relationships/hyperlink" Id="rId199" Target="https://doi.org/10.1038/srep46158" TargetMode="External" /><Relationship Type="http://schemas.openxmlformats.org/officeDocument/2006/relationships/hyperlink" Id="rId168" Target="https://doi.org/10.1073/pnas.1610156113" TargetMode="External" /><Relationship Type="http://schemas.openxmlformats.org/officeDocument/2006/relationships/hyperlink" Id="rId109" Target="https://doi.org/10.1078/1125-7865-00017" TargetMode="External" /><Relationship Type="http://schemas.openxmlformats.org/officeDocument/2006/relationships/hyperlink" Id="rId269" Target="https://doi.org/10.1088/1748-9326/11/11/114007" TargetMode="External" /><Relationship Type="http://schemas.openxmlformats.org/officeDocument/2006/relationships/hyperlink" Id="rId191" Target="https://doi.org/10.1088/1748-9326/abd8fb" TargetMode="External" /><Relationship Type="http://schemas.openxmlformats.org/officeDocument/2006/relationships/hyperlink" Id="rId195" Target="https://doi.org/10.1093/treephys/tpaa091" TargetMode="External" /><Relationship Type="http://schemas.openxmlformats.org/officeDocument/2006/relationships/hyperlink" Id="rId76" Target="https://doi.org/10.1111/1365-2435.12470" TargetMode="External" /><Relationship Type="http://schemas.openxmlformats.org/officeDocument/2006/relationships/hyperlink" Id="rId259" Target="https://doi.org/10.1111/1365-2435.12775" TargetMode="External" /><Relationship Type="http://schemas.openxmlformats.org/officeDocument/2006/relationships/hyperlink" Id="rId139" Target="https://doi.org/10.1111/1365-2745.13569" TargetMode="External" /><Relationship Type="http://schemas.openxmlformats.org/officeDocument/2006/relationships/hyperlink" Id="rId291" Target="https://doi.org/10.1111/2041-210X.12590" TargetMode="External" /><Relationship Type="http://schemas.openxmlformats.org/officeDocument/2006/relationships/hyperlink" Id="rId247" Target="https://doi.org/10.1111/2041-210X.12753" TargetMode="External" /><Relationship Type="http://schemas.openxmlformats.org/officeDocument/2006/relationships/hyperlink" Id="rId315" Target="https://doi.org/10.1111/ecog.01335" TargetMode="External" /><Relationship Type="http://schemas.openxmlformats.org/officeDocument/2006/relationships/hyperlink" Id="rId80" Target="https://doi.org/10.1111/ecog.05055" TargetMode="External" /><Relationship Type="http://schemas.openxmlformats.org/officeDocument/2006/relationships/hyperlink" Id="rId125" Target="https://doi.org/10.1111/ele.12650" TargetMode="External" /><Relationship Type="http://schemas.openxmlformats.org/officeDocument/2006/relationships/hyperlink" Id="rId88" Target="https://doi.org/10.1111/gcb.12349" TargetMode="External" /><Relationship Type="http://schemas.openxmlformats.org/officeDocument/2006/relationships/hyperlink" Id="rId228" Target="https://doi.org/10.1111/gcb.12599" TargetMode="External" /><Relationship Type="http://schemas.openxmlformats.org/officeDocument/2006/relationships/hyperlink" Id="rId74" Target="https://doi.org/10.1111/gcb.12712" TargetMode="External" /><Relationship Type="http://schemas.openxmlformats.org/officeDocument/2006/relationships/hyperlink" Id="rId239" Target="https://doi.org/10.1111/gcb.12826" TargetMode="External" /><Relationship Type="http://schemas.openxmlformats.org/officeDocument/2006/relationships/hyperlink" Id="rId173" Target="https://doi.org/10.1111/gcb.12955" TargetMode="External" /><Relationship Type="http://schemas.openxmlformats.org/officeDocument/2006/relationships/hyperlink" Id="rId157" Target="https://doi.org/10.1111/gcb.13208" TargetMode="External" /><Relationship Type="http://schemas.openxmlformats.org/officeDocument/2006/relationships/hyperlink" Id="rId123" Target="https://doi.org/10.1111/gcb.13366" TargetMode="External" /><Relationship Type="http://schemas.openxmlformats.org/officeDocument/2006/relationships/hyperlink" Id="rId113" Target="https://doi.org/10.1111/gcb.13410" TargetMode="External" /><Relationship Type="http://schemas.openxmlformats.org/officeDocument/2006/relationships/hyperlink" Id="rId119" Target="https://doi.org/10.1111/gcb.13535" TargetMode="External" /><Relationship Type="http://schemas.openxmlformats.org/officeDocument/2006/relationships/hyperlink" Id="rId293" Target="https://doi.org/10.1111/gcb.13572" TargetMode="External" /><Relationship Type="http://schemas.openxmlformats.org/officeDocument/2006/relationships/hyperlink" Id="rId277" Target="https://doi.org/10.1111/gcb.14120" TargetMode="External" /><Relationship Type="http://schemas.openxmlformats.org/officeDocument/2006/relationships/hyperlink" Id="rId211" Target="https://doi.org/10.1111/gcb.14273" TargetMode="External" /><Relationship Type="http://schemas.openxmlformats.org/officeDocument/2006/relationships/hyperlink" Id="rId177" Target="https://doi.org/10.1111/gcb.14561" TargetMode="External" /><Relationship Type="http://schemas.openxmlformats.org/officeDocument/2006/relationships/hyperlink" Id="rId307" Target="https://doi.org/10.1111/gcb.15057" TargetMode="External" /><Relationship Type="http://schemas.openxmlformats.org/officeDocument/2006/relationships/hyperlink" Id="rId93" Target="https://doi.org/10.1111/gcb.15491" TargetMode="External" /><Relationship Type="http://schemas.openxmlformats.org/officeDocument/2006/relationships/hyperlink" Id="rId207" Target="https://doi.org/10.1111/gcb.15548" TargetMode="External" /><Relationship Type="http://schemas.openxmlformats.org/officeDocument/2006/relationships/hyperlink" Id="rId232" Target="https://doi.org/10.1111/j.1365-2486.2010.02222.x" TargetMode="External" /><Relationship Type="http://schemas.openxmlformats.org/officeDocument/2006/relationships/hyperlink" Id="rId309" Target="https://doi.org/10.1111/j.1467-9868.2010.00749.x" TargetMode="External" /><Relationship Type="http://schemas.openxmlformats.org/officeDocument/2006/relationships/hyperlink" Id="rId251" Target="https://doi.org/10.1111/j.1469-8137.2007.02235.x" TargetMode="External" /><Relationship Type="http://schemas.openxmlformats.org/officeDocument/2006/relationships/hyperlink" Id="rId226" Target="https://doi.org/10.1111/j.1600-0587.2013.00205.x" TargetMode="External" /><Relationship Type="http://schemas.openxmlformats.org/officeDocument/2006/relationships/hyperlink" Id="rId221" Target="https://doi.org/10.1111/nph.14633" TargetMode="External" /><Relationship Type="http://schemas.openxmlformats.org/officeDocument/2006/relationships/hyperlink" Id="rId197" Target="https://doi.org/10.1111/nph.15668" TargetMode="External" /><Relationship Type="http://schemas.openxmlformats.org/officeDocument/2006/relationships/hyperlink" Id="rId183" Target="https://doi.org/10.1111/nph.15906" TargetMode="External" /><Relationship Type="http://schemas.openxmlformats.org/officeDocument/2006/relationships/hyperlink" Id="rId303" Target="https://doi.org/10.1111/nph.16866" TargetMode="External" /><Relationship Type="http://schemas.openxmlformats.org/officeDocument/2006/relationships/hyperlink" Id="rId219" Target="https://doi.org/10.1111/nph.16996" TargetMode="External" /><Relationship Type="http://schemas.openxmlformats.org/officeDocument/2006/relationships/hyperlink" Id="rId86" Target="https://doi.org/10.1126/sciadv.aat4313" TargetMode="External" /><Relationship Type="http://schemas.openxmlformats.org/officeDocument/2006/relationships/hyperlink" Id="rId147" Target="https://doi.org/10.1126/science.1066360" TargetMode="External" /><Relationship Type="http://schemas.openxmlformats.org/officeDocument/2006/relationships/hyperlink" Id="rId117" Target="https://doi.org/10.1126/science.1197175" TargetMode="External" /><Relationship Type="http://schemas.openxmlformats.org/officeDocument/2006/relationships/hyperlink" Id="rId267" Target="https://doi.org/10.1126/science.aaw7578" TargetMode="External" /><Relationship Type="http://schemas.openxmlformats.org/officeDocument/2006/relationships/hyperlink" Id="rId217" Target="https://doi.org/10.1126/science.aaz9463" TargetMode="External" /><Relationship Type="http://schemas.openxmlformats.org/officeDocument/2006/relationships/hyperlink" Id="rId115" Target="https://doi.org/10.1139/cjfr-2018-0206" TargetMode="External" /><Relationship Type="http://schemas.openxmlformats.org/officeDocument/2006/relationships/hyperlink" Id="rId203" Target="https://doi.org/10.1139/x89-102" TargetMode="External" /><Relationship Type="http://schemas.openxmlformats.org/officeDocument/2006/relationships/hyperlink" Id="rId133" Target="https://doi.org/10.1177/095968369700700314" TargetMode="External" /><Relationship Type="http://schemas.openxmlformats.org/officeDocument/2006/relationships/hyperlink" Id="rId257" Target="https://doi.org/10.1186/s40663-018-0133-3" TargetMode="External" /><Relationship Type="http://schemas.openxmlformats.org/officeDocument/2006/relationships/hyperlink" Id="rId243" Target="https://doi.org/10.1186/s40663-018-0139-x" TargetMode="External" /><Relationship Type="http://schemas.openxmlformats.org/officeDocument/2006/relationships/hyperlink" Id="rId311" Target="https://doi.org/10.1191/095968399667128516" TargetMode="External" /><Relationship Type="http://schemas.openxmlformats.org/officeDocument/2006/relationships/hyperlink" Id="rId121" Target="https://doi.org/10.1371/journal.pone.0022813" TargetMode="External" /><Relationship Type="http://schemas.openxmlformats.org/officeDocument/2006/relationships/hyperlink" Id="rId299" Target="https://doi.org/10.1890/0012-9615(2006)076[0549:HCGEDW]2.0.CO;2" TargetMode="External" /><Relationship Type="http://schemas.openxmlformats.org/officeDocument/2006/relationships/hyperlink" Id="rId105" Target="https://doi.org/10.1890/13-0010.1" TargetMode="External" /><Relationship Type="http://schemas.openxmlformats.org/officeDocument/2006/relationships/hyperlink" Id="rId171" Target="https://doi.org/10.2307/1937545" TargetMode="External" /><Relationship Type="http://schemas.openxmlformats.org/officeDocument/2006/relationships/hyperlink" Id="rId205" Target="https://doi.org/10.2307/1941026" TargetMode="External" /><Relationship Type="http://schemas.openxmlformats.org/officeDocument/2006/relationships/hyperlink" Id="rId187" Target="https://doi.org/10.2737/RMRS-GTR-110" TargetMode="External" /><Relationship Type="http://schemas.openxmlformats.org/officeDocument/2006/relationships/hyperlink" Id="rId235" Target="https://doi.org/10.3375/043.030.0405" TargetMode="External" /><Relationship Type="http://schemas.openxmlformats.org/officeDocument/2006/relationships/hyperlink" Id="rId237" Target="https://doi.org/10.3389/ffgc.2020.00039" TargetMode="External" /><Relationship Type="http://schemas.openxmlformats.org/officeDocument/2006/relationships/hyperlink" Id="rId97" Target="https://doi.org/10.3959/2008-6.1" TargetMode="External" /><Relationship Type="http://schemas.openxmlformats.org/officeDocument/2006/relationships/hyperlink" Id="rId78" Target="https://doi.org/10.5194/bg-17-4173-2020" TargetMode="External" /><Relationship Type="http://schemas.openxmlformats.org/officeDocument/2006/relationships/hyperlink" Id="rId283" Target="https://doi.org/10.5194/cp-9-1481-2013" TargetMode="External" /><Relationship Type="http://schemas.openxmlformats.org/officeDocument/2006/relationships/hyperlink" Id="rId72" Target="https://doi.org/10.5281/ZENODO.3958215" TargetMode="External" /><Relationship Type="http://schemas.openxmlformats.org/officeDocument/2006/relationships/hyperlink" Id="rId30" Target="https://github.com/EcoClimLab/ForestGEO-climate-sensitivity/issues/128" TargetMode="External" /><Relationship Type="http://schemas.openxmlformats.org/officeDocument/2006/relationships/hyperlink" Id="rId35" Target="https://waterdata.usgs.gov/nwis/uv/?site_no=06461500&amp;agency_cd=USGS&amp;referred_module=sw" TargetMode="External" /><Relationship Type="http://schemas.openxmlformats.org/officeDocument/2006/relationships/hyperlink" Id="rId99" Target="https://www.ncdc.noaa.gov/paleo-search/study/31995" TargetMode="External" /><Relationship Type="http://schemas.openxmlformats.org/officeDocument/2006/relationships/hyperlink" Id="rId101" Target="https://www.ncdc.noaa.gov/paleo-search/study/31996" TargetMode="External" /><Relationship Type="http://schemas.openxmlformats.org/officeDocument/2006/relationships/hyperlink" Id="rId103" Target="https://www.ncdc.noaa.gov/paleo-search/study/31997" TargetMode="External" /><Relationship Type="http://schemas.openxmlformats.org/officeDocument/2006/relationships/hyperlink" Id="rId28"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61" Target="https://doi.org/10.1002/2016JG003528" TargetMode="External" /><Relationship Type="http://schemas.openxmlformats.org/officeDocument/2006/relationships/hyperlink" Id="rId82" Target="https://doi.org/10.1002/ece3.1532" TargetMode="External" /><Relationship Type="http://schemas.openxmlformats.org/officeDocument/2006/relationships/hyperlink" Id="rId279" Target="https://doi.org/10.1002/ecm.1272" TargetMode="External" /><Relationship Type="http://schemas.openxmlformats.org/officeDocument/2006/relationships/hyperlink" Id="rId153" Target="https://doi.org/10.1002/ecm.1423" TargetMode="External" /><Relationship Type="http://schemas.openxmlformats.org/officeDocument/2006/relationships/hyperlink" Id="rId143" Target="https://doi.org/10.1002/ecs2.1454" TargetMode="External" /><Relationship Type="http://schemas.openxmlformats.org/officeDocument/2006/relationships/hyperlink" Id="rId162" Target="https://doi.org/10.1002/ecs2.1847" TargetMode="External" /><Relationship Type="http://schemas.openxmlformats.org/officeDocument/2006/relationships/hyperlink" Id="rId151" Target="https://doi.org/10.1002/ecs2.1889" TargetMode="External" /><Relationship Type="http://schemas.openxmlformats.org/officeDocument/2006/relationships/hyperlink" Id="rId249" Target="https://doi.org/10.1002/ecy.3264" TargetMode="External" /><Relationship Type="http://schemas.openxmlformats.org/officeDocument/2006/relationships/hyperlink" Id="rId285" Target="https://doi.org/10.1002/joc.2117" TargetMode="External" /><Relationship Type="http://schemas.openxmlformats.org/officeDocument/2006/relationships/hyperlink" Id="rId179" Target="https://doi.org/10.1002/joc.3711" TargetMode="External" /><Relationship Type="http://schemas.openxmlformats.org/officeDocument/2006/relationships/hyperlink" Id="rId70" Target="https://doi.org/10.1007/978-3-319-61669-8" TargetMode="External" /><Relationship Type="http://schemas.openxmlformats.org/officeDocument/2006/relationships/hyperlink" Id="rId281" Target="https://doi.org/10.1007/978-94-007-1242-3_2" TargetMode="External" /><Relationship Type="http://schemas.openxmlformats.org/officeDocument/2006/relationships/hyperlink" Id="rId131" Target="https://doi.org/10.1007/BF00282374" TargetMode="External" /><Relationship Type="http://schemas.openxmlformats.org/officeDocument/2006/relationships/hyperlink" Id="rId297" Target="https://doi.org/10.1007/s00442-013-2846-x" TargetMode="External" /><Relationship Type="http://schemas.openxmlformats.org/officeDocument/2006/relationships/hyperlink" Id="rId68" Target="https://doi.org/10.1007/s00442-017-3879-3" TargetMode="External" /><Relationship Type="http://schemas.openxmlformats.org/officeDocument/2006/relationships/hyperlink" Id="rId253" Target="https://doi.org/10.1007/s00468-010-0480-3" TargetMode="External" /><Relationship Type="http://schemas.openxmlformats.org/officeDocument/2006/relationships/hyperlink" Id="rId66" Target="https://doi.org/10.1007/s00468-017-1629-0" TargetMode="External" /><Relationship Type="http://schemas.openxmlformats.org/officeDocument/2006/relationships/hyperlink" Id="rId287" Target="https://doi.org/10.1007/s00468-018-1767-z" TargetMode="External" /><Relationship Type="http://schemas.openxmlformats.org/officeDocument/2006/relationships/hyperlink" Id="rId166" Target="https://doi.org/10.1007/s10021-020-00501-y" TargetMode="External" /><Relationship Type="http://schemas.openxmlformats.org/officeDocument/2006/relationships/hyperlink" Id="rId175" Target="https://doi.org/10.1007/s10342-016-0982-7" TargetMode="External" /><Relationship Type="http://schemas.openxmlformats.org/officeDocument/2006/relationships/hyperlink" Id="rId149" Target="https://doi.org/10.1007/s10584-009-9594-2" TargetMode="External" /><Relationship Type="http://schemas.openxmlformats.org/officeDocument/2006/relationships/hyperlink" Id="rId215" Target="https://doi.org/10.1007/s10584-016-1720-3" TargetMode="External" /><Relationship Type="http://schemas.openxmlformats.org/officeDocument/2006/relationships/hyperlink" Id="rId164" Target="https://doi.org/10.1007/s10584-020-02868-2" TargetMode="External" /><Relationship Type="http://schemas.openxmlformats.org/officeDocument/2006/relationships/hyperlink" Id="rId271" Target="https://doi.org/10.1007/s11258-007-9345-2" TargetMode="External" /><Relationship Type="http://schemas.openxmlformats.org/officeDocument/2006/relationships/hyperlink" Id="rId160" Target="https://doi.org/10.1016/S0065-2504(08)60158-0" TargetMode="External" /><Relationship Type="http://schemas.openxmlformats.org/officeDocument/2006/relationships/hyperlink" Id="rId127" Target="https://doi.org/10.1016/S0378-1127(98)00242-4" TargetMode="External" /><Relationship Type="http://schemas.openxmlformats.org/officeDocument/2006/relationships/hyperlink" Id="rId91" Target="https://doi.org/10.1016/j.agrformet.2012.10.010" TargetMode="External" /><Relationship Type="http://schemas.openxmlformats.org/officeDocument/2006/relationships/hyperlink" Id="rId289" Target="https://doi.org/10.1016/j.agrformet.2017.07.015" TargetMode="External" /><Relationship Type="http://schemas.openxmlformats.org/officeDocument/2006/relationships/hyperlink" Id="rId275" Target="https://doi.org/10.1016/j.agrformet.2017.08.007" TargetMode="External" /><Relationship Type="http://schemas.openxmlformats.org/officeDocument/2006/relationships/hyperlink" Id="rId135" Target="https://doi.org/10.1016/j.biocon.2020.108907" TargetMode="External" /><Relationship Type="http://schemas.openxmlformats.org/officeDocument/2006/relationships/hyperlink" Id="rId223" Target="https://doi.org/10.1016/j.cageo.2011.01.013" TargetMode="External" /><Relationship Type="http://schemas.openxmlformats.org/officeDocument/2006/relationships/hyperlink" Id="rId313" Target="https://doi.org/10.1016/j.dendro.2012.08.001" TargetMode="External" /><Relationship Type="http://schemas.openxmlformats.org/officeDocument/2006/relationships/hyperlink" Id="rId201" Target="https://doi.org/10.1016/j.dendro.2019.125652" TargetMode="External" /><Relationship Type="http://schemas.openxmlformats.org/officeDocument/2006/relationships/hyperlink" Id="rId245" Target="https://doi.org/10.1016/j.dendro.2020.125678" TargetMode="External" /><Relationship Type="http://schemas.openxmlformats.org/officeDocument/2006/relationships/hyperlink" Id="rId145" Target="https://doi.org/10.1016/j.foreco.2008.10.014" TargetMode="External" /><Relationship Type="http://schemas.openxmlformats.org/officeDocument/2006/relationships/hyperlink" Id="rId301" Target="https://doi.org/10.1016/j.foreco.2009.03.007" TargetMode="External" /><Relationship Type="http://schemas.openxmlformats.org/officeDocument/2006/relationships/hyperlink" Id="rId209" Target="https://doi.org/10.1016/j.foreco.2009.03.009" TargetMode="External" /><Relationship Type="http://schemas.openxmlformats.org/officeDocument/2006/relationships/hyperlink" Id="rId137" Target="https://doi.org/10.1016/j.foreco.2009.08.009" TargetMode="External" /><Relationship Type="http://schemas.openxmlformats.org/officeDocument/2006/relationships/hyperlink" Id="rId255" Target="https://doi.org/10.1016/j.foreco.2015.08.034" TargetMode="External" /><Relationship Type="http://schemas.openxmlformats.org/officeDocument/2006/relationships/hyperlink" Id="rId155" Target="https://doi.org/10.1016/j.foreco.2020.118717" TargetMode="External" /><Relationship Type="http://schemas.openxmlformats.org/officeDocument/2006/relationships/hyperlink" Id="rId84" Target="https://doi.org/10.1016/j.quascirev.2018.07.009" TargetMode="External" /><Relationship Type="http://schemas.openxmlformats.org/officeDocument/2006/relationships/hyperlink" Id="rId273" Target="https://doi.org/10.1016/j.scitotenv.2020.140288" TargetMode="External" /><Relationship Type="http://schemas.openxmlformats.org/officeDocument/2006/relationships/hyperlink" Id="rId107" Target="https://doi.org/10.1016/j.tplants.2012.08.005" TargetMode="External" /><Relationship Type="http://schemas.openxmlformats.org/officeDocument/2006/relationships/hyperlink" Id="rId317" Target="https://doi.org/10.1016/j.tplants.2013.05.006" TargetMode="External" /><Relationship Type="http://schemas.openxmlformats.org/officeDocument/2006/relationships/hyperlink" Id="rId129" Target="https://doi.org/10.1017/CBO9780511760006.002" TargetMode="External" /><Relationship Type="http://schemas.openxmlformats.org/officeDocument/2006/relationships/hyperlink" Id="rId230" Target="https://doi.org/10.1017/S1464793104006499" TargetMode="External" /><Relationship Type="http://schemas.openxmlformats.org/officeDocument/2006/relationships/hyperlink" Id="rId64" Target="https://doi.org/10.1017/qua.2019.33" TargetMode="External" /><Relationship Type="http://schemas.openxmlformats.org/officeDocument/2006/relationships/hyperlink" Id="rId111" Target="https://doi.org/10.1029/2011GB004143" TargetMode="External" /><Relationship Type="http://schemas.openxmlformats.org/officeDocument/2006/relationships/hyperlink" Id="rId185" Target="https://doi.org/10.1029/2018JG004573" TargetMode="External" /><Relationship Type="http://schemas.openxmlformats.org/officeDocument/2006/relationships/hyperlink" Id="rId213" Target="https://doi.org/10.1029/2019JG005298" TargetMode="External" /><Relationship Type="http://schemas.openxmlformats.org/officeDocument/2006/relationships/hyperlink" Id="rId264" Target="https://doi.org/10.1038/nature12914" TargetMode="External" /><Relationship Type="http://schemas.openxmlformats.org/officeDocument/2006/relationships/hyperlink" Id="rId305" Target="https://doi.org/10.1038/nclimate1693" TargetMode="External" /><Relationship Type="http://schemas.openxmlformats.org/officeDocument/2006/relationships/hyperlink" Id="rId295" Target="https://doi.org/10.1038/ngeo2313" TargetMode="External" /><Relationship Type="http://schemas.openxmlformats.org/officeDocument/2006/relationships/hyperlink" Id="rId95" Target="https://doi.org/10.1038/nplants.2015.139" TargetMode="External" /><Relationship Type="http://schemas.openxmlformats.org/officeDocument/2006/relationships/hyperlink" Id="rId193" Target="https://doi.org/10.1038/s41467-018-07800-y" TargetMode="External" /><Relationship Type="http://schemas.openxmlformats.org/officeDocument/2006/relationships/hyperlink" Id="rId141" Target="https://doi.org/10.1038/s41467-020-14300-5" TargetMode="External" /><Relationship Type="http://schemas.openxmlformats.org/officeDocument/2006/relationships/hyperlink" Id="rId189" Target="https://doi.org/10.1038/s41586-021-03325-5" TargetMode="External" /><Relationship Type="http://schemas.openxmlformats.org/officeDocument/2006/relationships/hyperlink" Id="rId181" Target="https://doi.org/10.1038/s41597-020-0453-3" TargetMode="External" /><Relationship Type="http://schemas.openxmlformats.org/officeDocument/2006/relationships/hyperlink" Id="rId199" Target="https://doi.org/10.1038/srep46158" TargetMode="External" /><Relationship Type="http://schemas.openxmlformats.org/officeDocument/2006/relationships/hyperlink" Id="rId168" Target="https://doi.org/10.1073/pnas.1610156113" TargetMode="External" /><Relationship Type="http://schemas.openxmlformats.org/officeDocument/2006/relationships/hyperlink" Id="rId109" Target="https://doi.org/10.1078/1125-7865-00017" TargetMode="External" /><Relationship Type="http://schemas.openxmlformats.org/officeDocument/2006/relationships/hyperlink" Id="rId269" Target="https://doi.org/10.1088/1748-9326/11/11/114007" TargetMode="External" /><Relationship Type="http://schemas.openxmlformats.org/officeDocument/2006/relationships/hyperlink" Id="rId191" Target="https://doi.org/10.1088/1748-9326/abd8fb" TargetMode="External" /><Relationship Type="http://schemas.openxmlformats.org/officeDocument/2006/relationships/hyperlink" Id="rId195" Target="https://doi.org/10.1093/treephys/tpaa091" TargetMode="External" /><Relationship Type="http://schemas.openxmlformats.org/officeDocument/2006/relationships/hyperlink" Id="rId76" Target="https://doi.org/10.1111/1365-2435.12470" TargetMode="External" /><Relationship Type="http://schemas.openxmlformats.org/officeDocument/2006/relationships/hyperlink" Id="rId259" Target="https://doi.org/10.1111/1365-2435.12775" TargetMode="External" /><Relationship Type="http://schemas.openxmlformats.org/officeDocument/2006/relationships/hyperlink" Id="rId139" Target="https://doi.org/10.1111/1365-2745.13569" TargetMode="External" /><Relationship Type="http://schemas.openxmlformats.org/officeDocument/2006/relationships/hyperlink" Id="rId291" Target="https://doi.org/10.1111/2041-210X.12590" TargetMode="External" /><Relationship Type="http://schemas.openxmlformats.org/officeDocument/2006/relationships/hyperlink" Id="rId247" Target="https://doi.org/10.1111/2041-210X.12753" TargetMode="External" /><Relationship Type="http://schemas.openxmlformats.org/officeDocument/2006/relationships/hyperlink" Id="rId315" Target="https://doi.org/10.1111/ecog.01335" TargetMode="External" /><Relationship Type="http://schemas.openxmlformats.org/officeDocument/2006/relationships/hyperlink" Id="rId80" Target="https://doi.org/10.1111/ecog.05055" TargetMode="External" /><Relationship Type="http://schemas.openxmlformats.org/officeDocument/2006/relationships/hyperlink" Id="rId125" Target="https://doi.org/10.1111/ele.12650" TargetMode="External" /><Relationship Type="http://schemas.openxmlformats.org/officeDocument/2006/relationships/hyperlink" Id="rId88" Target="https://doi.org/10.1111/gcb.12349" TargetMode="External" /><Relationship Type="http://schemas.openxmlformats.org/officeDocument/2006/relationships/hyperlink" Id="rId228" Target="https://doi.org/10.1111/gcb.12599" TargetMode="External" /><Relationship Type="http://schemas.openxmlformats.org/officeDocument/2006/relationships/hyperlink" Id="rId74" Target="https://doi.org/10.1111/gcb.12712" TargetMode="External" /><Relationship Type="http://schemas.openxmlformats.org/officeDocument/2006/relationships/hyperlink" Id="rId239" Target="https://doi.org/10.1111/gcb.12826" TargetMode="External" /><Relationship Type="http://schemas.openxmlformats.org/officeDocument/2006/relationships/hyperlink" Id="rId173" Target="https://doi.org/10.1111/gcb.12955" TargetMode="External" /><Relationship Type="http://schemas.openxmlformats.org/officeDocument/2006/relationships/hyperlink" Id="rId157" Target="https://doi.org/10.1111/gcb.13208" TargetMode="External" /><Relationship Type="http://schemas.openxmlformats.org/officeDocument/2006/relationships/hyperlink" Id="rId123" Target="https://doi.org/10.1111/gcb.13366" TargetMode="External" /><Relationship Type="http://schemas.openxmlformats.org/officeDocument/2006/relationships/hyperlink" Id="rId113" Target="https://doi.org/10.1111/gcb.13410" TargetMode="External" /><Relationship Type="http://schemas.openxmlformats.org/officeDocument/2006/relationships/hyperlink" Id="rId119" Target="https://doi.org/10.1111/gcb.13535" TargetMode="External" /><Relationship Type="http://schemas.openxmlformats.org/officeDocument/2006/relationships/hyperlink" Id="rId293" Target="https://doi.org/10.1111/gcb.13572" TargetMode="External" /><Relationship Type="http://schemas.openxmlformats.org/officeDocument/2006/relationships/hyperlink" Id="rId277" Target="https://doi.org/10.1111/gcb.14120" TargetMode="External" /><Relationship Type="http://schemas.openxmlformats.org/officeDocument/2006/relationships/hyperlink" Id="rId211" Target="https://doi.org/10.1111/gcb.14273" TargetMode="External" /><Relationship Type="http://schemas.openxmlformats.org/officeDocument/2006/relationships/hyperlink" Id="rId177" Target="https://doi.org/10.1111/gcb.14561" TargetMode="External" /><Relationship Type="http://schemas.openxmlformats.org/officeDocument/2006/relationships/hyperlink" Id="rId307" Target="https://doi.org/10.1111/gcb.15057" TargetMode="External" /><Relationship Type="http://schemas.openxmlformats.org/officeDocument/2006/relationships/hyperlink" Id="rId93" Target="https://doi.org/10.1111/gcb.15491" TargetMode="External" /><Relationship Type="http://schemas.openxmlformats.org/officeDocument/2006/relationships/hyperlink" Id="rId207" Target="https://doi.org/10.1111/gcb.15548" TargetMode="External" /><Relationship Type="http://schemas.openxmlformats.org/officeDocument/2006/relationships/hyperlink" Id="rId232" Target="https://doi.org/10.1111/j.1365-2486.2010.02222.x" TargetMode="External" /><Relationship Type="http://schemas.openxmlformats.org/officeDocument/2006/relationships/hyperlink" Id="rId309" Target="https://doi.org/10.1111/j.1467-9868.2010.00749.x" TargetMode="External" /><Relationship Type="http://schemas.openxmlformats.org/officeDocument/2006/relationships/hyperlink" Id="rId251" Target="https://doi.org/10.1111/j.1469-8137.2007.02235.x" TargetMode="External" /><Relationship Type="http://schemas.openxmlformats.org/officeDocument/2006/relationships/hyperlink" Id="rId226" Target="https://doi.org/10.1111/j.1600-0587.2013.00205.x" TargetMode="External" /><Relationship Type="http://schemas.openxmlformats.org/officeDocument/2006/relationships/hyperlink" Id="rId221" Target="https://doi.org/10.1111/nph.14633" TargetMode="External" /><Relationship Type="http://schemas.openxmlformats.org/officeDocument/2006/relationships/hyperlink" Id="rId197" Target="https://doi.org/10.1111/nph.15668" TargetMode="External" /><Relationship Type="http://schemas.openxmlformats.org/officeDocument/2006/relationships/hyperlink" Id="rId183" Target="https://doi.org/10.1111/nph.15906" TargetMode="External" /><Relationship Type="http://schemas.openxmlformats.org/officeDocument/2006/relationships/hyperlink" Id="rId303" Target="https://doi.org/10.1111/nph.16866" TargetMode="External" /><Relationship Type="http://schemas.openxmlformats.org/officeDocument/2006/relationships/hyperlink" Id="rId219" Target="https://doi.org/10.1111/nph.16996" TargetMode="External" /><Relationship Type="http://schemas.openxmlformats.org/officeDocument/2006/relationships/hyperlink" Id="rId86" Target="https://doi.org/10.1126/sciadv.aat4313" TargetMode="External" /><Relationship Type="http://schemas.openxmlformats.org/officeDocument/2006/relationships/hyperlink" Id="rId147" Target="https://doi.org/10.1126/science.1066360" TargetMode="External" /><Relationship Type="http://schemas.openxmlformats.org/officeDocument/2006/relationships/hyperlink" Id="rId117" Target="https://doi.org/10.1126/science.1197175" TargetMode="External" /><Relationship Type="http://schemas.openxmlformats.org/officeDocument/2006/relationships/hyperlink" Id="rId267" Target="https://doi.org/10.1126/science.aaw7578" TargetMode="External" /><Relationship Type="http://schemas.openxmlformats.org/officeDocument/2006/relationships/hyperlink" Id="rId217" Target="https://doi.org/10.1126/science.aaz9463" TargetMode="External" /><Relationship Type="http://schemas.openxmlformats.org/officeDocument/2006/relationships/hyperlink" Id="rId115" Target="https://doi.org/10.1139/cjfr-2018-0206" TargetMode="External" /><Relationship Type="http://schemas.openxmlformats.org/officeDocument/2006/relationships/hyperlink" Id="rId203" Target="https://doi.org/10.1139/x89-102" TargetMode="External" /><Relationship Type="http://schemas.openxmlformats.org/officeDocument/2006/relationships/hyperlink" Id="rId133" Target="https://doi.org/10.1177/095968369700700314" TargetMode="External" /><Relationship Type="http://schemas.openxmlformats.org/officeDocument/2006/relationships/hyperlink" Id="rId257" Target="https://doi.org/10.1186/s40663-018-0133-3" TargetMode="External" /><Relationship Type="http://schemas.openxmlformats.org/officeDocument/2006/relationships/hyperlink" Id="rId243" Target="https://doi.org/10.1186/s40663-018-0139-x" TargetMode="External" /><Relationship Type="http://schemas.openxmlformats.org/officeDocument/2006/relationships/hyperlink" Id="rId311" Target="https://doi.org/10.1191/095968399667128516" TargetMode="External" /><Relationship Type="http://schemas.openxmlformats.org/officeDocument/2006/relationships/hyperlink" Id="rId121" Target="https://doi.org/10.1371/journal.pone.0022813" TargetMode="External" /><Relationship Type="http://schemas.openxmlformats.org/officeDocument/2006/relationships/hyperlink" Id="rId299" Target="https://doi.org/10.1890/0012-9615(2006)076[0549:HCGEDW]2.0.CO;2" TargetMode="External" /><Relationship Type="http://schemas.openxmlformats.org/officeDocument/2006/relationships/hyperlink" Id="rId105" Target="https://doi.org/10.1890/13-0010.1" TargetMode="External" /><Relationship Type="http://schemas.openxmlformats.org/officeDocument/2006/relationships/hyperlink" Id="rId171" Target="https://doi.org/10.2307/1937545" TargetMode="External" /><Relationship Type="http://schemas.openxmlformats.org/officeDocument/2006/relationships/hyperlink" Id="rId205" Target="https://doi.org/10.2307/1941026" TargetMode="External" /><Relationship Type="http://schemas.openxmlformats.org/officeDocument/2006/relationships/hyperlink" Id="rId187" Target="https://doi.org/10.2737/RMRS-GTR-110" TargetMode="External" /><Relationship Type="http://schemas.openxmlformats.org/officeDocument/2006/relationships/hyperlink" Id="rId235" Target="https://doi.org/10.3375/043.030.0405" TargetMode="External" /><Relationship Type="http://schemas.openxmlformats.org/officeDocument/2006/relationships/hyperlink" Id="rId237" Target="https://doi.org/10.3389/ffgc.2020.00039" TargetMode="External" /><Relationship Type="http://schemas.openxmlformats.org/officeDocument/2006/relationships/hyperlink" Id="rId97" Target="https://doi.org/10.3959/2008-6.1" TargetMode="External" /><Relationship Type="http://schemas.openxmlformats.org/officeDocument/2006/relationships/hyperlink" Id="rId78" Target="https://doi.org/10.5194/bg-17-4173-2020" TargetMode="External" /><Relationship Type="http://schemas.openxmlformats.org/officeDocument/2006/relationships/hyperlink" Id="rId283" Target="https://doi.org/10.5194/cp-9-1481-2013" TargetMode="External" /><Relationship Type="http://schemas.openxmlformats.org/officeDocument/2006/relationships/hyperlink" Id="rId72" Target="https://doi.org/10.5281/ZENODO.3958215" TargetMode="External" /><Relationship Type="http://schemas.openxmlformats.org/officeDocument/2006/relationships/hyperlink" Id="rId30" Target="https://github.com/EcoClimLab/ForestGEO-climate-sensitivity/issues/128" TargetMode="External" /><Relationship Type="http://schemas.openxmlformats.org/officeDocument/2006/relationships/hyperlink" Id="rId35" Target="https://waterdata.usgs.gov/nwis/uv/?site_no=06461500&amp;agency_cd=USGS&amp;referred_module=sw" TargetMode="External" /><Relationship Type="http://schemas.openxmlformats.org/officeDocument/2006/relationships/hyperlink" Id="rId99" Target="https://www.ncdc.noaa.gov/paleo-search/study/31995" TargetMode="External" /><Relationship Type="http://schemas.openxmlformats.org/officeDocument/2006/relationships/hyperlink" Id="rId101" Target="https://www.ncdc.noaa.gov/paleo-search/study/31996" TargetMode="External" /><Relationship Type="http://schemas.openxmlformats.org/officeDocument/2006/relationships/hyperlink" Id="rId103" Target="https://www.ncdc.noaa.gov/paleo-search/study/31997" TargetMode="External" /><Relationship Type="http://schemas.openxmlformats.org/officeDocument/2006/relationships/hyperlink" Id="rId28"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2021-05-04T09:30:11Z</dcterms:created>
  <dcterms:modified xsi:type="dcterms:W3CDTF">2021-05-04T09:30:11Z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@alfaro-sanchez_growth_2017;@bourg_initial_2013; @helcoski_growing_2019 @gonzalez-akre_scbi-forestgeoscbi-forestgeo-data_2020-1; @bumann_assessing_2019; @samonil_individual-based_2013; @kaspar_speciesspecific_2021; @alexander_potential_2019; @finzi_carbon_2020; @birch_birch_2020; @birch_birch_2020b; @birch_birch_2020c; @birch_birch_2020d</vt:lpwstr>
  </property>
  <property fmtid="{D5CDD505-2E9C-101B-9397-08002B2CF9AE}" pid="5" name="output">
    <vt:lpwstr/>
  </property>
</Properties>
</file>