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t xml:space="preserve">Trends with year, when assessed, were generally consistent with those observed in a separate analysis of DBH-growth relationships by year (Fig. S5).</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S14).</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2021-06-01T13:00:54Z</dcterms:created>
  <dcterms:modified xsi:type="dcterms:W3CDTF">2021-06-01T13:00:54Z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