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environmental drivers and their interactions with tree size.</w:t>
      </w:r>
      <w:r>
        <w:t xml:space="preserve"> </w:t>
      </w:r>
      <w:r>
        <w:t xml:space="preserve">Here, we develop and apply a new method to simultaneously model nonlinear effects of primary climate drivers, reconstructed tree diameter at breast height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usually more sensitive.</w:t>
      </w:r>
      <w:r>
        <w:t xml:space="preserve"> </w:t>
      </w:r>
      <w:r>
        <w:t xml:space="preserve">Trends in ring width at small DBH were linked to the light environment under which trees established, but basal area or biomass increments consistently reached maxima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result in a limited potential of a contemporary set of tree cores to represent the growth history of a population</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 relationship with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generalized last squares (GLS) model is used to produce a combined model with the previously identified drivers, reconstructed diameter at breast height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growth cessation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fixed-effect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responses to PPT,</w:t>
      </w:r>
      <w:r>
        <w:t xml:space="preserve"> </w:t>
      </w:r>
      <m:oMath>
        <m:sSub>
          <m:e>
            <m:r>
              <m:t>T</m:t>
            </m:r>
          </m:e>
          <m:sub>
            <m:r>
              <m:t>m</m:t>
            </m:r>
            <m:r>
              <m:t>a</m:t>
            </m:r>
            <m:r>
              <m:t>x</m:t>
            </m:r>
          </m:sub>
        </m:sSub>
      </m:oMath>
      <w:r>
        <w:t xml:space="preserve">, and DBH would look like this in</w:t>
      </w:r>
      <w:r>
        <w:t xml:space="preserve"> </w:t>
      </w:r>
      <w:r>
        <w:rPr>
          <w:iCs/>
          <w:i/>
        </w:rPr>
        <w:t xml:space="preserve">R</w:t>
      </w:r>
      <w:r>
        <w:t xml:space="preserve">:</w:t>
      </w:r>
    </w:p>
    <w:p>
      <w:pPr>
        <w:pStyle w:val="BodyText"/>
      </w:pPr>
      <w:r>
        <w:rPr>
          <w:iCs/>
          <w:i/>
        </w:rPr>
        <w:t xml:space="preserve">lme(log[RW] ~ PPT + I(PPT^2) +</w:t>
      </w:r>
      <w:r>
        <w:rPr>
          <w:iCs/>
          <w:i/>
        </w:rPr>
        <w:t xml:space="preserve"> </w:t>
      </w:r>
      <m:oMath>
        <m:sSub>
          <m:e>
            <m:r>
              <m:t>T</m:t>
            </m:r>
          </m:e>
          <m:sub>
            <m:r>
              <m:t>m</m:t>
            </m:r>
            <m:r>
              <m:t>a</m:t>
            </m:r>
            <m:r>
              <m:t>x</m:t>
            </m:r>
          </m:sub>
        </m:sSub>
      </m:oMath>
      <w:r>
        <w:rPr>
          <w:iCs/>
          <w:i/>
        </w:rPr>
        <w:t xml:space="preserve"> </w:t>
      </w:r>
      <w:r>
        <w:rPr>
          <w:iCs/>
          <w:i/>
        </w:rPr>
        <w:t xml:space="preserve">+ I(</w:t>
      </w:r>
      <m:oMath>
        <m:sSub>
          <m:e>
            <m:r>
              <m:t>T</m:t>
            </m:r>
          </m:e>
          <m:sub>
            <m:r>
              <m:t>m</m:t>
            </m:r>
            <m:r>
              <m:t>a</m:t>
            </m:r>
            <m:r>
              <m:t>x</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w:t>
      </w:r>
      <w:r>
        <w:t xml:space="preserve"> </w:t>
      </w:r>
      <w:r>
        <w:t xml:space="preserve">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may reduce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iameter at breast height (DBH), and calendar year. Arrow shapes approximate responses detailed in Figs. 4, 6,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BCNM through SC are codes for ten forested sites spanning 52 degrees latitude (Table 2); sites are ordered by descending mean annual temperature."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diameter at breast height (DBH), and calendar year</w:t>
      </w:r>
      <w:r>
        <w:t xml:space="preserve">. Arrow shapes approximate responses detailed in Figs. 4, 6,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 BCNM through SC are codes for ten forested sites spanning 52 degrees latitude (Table 2); sites are ordered by descending mean annual temperature.</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ing width (RW) to climwin-selected variables in precipitation and temperature variable groups for 10 sites. 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ring width (RW) to climwin-selected variables in precipitation and temperature variable groups for 10 sites.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PPT = precipitation, PDF = precipitation day frequency, PET = potential evapotranspiration.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iameter at breast height (DBH) interactions for three t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diameter at breast height (DBH) interactions for three tree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PPT = precipitation, PDF = precipitation day frequency, PET = potential evapotranspiration.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iameter at breast height (DBH): (a) ring width (RW), (b) basal area increment (BAI), (c) \Delta aboveground biomass (AGB). 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diameter at breast height (DBH): (a) ring width (RW), (b) basal area increment (BAI), (c)</w:t>
      </w:r>
      <w:r>
        <w:rPr>
          <w:bCs/>
          <w:b/>
        </w:rPr>
        <w:t xml:space="preserve"> </w:t>
      </w:r>
      <m:oMath>
        <m:r>
          <m:t>Δ</m:t>
        </m:r>
      </m:oMath>
      <w:r>
        <w:rPr>
          <w:bCs/>
          <w:b/>
        </w:rPr>
        <w:t xml:space="preserve"> </w:t>
      </w:r>
      <w:r>
        <w:rPr>
          <w:bCs/>
          <w:b/>
        </w:rPr>
        <w:t xml:space="preserve">aboveground biomass (AGB).</w:t>
      </w:r>
      <w:r>
        <w:t xml:space="preserve"> </w:t>
      </w:r>
      <w:r>
        <w:t xml:space="preserve">Models presented here include climate variables and DBH as fixed effects. Relationships for tree species in 10 sites (Table 2)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sal area increment (BAI). 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basal area increment (BAI).</w:t>
      </w:r>
      <w:r>
        <w:t xml:space="preserve"> </w:t>
      </w:r>
      <w:r>
        <w:t xml:space="preserve">Models presented here include climate variables, reconstructed diameter at breast height (DBH), and year as fixed effects for 10 sites (Table 2). For each tree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RW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may be in part attributable to increasing carbon allocation to functions other than woody growth, such as reproduction</w:t>
      </w:r>
      <w:r>
        <w:t xml:space="preserve"> </w:t>
      </w:r>
      <w:r>
        <w:t xml:space="preserve">(Thomas, 2011)</w:t>
      </w:r>
      <w:r>
        <w:t xml:space="preserve">, and possibly to physiological declines as trees age</w:t>
      </w:r>
      <w:r>
        <w:t xml:space="preserve"> </w:t>
      </w:r>
      <w:r>
        <w:t xml:space="preserve">(Forrester, 2021; Qiu et al., 2021)</w:t>
      </w:r>
      <w:r>
        <w:t xml:space="preserv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Growth declines may also be linked to slowly changing environmental conditions (e.g., successional changes in stand structure, climate change).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Simultaneous evaluation of multiple drivers can improve analysis, understanding, and predictions of global change effects on tree growth and forest productivity.</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Descriptions of sites included in this analysis</w:t>
      </w:r>
    </w:p>
    <w:p>
      <w:pPr>
        <w:pStyle w:val="BodyText"/>
      </w:pPr>
      <w:r>
        <w:t xml:space="preserve">Appendix S2. Methods for reconstruction of diameter breast height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Additional information on sites included in this analysis.</w:t>
      </w:r>
    </w:p>
    <w:p>
      <w:pPr>
        <w:pStyle w:val="BodyText"/>
      </w:pPr>
      <w:r>
        <w:t xml:space="preserve">Table S2. Tree species analyzed, their characteristics, and bark allometries applied.</w:t>
      </w:r>
    </w:p>
    <w:p>
      <w:pPr>
        <w:pStyle w:val="BodyText"/>
      </w:pPr>
      <w:r>
        <w:t xml:space="preserve">Table S3. Sampling details for tree species by site.</w:t>
      </w:r>
    </w:p>
    <w:p>
      <w:pPr>
        <w:pStyle w:val="BodyText"/>
      </w:pPr>
      <w:r>
        <w:t xml:space="preserve">Table S4. Allometric equations for tree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for Harvard Forest, MA, USA.</w:t>
      </w:r>
    </w:p>
    <w:p>
      <w:pPr>
        <w:pStyle w:val="BodyText"/>
      </w:pPr>
      <w:r>
        <w:t xml:space="preserve">Figure S6. Climwin output describing the strongest predictor of interannual variation in tree growth within the temperature variable group at Huai Kha Khaeng, Thailand.</w:t>
      </w:r>
    </w:p>
    <w:p>
      <w:pPr>
        <w:pStyle w:val="BodyText"/>
      </w:pPr>
      <w:r>
        <w:t xml:space="preserve">Figure S7. Climwin output describing the strongest predictor of interannual variation in tree growth within the water variable group at the Smithsonian Conservation Biology Institute (SCBI), VA, USA.</w:t>
      </w:r>
    </w:p>
    <w:p>
      <w:pPr>
        <w:pStyle w:val="BodyText"/>
      </w:pPr>
      <w:r>
        <w:t xml:space="preserve">Figure S8. Climwin output describing the strongest predictor of interannual variation in tree growth within the temperature variable group at the Smithsonian Conservation Biology Institute (SCBI), VA, USA.</w:t>
      </w:r>
    </w:p>
    <w:p>
      <w:pPr>
        <w:pStyle w:val="BodyText"/>
      </w:pPr>
      <w:r>
        <w:t xml:space="preserve">Figure S9. Climwin output describing the strongest predictor of interannual variation in tree growth within the water variable group at Harvard Forest, MA, USA.</w:t>
      </w:r>
    </w:p>
    <w:p>
      <w:pPr>
        <w:pStyle w:val="BodyText"/>
      </w:pPr>
      <w:r>
        <w:t xml:space="preserve">Figure S10. Best generalized least squares (GLS) models describing annual tree growth based on climate and diameter breast height (DBH) for Barro Colorado National Monument (BCNM), Panama.</w:t>
      </w:r>
    </w:p>
    <w:p>
      <w:pPr>
        <w:pStyle w:val="BodyText"/>
      </w:pPr>
      <w:r>
        <w:t xml:space="preserve">Figure S11. Best generalized least squares (GLS) models describing annual tree growth based on climate and diameter breast height (DBH) for Smithsonian Conservation Biology Institute (SCBI), VA, USA.</w:t>
      </w:r>
    </w:p>
    <w:p>
      <w:pPr>
        <w:pStyle w:val="BodyText"/>
      </w:pPr>
      <w:r>
        <w:t xml:space="preserve">Figure S12. Best generalized least squares (GLS) models describing annual tree growth based onclimate, diameter breast height (DBH), and year for Smithsonian Conservation Biology Institute (SCBI), VA, USA.</w:t>
      </w:r>
    </w:p>
    <w:p>
      <w:pPr>
        <w:pStyle w:val="BodyText"/>
      </w:pPr>
      <w:r>
        <w:t xml:space="preserve">Figure S13. Best generalized least squares (GLS) models describing annual tree growth based on climate, diameter breast height (DBH), and year for Little Tesuque, NM, USA.</w:t>
      </w:r>
    </w:p>
    <w:p>
      <w:pPr>
        <w:pStyle w:val="BodyText"/>
      </w:pPr>
      <w:r>
        <w:t xml:space="preserve">Figure S14. Interannual climate sensitivity of annual tree growth at Scotty Creek, NT, Canada before and after 1970.</w:t>
      </w:r>
    </w:p>
    <w:p>
      <w:pPr>
        <w:pStyle w:val="BodyText"/>
      </w:pPr>
      <w:r>
        <w:t xml:space="preserve">Figure S15. Significant climate - diameter breast height (DBH) interactions in generalized least squares (GLS) models describing interannual variation in ring width (RW) for tree species at 10 sites.</w:t>
      </w:r>
    </w:p>
    <w:p>
      <w:pPr>
        <w:pStyle w:val="BodyText"/>
      </w:pPr>
      <w:r>
        <w:t xml:space="preserve">Figure S16. Responses of annual growth, expressed as ring width (RW), (b) basal area increment (BAI), or (c) aboveground biomass (AGB) increase, to calendar year for 35 tree species at 10 sites.</w:t>
      </w:r>
    </w:p>
    <w:bookmarkEnd w:id="64"/>
    <w:bookmarkStart w:id="315" w:name="References"/>
    <w:p>
      <w:pPr>
        <w:pStyle w:val="Heading1"/>
      </w:pPr>
      <w:r>
        <w:t xml:space="preserve">References</w:t>
      </w:r>
    </w:p>
    <w:bookmarkStart w:id="314"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qiu_there_2021"/>
    <w:p>
      <w:pPr>
        <w:pStyle w:val="Bibliography"/>
      </w:pPr>
      <w:r>
        <w:t xml:space="preserve">Qiu, T., Aravena, M.-C., Andrus, R., Ascoli, D., Bergeron, Y., Berretti, R., Bogdziewicz, M., Boivin, T., Bonal, R., Caignard, T., Calama, R., Camarero, J. J., Clark, C. J., Courbaud, B., Delzon, S., Calderon, S. D., Farfan-Rios, W., Gehring, C. A., Gilbert, G. S., … Clark, J. S. (2021). Is there tree senescence?</w:t>
      </w:r>
      <w:r>
        <w:t xml:space="preserve"> </w:t>
      </w:r>
      <w:r>
        <w:t xml:space="preserve">The</w:t>
      </w:r>
      <w:r>
        <w:t xml:space="preserve"> </w:t>
      </w:r>
      <w:r>
        <w:t xml:space="preserve">fecundity evidence.</w:t>
      </w:r>
      <w:r>
        <w:t xml:space="preserve"> </w:t>
      </w:r>
      <w:r>
        <w:rPr>
          <w:iCs/>
          <w:i/>
        </w:rPr>
        <w:t xml:space="preserve">Proceedings of the National Academy of Sciences</w:t>
      </w:r>
      <w:r>
        <w:t xml:space="preserve">,</w:t>
      </w:r>
      <w:r>
        <w:t xml:space="preserve"> </w:t>
      </w:r>
      <w:r>
        <w:rPr>
          <w:iCs/>
          <w:i/>
        </w:rPr>
        <w:t xml:space="preserve">118</w:t>
      </w:r>
      <w:r>
        <w:t xml:space="preserve">(34).</w:t>
      </w:r>
      <w:r>
        <w:t xml:space="preserve"> </w:t>
      </w:r>
      <w:hyperlink r:id="rId234">
        <w:r>
          <w:rPr>
            <w:rStyle w:val="Hyperlink"/>
          </w:rPr>
          <w:t xml:space="preserve">https://doi.org/10.1073/pnas.2106130118</w:t>
        </w:r>
      </w:hyperlink>
    </w:p>
    <w:bookmarkEnd w:id="235"/>
    <w:bookmarkStart w:id="237"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6">
        <w:r>
          <w:rPr>
            <w:rStyle w:val="Hyperlink"/>
          </w:rPr>
          <w:t xml:space="preserve">https://doi.org/10.1016/j.dendro.2020.125678</w:t>
        </w:r>
      </w:hyperlink>
    </w:p>
    <w:bookmarkEnd w:id="237"/>
    <w:bookmarkStart w:id="239"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8">
        <w:r>
          <w:rPr>
            <w:rStyle w:val="Hyperlink"/>
          </w:rPr>
          <w:t xml:space="preserve">https://doi.org/10.1111/2041-210X.12753</w:t>
        </w:r>
      </w:hyperlink>
    </w:p>
    <w:bookmarkEnd w:id="239"/>
    <w:bookmarkStart w:id="241"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0">
        <w:r>
          <w:rPr>
            <w:rStyle w:val="Hyperlink"/>
          </w:rPr>
          <w:t xml:space="preserve">https://doi.org/10.1002/ecy.3264</w:t>
        </w:r>
      </w:hyperlink>
    </w:p>
    <w:bookmarkEnd w:id="241"/>
    <w:bookmarkStart w:id="243"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2">
        <w:r>
          <w:rPr>
            <w:rStyle w:val="Hyperlink"/>
          </w:rPr>
          <w:t xml:space="preserve">https://doi.org/10.1111/j.1469-8137.2007.02235.x</w:t>
        </w:r>
      </w:hyperlink>
    </w:p>
    <w:bookmarkEnd w:id="243"/>
    <w:bookmarkStart w:id="245"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4">
        <w:r>
          <w:rPr>
            <w:rStyle w:val="Hyperlink"/>
          </w:rPr>
          <w:t xml:space="preserve">https://doi.org/10.1007/s00468-010-0480-3</w:t>
        </w:r>
      </w:hyperlink>
    </w:p>
    <w:bookmarkEnd w:id="245"/>
    <w:bookmarkStart w:id="247"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6">
        <w:r>
          <w:rPr>
            <w:rStyle w:val="Hyperlink"/>
          </w:rPr>
          <w:t xml:space="preserve">https://doi.org/10.1016/j.foreco.2015.08.034</w:t>
        </w:r>
      </w:hyperlink>
    </w:p>
    <w:bookmarkEnd w:id="247"/>
    <w:bookmarkStart w:id="249"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8">
        <w:r>
          <w:rPr>
            <w:rStyle w:val="Hyperlink"/>
          </w:rPr>
          <w:t xml:space="preserve">https://doi.org/10.1186/s40663-018-0133-3</w:t>
        </w:r>
      </w:hyperlink>
    </w:p>
    <w:bookmarkEnd w:id="249"/>
    <w:bookmarkStart w:id="251"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0">
        <w:r>
          <w:rPr>
            <w:rStyle w:val="Hyperlink"/>
          </w:rPr>
          <w:t xml:space="preserve">https://doi.org/10.1111/1365-2435.12775</w:t>
        </w:r>
      </w:hyperlink>
    </w:p>
    <w:bookmarkEnd w:id="251"/>
    <w:bookmarkStart w:id="253"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2">
        <w:r>
          <w:rPr>
            <w:rStyle w:val="Hyperlink"/>
          </w:rPr>
          <w:t xml:space="preserve">https://doi.org/10.1016/j.foreco.2020.118688</w:t>
        </w:r>
      </w:hyperlink>
    </w:p>
    <w:bookmarkEnd w:id="253"/>
    <w:bookmarkStart w:id="255"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4">
        <w:r>
          <w:rPr>
            <w:rStyle w:val="Hyperlink"/>
          </w:rPr>
          <w:t xml:space="preserve">https://doi.org/10.1016/j.foreco.2009.12.003</w:t>
        </w:r>
      </w:hyperlink>
    </w:p>
    <w:bookmarkEnd w:id="255"/>
    <w:bookmarkStart w:id="257"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6">
        <w:r>
          <w:rPr>
            <w:rStyle w:val="Hyperlink"/>
          </w:rPr>
          <w:t xml:space="preserve">https://doi.org/10.1002/2016JG003528</w:t>
        </w:r>
      </w:hyperlink>
    </w:p>
    <w:bookmarkEnd w:id="257"/>
    <w:bookmarkStart w:id="258"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8"/>
    <w:bookmarkStart w:id="260"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9">
        <w:r>
          <w:rPr>
            <w:rStyle w:val="Hyperlink"/>
          </w:rPr>
          <w:t xml:space="preserve">https://doi.org/10.1038/nature12914</w:t>
        </w:r>
      </w:hyperlink>
    </w:p>
    <w:bookmarkEnd w:id="260"/>
    <w:bookmarkStart w:id="261"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1"/>
    <w:bookmarkStart w:id="263"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2">
        <w:r>
          <w:rPr>
            <w:rStyle w:val="Hyperlink"/>
          </w:rPr>
          <w:t xml:space="preserve">https://doi.org/10.1088/1748-9326/11/11/114007</w:t>
        </w:r>
      </w:hyperlink>
    </w:p>
    <w:bookmarkEnd w:id="263"/>
    <w:bookmarkStart w:id="265"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4">
        <w:r>
          <w:rPr>
            <w:rStyle w:val="Hyperlink"/>
          </w:rPr>
          <w:t xml:space="preserve">https://doi.org/10.1111/jvs.12025</w:t>
        </w:r>
      </w:hyperlink>
    </w:p>
    <w:bookmarkEnd w:id="265"/>
    <w:bookmarkStart w:id="26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6">
        <w:r>
          <w:rPr>
            <w:rStyle w:val="Hyperlink"/>
          </w:rPr>
          <w:t xml:space="preserve">https://doi.org/10.1007/s11258-007-9345-2</w:t>
        </w:r>
      </w:hyperlink>
    </w:p>
    <w:bookmarkEnd w:id="267"/>
    <w:bookmarkStart w:id="26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8">
        <w:r>
          <w:rPr>
            <w:rStyle w:val="Hyperlink"/>
          </w:rPr>
          <w:t xml:space="preserve">https://doi.org/10.1016/j.scitotenv.2020.140288</w:t>
        </w:r>
      </w:hyperlink>
    </w:p>
    <w:bookmarkEnd w:id="269"/>
    <w:bookmarkStart w:id="27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0">
        <w:r>
          <w:rPr>
            <w:rStyle w:val="Hyperlink"/>
          </w:rPr>
          <w:t xml:space="preserve">https://doi.org/10.1111/gcb.14120</w:t>
        </w:r>
      </w:hyperlink>
    </w:p>
    <w:bookmarkEnd w:id="271"/>
    <w:bookmarkStart w:id="27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2">
        <w:r>
          <w:rPr>
            <w:rStyle w:val="Hyperlink"/>
          </w:rPr>
          <w:t xml:space="preserve">https://doi.org/10.1002/ecm.1272</w:t>
        </w:r>
      </w:hyperlink>
    </w:p>
    <w:bookmarkEnd w:id="273"/>
    <w:bookmarkStart w:id="27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4">
        <w:r>
          <w:rPr>
            <w:rStyle w:val="Hyperlink"/>
          </w:rPr>
          <w:t xml:space="preserve">https://doi.org/10.1007/978-94-007-1242-3_2</w:t>
        </w:r>
      </w:hyperlink>
    </w:p>
    <w:bookmarkEnd w:id="275"/>
    <w:bookmarkStart w:id="27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6">
        <w:r>
          <w:rPr>
            <w:rStyle w:val="Hyperlink"/>
          </w:rPr>
          <w:t xml:space="preserve">https://doi.org/10.1002/joc.2117</w:t>
        </w:r>
      </w:hyperlink>
    </w:p>
    <w:bookmarkEnd w:id="277"/>
    <w:bookmarkStart w:id="279"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8">
        <w:r>
          <w:rPr>
            <w:rStyle w:val="Hyperlink"/>
          </w:rPr>
          <w:t xml:space="preserve">https://doi.org/10.1007/s00468-018-1767-z</w:t>
        </w:r>
      </w:hyperlink>
    </w:p>
    <w:bookmarkEnd w:id="279"/>
    <w:bookmarkStart w:id="28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0">
        <w:r>
          <w:rPr>
            <w:rStyle w:val="Hyperlink"/>
          </w:rPr>
          <w:t xml:space="preserve">https://doi.org/10.1016/j.agrformet.2017.07.015</w:t>
        </w:r>
      </w:hyperlink>
    </w:p>
    <w:bookmarkEnd w:id="281"/>
    <w:bookmarkStart w:id="28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2">
        <w:r>
          <w:rPr>
            <w:rStyle w:val="Hyperlink"/>
          </w:rPr>
          <w:t xml:space="preserve">https://doi.org/10.1111/2041-210X.12590</w:t>
        </w:r>
      </w:hyperlink>
    </w:p>
    <w:bookmarkEnd w:id="283"/>
    <w:bookmarkStart w:id="28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4">
        <w:r>
          <w:rPr>
            <w:rStyle w:val="Hyperlink"/>
          </w:rPr>
          <w:t xml:space="preserve">https://doi.org/10.1111/gcb.13572</w:t>
        </w:r>
      </w:hyperlink>
    </w:p>
    <w:bookmarkEnd w:id="285"/>
    <w:bookmarkStart w:id="28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6">
        <w:r>
          <w:rPr>
            <w:rStyle w:val="Hyperlink"/>
          </w:rPr>
          <w:t xml:space="preserve">https://doi.org/10.1038/ngeo2313</w:t>
        </w:r>
      </w:hyperlink>
    </w:p>
    <w:bookmarkEnd w:id="287"/>
    <w:bookmarkStart w:id="28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8">
        <w:r>
          <w:rPr>
            <w:rStyle w:val="Hyperlink"/>
          </w:rPr>
          <w:t xml:space="preserve">https://doi.org/10.1007/s00442-013-2846-x</w:t>
        </w:r>
      </w:hyperlink>
    </w:p>
    <w:bookmarkEnd w:id="289"/>
    <w:bookmarkStart w:id="29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0">
        <w:r>
          <w:rPr>
            <w:rStyle w:val="Hyperlink"/>
          </w:rPr>
          <w:t xml:space="preserve">https://doi.org/10.1890/0012-9615(2006)076[0549:HCGEDW]2.0.CO;2</w:t>
        </w:r>
      </w:hyperlink>
    </w:p>
    <w:bookmarkEnd w:id="291"/>
    <w:bookmarkStart w:id="29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2">
        <w:r>
          <w:rPr>
            <w:rStyle w:val="Hyperlink"/>
          </w:rPr>
          <w:t xml:space="preserve">https://doi.org/10.1016/j.foreco.2009.03.007</w:t>
        </w:r>
      </w:hyperlink>
    </w:p>
    <w:bookmarkEnd w:id="293"/>
    <w:bookmarkStart w:id="295"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4">
        <w:r>
          <w:rPr>
            <w:rStyle w:val="Hyperlink"/>
          </w:rPr>
          <w:t xml:space="preserve">https://doi.org/10.1111/nph.16866</w:t>
        </w:r>
      </w:hyperlink>
    </w:p>
    <w:bookmarkEnd w:id="295"/>
    <w:bookmarkStart w:id="297"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6">
        <w:r>
          <w:rPr>
            <w:rStyle w:val="Hyperlink"/>
          </w:rPr>
          <w:t xml:space="preserve">https://doi.org/10.1007/s11676-019-01020-w</w:t>
        </w:r>
      </w:hyperlink>
    </w:p>
    <w:bookmarkEnd w:id="297"/>
    <w:bookmarkStart w:id="299"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8">
        <w:r>
          <w:rPr>
            <w:rStyle w:val="Hyperlink"/>
          </w:rPr>
          <w:t xml:space="preserve">https://doi.org/10.1038/nclimate1693</w:t>
        </w:r>
      </w:hyperlink>
    </w:p>
    <w:bookmarkEnd w:id="299"/>
    <w:bookmarkStart w:id="301"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0">
        <w:r>
          <w:rPr>
            <w:rStyle w:val="Hyperlink"/>
          </w:rPr>
          <w:t xml:space="preserve">https://doi.org/10.1111/gcb.15057</w:t>
        </w:r>
      </w:hyperlink>
    </w:p>
    <w:bookmarkEnd w:id="301"/>
    <w:bookmarkStart w:id="303"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2">
        <w:r>
          <w:rPr>
            <w:rStyle w:val="Hyperlink"/>
          </w:rPr>
          <w:t xml:space="preserve">https://doi.org/10.1111/j.1467-9868.2010.00749.x</w:t>
        </w:r>
      </w:hyperlink>
    </w:p>
    <w:bookmarkEnd w:id="303"/>
    <w:bookmarkStart w:id="305"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4">
        <w:r>
          <w:rPr>
            <w:rStyle w:val="Hyperlink"/>
          </w:rPr>
          <w:t xml:space="preserve">https://doi.org/10.1191/095968399667128516</w:t>
        </w:r>
      </w:hyperlink>
    </w:p>
    <w:bookmarkEnd w:id="305"/>
    <w:bookmarkStart w:id="307"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6">
        <w:r>
          <w:rPr>
            <w:rStyle w:val="Hyperlink"/>
          </w:rPr>
          <w:t xml:space="preserve">https://doi.org/10.1016/j.dendro.2012.08.001</w:t>
        </w:r>
      </w:hyperlink>
    </w:p>
    <w:bookmarkEnd w:id="307"/>
    <w:bookmarkStart w:id="309"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8">
        <w:r>
          <w:rPr>
            <w:rStyle w:val="Hyperlink"/>
          </w:rPr>
          <w:t xml:space="preserve">https://doi.org/10.1073/pnas.1420844112</w:t>
        </w:r>
      </w:hyperlink>
    </w:p>
    <w:bookmarkEnd w:id="309"/>
    <w:bookmarkStart w:id="311"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0">
        <w:r>
          <w:rPr>
            <w:rStyle w:val="Hyperlink"/>
          </w:rPr>
          <w:t xml:space="preserve">https://doi.org/10.1016/j.tplants.2013.05.006</w:t>
        </w:r>
      </w:hyperlink>
    </w:p>
    <w:bookmarkEnd w:id="311"/>
    <w:bookmarkStart w:id="313"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2">
        <w:r>
          <w:rPr>
            <w:rStyle w:val="Hyperlink"/>
          </w:rPr>
          <w:t xml:space="preserve">https://doi.org/10.1111/gcb.15092</w:t>
        </w:r>
      </w:hyperlink>
    </w:p>
    <w:bookmarkEnd w:id="313"/>
    <w:bookmarkEnd w:id="314"/>
    <w:bookmarkEnd w:id="315"/>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6"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2"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40" Target="https://doi.org/10.1002/ecy.3264" TargetMode="External" /><Relationship Type="http://schemas.openxmlformats.org/officeDocument/2006/relationships/hyperlink" Id="rId276"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4" Target="https://doi.org/10.1007/978-94-007-1242-3_2" TargetMode="External" /><Relationship Type="http://schemas.openxmlformats.org/officeDocument/2006/relationships/hyperlink" Id="rId288"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4" Target="https://doi.org/10.1007/s00468-010-0480-3" TargetMode="External" /><Relationship Type="http://schemas.openxmlformats.org/officeDocument/2006/relationships/hyperlink" Id="rId278"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6" Target="https://doi.org/10.1007/s11258-007-9345-2" TargetMode="External" /><Relationship Type="http://schemas.openxmlformats.org/officeDocument/2006/relationships/hyperlink" Id="rId296"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80"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6" Target="https://doi.org/10.1016/j.dendro.2012.08.001" TargetMode="External" /><Relationship Type="http://schemas.openxmlformats.org/officeDocument/2006/relationships/hyperlink" Id="rId236"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2"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4" Target="https://doi.org/10.1016/j.foreco.2009.12.003" TargetMode="External" /><Relationship Type="http://schemas.openxmlformats.org/officeDocument/2006/relationships/hyperlink" Id="rId246" Target="https://doi.org/10.1016/j.foreco.2015.08.034" TargetMode="External" /><Relationship Type="http://schemas.openxmlformats.org/officeDocument/2006/relationships/hyperlink" Id="rId252"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8"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10"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9" Target="https://doi.org/10.1038/nature12914" TargetMode="External" /><Relationship Type="http://schemas.openxmlformats.org/officeDocument/2006/relationships/hyperlink" Id="rId298"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6"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8"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234" Target="https://doi.org/10.1073/pnas.2106130118" TargetMode="External" /><Relationship Type="http://schemas.openxmlformats.org/officeDocument/2006/relationships/hyperlink" Id="rId103" Target="https://doi.org/10.1078/1125-7865-00017" TargetMode="External" /><Relationship Type="http://schemas.openxmlformats.org/officeDocument/2006/relationships/hyperlink" Id="rId262"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50"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2" Target="https://doi.org/10.1111/2041-210X.12590" TargetMode="External" /><Relationship Type="http://schemas.openxmlformats.org/officeDocument/2006/relationships/hyperlink" Id="rId238"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4" Target="https://doi.org/10.1111/gcb.13572" TargetMode="External" /><Relationship Type="http://schemas.openxmlformats.org/officeDocument/2006/relationships/hyperlink" Id="rId270"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300" Target="https://doi.org/10.1111/gcb.15057" TargetMode="External" /><Relationship Type="http://schemas.openxmlformats.org/officeDocument/2006/relationships/hyperlink" Id="rId312"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2" Target="https://doi.org/10.1111/j.1467-9868.2010.00749.x" TargetMode="External" /><Relationship Type="http://schemas.openxmlformats.org/officeDocument/2006/relationships/hyperlink" Id="rId242"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4"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4"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8"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4" Target="https://doi.org/10.1191/095968399667128516" TargetMode="External" /><Relationship Type="http://schemas.openxmlformats.org/officeDocument/2006/relationships/hyperlink" Id="rId290"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2021-08-31T19:55:39Z</dcterms:created>
  <dcterms:modified xsi:type="dcterms:W3CDTF">2021-08-31T19:55:39Z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