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w:t>
      </w:r>
      <w:r>
        <w:t xml:space="preserve"> </w:t>
      </w:r>
      <w:r>
        <w:t xml:space="preserve">(e.g., Evans et al., 2017; Klesse et al., 2020; Rollinson et al., 2021)</w:t>
      </w:r>
      <w:r>
        <w:t xml:space="preserve">, which may often be best described by nonlinear functions</w:t>
      </w:r>
      <w:r>
        <w:t xml:space="preserve"> </w:t>
      </w:r>
      <w:r>
        <w:t xml:space="preserve">(REFS, Rollinson et al., 2021)</w:t>
      </w:r>
      <w:r>
        <w:t xml:space="preserve">.</w:t>
      </w:r>
      <w:r>
        <w:t xml:space="preserve"> </w:t>
      </w:r>
      <w:r>
        <w:t xml:space="preserve">While multifactorial and sometimes non-linear individual-based analysis frameworks have been applied</w:t>
      </w:r>
      <w:r>
        <w:t xml:space="preserve"> </w:t>
      </w:r>
      <w:r>
        <w:t xml:space="preserve">(e.g., Evans et al., 2017; Rollinson et al., 2021; Zuidema et al., 2020)</w:t>
      </w:r>
      <w:r>
        <w:t xml:space="preserve">, their use has been relatively limited, and none simultaneously address all the questions posed here (Table 1).</w:t>
      </w:r>
    </w:p>
    <w:p>
      <w:pPr>
        <w:pStyle w:val="BodyText"/>
      </w:pPr>
      <w:r>
        <w:t xml:space="preserve">Understanding the climate sensitivity of tree growth is critical to predicting forest dynamics and productivity as the climate changes.</w:t>
      </w:r>
      <w:r>
        <w:t xml:space="preserve"> </w:t>
      </w:r>
      <w:r>
        <w:t xml:space="preserve">Over the vast majority of Earth’s forested regions, water is the primary climatic factor limiting tree growth, whereas low temperatures are the strongest limitation in some high latitude or high elevation sites</w:t>
      </w:r>
      <w:r>
        <w:t xml:space="preserve"> </w:t>
      </w:r>
      <w:r>
        <w:t xml:space="preserve">(Babst et al., 2019)</w:t>
      </w:r>
      <w:r>
        <w:t xml:space="preserve">.</w:t>
      </w:r>
      <w:r>
        <w:t xml:space="preserve"> </w:t>
      </w:r>
      <w:r>
        <w:t xml:space="preserve">The classic dendrochronological approach to characterizing the climate sensitivity of tree growth describes linear relationships between the main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more in-depth characterization of climate sensitivity across a representative sample of all trees in a forest stand is desirable for efforts to understand forest productivity and its climate responses</w:t>
      </w:r>
      <w:r>
        <w:t xml:space="preserve"> </w:t>
      </w:r>
      <w:r>
        <w:t xml:space="preserve">(Babst et al., 2018)</w:t>
      </w:r>
      <w:r>
        <w:t xml:space="preserve">.</w:t>
      </w:r>
      <w:r>
        <w:t xml:space="preserve"> </w:t>
      </w:r>
      <w:r>
        <w:t xml:space="preserve">First, the additive or interactive effects of moisture and temperature are not commonly considered</w:t>
      </w:r>
      <w:r>
        <w:t xml:space="preserve"> </w:t>
      </w:r>
      <w:r>
        <w:t xml:space="preserve">(but see e.g., Foster et al., 2016; Meko et al., 2011; Sánchez-Salguero et al., 2015; Vlam et al., 2014; Zuidema et al., 2020)</w:t>
      </w:r>
      <w:r>
        <w:t xml:space="preserve">.</w:t>
      </w:r>
      <w:r>
        <w:t xml:space="preserve"> </w:t>
      </w:r>
      <w:r>
        <w:t xml:space="preserve">While drought metrics such as the Standardised Precipitation-Evapotranspiration Index</w:t>
      </w:r>
      <w:r>
        <w:t xml:space="preserve"> </w:t>
      </w:r>
      <w:r>
        <w:t xml:space="preserve">(SPEI, Vicente-Serrano et al., 2010)</w:t>
      </w:r>
      <w:r>
        <w:t xml:space="preserve"> </w:t>
      </w:r>
      <w:r>
        <w:t xml:space="preserve">integrate effects of precipitation and temperature, soil moisture and atmospheric vapor pressure deficit (VPD) affect plant growth differently</w:t>
      </w:r>
      <w:r>
        <w:t xml:space="preserve"> </w:t>
      </w:r>
      <w:r>
        <w:t xml:space="preserve">(Novick et al., 2016)</w:t>
      </w:r>
      <w:r>
        <w:t xml:space="preserve">, and we hypothesize that they commonly influence growth over different seasonal windows (Table 1).</w:t>
      </w:r>
      <w:r>
        <w:t xml:space="preserve"> </w:t>
      </w:r>
      <w:r>
        <w:t xml:space="preserve">In addition, based on the predominance of nonlinear climate responses of tree growth over both smaller and larger spatiotemporal scales</w:t>
      </w:r>
      <w:r>
        <w:t xml:space="preserve"> </w:t>
      </w:r>
      <w:r>
        <w:t xml:space="preserve">(Banbury Morgan et al., 2021; e.g., Kumarathunge et al., 2019)</w:t>
      </w:r>
      <w:r>
        <w:t xml:space="preserve">,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(Bennett et al., 2015; McGregor et al., 2020; Rollinson et al., 2021; Table 1, Trouillier et al., 2019)</w:t>
      </w:r>
      <w:r>
        <w:t xml:space="preserve">.</w:t>
      </w:r>
    </w:p>
    <w:p>
      <w:pPr>
        <w:pStyle w:val="BodyText"/>
      </w:pPr>
      <w:r>
        <w:t xml:space="preserve">Tree stem diameter, DBH, scales predictably with numerous traits affecting tree physiology [e.g., height, crown size and position, root mass, hydraulic architecture,</w:t>
      </w:r>
      <w:r>
        <w:t xml:space="preserve"> </w:t>
      </w:r>
      <w:r>
        <w:t xml:space="preserve">Enquist &amp; Niklas (2002)</w:t>
      </w:r>
      <w:r>
        <w:t xml:space="preserve">;</w:t>
      </w:r>
      <w:r>
        <w:t xml:space="preserve"> </w:t>
      </w:r>
      <w:r>
        <w:t xml:space="preserve">Niklas (2004)</w:t>
      </w:r>
      <w:r>
        <w:t xml:space="preserve">;</w:t>
      </w:r>
      <w:r>
        <w:t xml:space="preserve"> </w:t>
      </w:r>
      <w:r>
        <w:rPr>
          <w:bCs/>
          <w:b/>
        </w:rPr>
        <w:t xml:space="preserve">REF</w:t>
      </w:r>
      <w:r>
        <w:t xml:space="preserve">] 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a solid understanding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broad questions concerning and associated hypotheses concerning the primary drivers of individual tree growth (Table 1) for a globally distributed tree-ring dataset:</w:t>
      </w:r>
      <w:r>
        <w:t xml:space="preserve"> </w:t>
      </w:r>
      <w:r>
        <w:t xml:space="preserve">(1) How does interannual climate variation shape annual tree growth?</w:t>
      </w:r>
      <w:r>
        <w:t xml:space="preserve"> </w:t>
      </w:r>
      <w:r>
        <w:t xml:space="preserve">(2) How does growth rate vary with DBH?</w:t>
      </w:r>
      <w:r>
        <w:t xml:space="preserve"> </w:t>
      </w:r>
      <w:r>
        <w:t xml:space="preserve">(3) How have size-corrected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55"/>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more strongly to maximum T or PET than tominimum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Ontogenetic patterns in ring width (RW)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old-growth forests, growth trends are mixed and more dependent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96" w:name="References"/>
    <w:p>
      <w:pPr>
        <w:pStyle w:val="Heading1"/>
      </w:pPr>
      <w:r>
        <w:t xml:space="preserve">References</w:t>
      </w:r>
    </w:p>
    <w:bookmarkStart w:id="295"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4">
        <w:r>
          <w:rPr>
            <w:rStyle w:val="Hyperlink"/>
          </w:rPr>
          <w:t xml:space="preserve">https://doi.org/10.1111/ecog.05055</w:t>
        </w:r>
      </w:hyperlink>
    </w:p>
    <w:bookmarkEnd w:id="75"/>
    <w:bookmarkStart w:id="77"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6">
        <w:r>
          <w:rPr>
            <w:rStyle w:val="Hyperlink"/>
          </w:rPr>
          <w:t xml:space="preserve">https://doi.org/10.1002/ece3.1532</w:t>
        </w:r>
      </w:hyperlink>
    </w:p>
    <w:bookmarkEnd w:id="77"/>
    <w:bookmarkStart w:id="79"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8">
        <w:r>
          <w:rPr>
            <w:rStyle w:val="Hyperlink"/>
          </w:rPr>
          <w:t xml:space="preserve">https://doi.org/10.1016/j.quascirev.2018.07.009</w:t>
        </w:r>
      </w:hyperlink>
    </w:p>
    <w:bookmarkEnd w:id="79"/>
    <w:bookmarkStart w:id="81"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0">
        <w:r>
          <w:rPr>
            <w:rStyle w:val="Hyperlink"/>
          </w:rPr>
          <w:t xml:space="preserve">https://doi.org/10.1126/sciadv.aat4313</w:t>
        </w:r>
      </w:hyperlink>
    </w:p>
    <w:bookmarkEnd w:id="81"/>
    <w:bookmarkStart w:id="83"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2">
        <w:r>
          <w:rPr>
            <w:rStyle w:val="Hyperlink"/>
          </w:rPr>
          <w:t xml:space="preserve">https://doi.org/10.1111/gcb.12349</w:t>
        </w:r>
      </w:hyperlink>
    </w:p>
    <w:bookmarkEnd w:id="83"/>
    <w:bookmarkStart w:id="84"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8"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7">
        <w:r>
          <w:rPr>
            <w:rStyle w:val="Hyperlink"/>
          </w:rPr>
          <w:t xml:space="preserve">https://doi.org/10.1177/095968369700700314</w:t>
        </w:r>
      </w:hyperlink>
    </w:p>
    <w:bookmarkEnd w:id="118"/>
    <w:bookmarkStart w:id="12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9">
        <w:r>
          <w:rPr>
            <w:rStyle w:val="Hyperlink"/>
          </w:rPr>
          <w:t xml:space="preserve">https://doi.org/10.1016/j.biocon.2020.108907</w:t>
        </w:r>
      </w:hyperlink>
    </w:p>
    <w:bookmarkEnd w:id="120"/>
    <w:bookmarkStart w:id="122"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1">
        <w:r>
          <w:rPr>
            <w:rStyle w:val="Hyperlink"/>
          </w:rPr>
          <w:t xml:space="preserve">https://doi.org/10.1016/j.foreco.2009.08.009</w:t>
        </w:r>
      </w:hyperlink>
    </w:p>
    <w:bookmarkEnd w:id="122"/>
    <w:bookmarkStart w:id="124"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3">
        <w:r>
          <w:rPr>
            <w:rStyle w:val="Hyperlink"/>
          </w:rPr>
          <w:t xml:space="preserve">https://doi.org/10.1111/1365-2745.13569</w:t>
        </w:r>
      </w:hyperlink>
    </w:p>
    <w:bookmarkEnd w:id="124"/>
    <w:bookmarkStart w:id="125"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5"/>
    <w:bookmarkStart w:id="127"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6">
        <w:r>
          <w:rPr>
            <w:rStyle w:val="Hyperlink"/>
          </w:rPr>
          <w:t xml:space="preserve">https://doi.org/10.1038/s41467-020-14300-5</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2">
        <w:r>
          <w:rPr>
            <w:rStyle w:val="Hyperlink"/>
          </w:rPr>
          <w:t xml:space="preserve">https://doi.org/10.1126/science.1066360</w:t>
        </w:r>
      </w:hyperlink>
    </w:p>
    <w:bookmarkEnd w:id="133"/>
    <w:bookmarkStart w:id="135"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4">
        <w:r>
          <w:rPr>
            <w:rStyle w:val="Hyperlink"/>
          </w:rPr>
          <w:t xml:space="preserve">https://doi.org/10.1002/ecs2.1889</w:t>
        </w:r>
      </w:hyperlink>
    </w:p>
    <w:bookmarkEnd w:id="135"/>
    <w:bookmarkStart w:id="137"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6">
        <w:r>
          <w:rPr>
            <w:rStyle w:val="Hyperlink"/>
          </w:rPr>
          <w:t xml:space="preserve">https://doi.org/10.1002/ecm.1423</w:t>
        </w:r>
      </w:hyperlink>
    </w:p>
    <w:bookmarkEnd w:id="137"/>
    <w:bookmarkStart w:id="139"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8">
        <w:r>
          <w:rPr>
            <w:rStyle w:val="Hyperlink"/>
          </w:rPr>
          <w:t xml:space="preserve">https://doi.org/10.1016/j.foreco.2020.118717</w:t>
        </w:r>
      </w:hyperlink>
    </w:p>
    <w:bookmarkEnd w:id="139"/>
    <w:bookmarkStart w:id="141"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0">
        <w:r>
          <w:rPr>
            <w:rStyle w:val="Hyperlink"/>
          </w:rPr>
          <w:t xml:space="preserve">https://doi.org/10.1111/gcb.13208</w:t>
        </w:r>
      </w:hyperlink>
    </w:p>
    <w:bookmarkEnd w:id="141"/>
    <w:bookmarkStart w:id="142"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2"/>
    <w:bookmarkStart w:id="144"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3">
        <w:r>
          <w:rPr>
            <w:rStyle w:val="Hyperlink"/>
          </w:rPr>
          <w:t xml:space="preserve">https://doi.org/10.1016/S0065-2504(08)60158-0</w:t>
        </w:r>
      </w:hyperlink>
    </w:p>
    <w:bookmarkEnd w:id="144"/>
    <w:bookmarkStart w:id="146"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5">
        <w:r>
          <w:rPr>
            <w:rStyle w:val="Hyperlink"/>
          </w:rPr>
          <w:t xml:space="preserve">https://doi.org/10.1002/ecs2.1847</w:t>
        </w:r>
      </w:hyperlink>
    </w:p>
    <w:bookmarkEnd w:id="146"/>
    <w:bookmarkStart w:id="148"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7">
        <w:r>
          <w:rPr>
            <w:rStyle w:val="Hyperlink"/>
          </w:rPr>
          <w:t xml:space="preserve">https://doi.org/10.1007/s10584-020-02868-2</w:t>
        </w:r>
      </w:hyperlink>
    </w:p>
    <w:bookmarkEnd w:id="148"/>
    <w:bookmarkStart w:id="150"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9">
        <w:r>
          <w:rPr>
            <w:rStyle w:val="Hyperlink"/>
          </w:rPr>
          <w:t xml:space="preserve">https://doi.org/10.1007/s10021-020-00501-y</w:t>
        </w:r>
      </w:hyperlink>
    </w:p>
    <w:bookmarkEnd w:id="150"/>
    <w:bookmarkStart w:id="152"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1">
        <w:r>
          <w:rPr>
            <w:rStyle w:val="Hyperlink"/>
          </w:rPr>
          <w:t xml:space="preserve">https://doi.org/10.1073/pnas.1610156113</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73">
        <w:r>
          <w:rPr>
            <w:rStyle w:val="Hyperlink"/>
          </w:rPr>
          <w:t xml:space="preserve">https://doi.org/10.1088/1748-9326/abd8fb</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0">
        <w:r>
          <w:rPr>
            <w:rStyle w:val="Hyperlink"/>
          </w:rPr>
          <w:t xml:space="preserve">https://doi.org/10.1017/S1464793104006499</w:t>
        </w:r>
      </w:hyperlink>
    </w:p>
    <w:bookmarkEnd w:id="211"/>
    <w:bookmarkStart w:id="21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2">
        <w:r>
          <w:rPr>
            <w:rStyle w:val="Hyperlink"/>
          </w:rPr>
          <w:t xml:space="preserve">https://doi.org/10.1111/j.1365-2486.2010.02222.x</w:t>
        </w:r>
      </w:hyperlink>
    </w:p>
    <w:bookmarkEnd w:id="213"/>
    <w:bookmarkStart w:id="21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4">
        <w:r>
          <w:rPr>
            <w:rStyle w:val="Hyperlink"/>
          </w:rPr>
          <w:t xml:space="preserve">https://doi.org/10.1038/nclimate3114</w:t>
        </w:r>
      </w:hyperlink>
    </w:p>
    <w:bookmarkEnd w:id="215"/>
    <w:bookmarkStart w:id="21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6"/>
    <w:bookmarkStart w:id="21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7">
        <w:r>
          <w:rPr>
            <w:rStyle w:val="Hyperlink"/>
          </w:rPr>
          <w:t xml:space="preserve">https://doi.org/10.1111/gcb.12826</w:t>
        </w:r>
      </w:hyperlink>
    </w:p>
    <w:bookmarkEnd w:id="218"/>
    <w:bookmarkStart w:id="21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9"/>
    <w:bookmarkStart w:id="220"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0"/>
    <w:bookmarkStart w:id="222"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1">
        <w:r>
          <w:rPr>
            <w:rStyle w:val="Hyperlink"/>
          </w:rPr>
          <w:t xml:space="preserve">https://doi.org/10.1186/s40663-018-0139-x</w:t>
        </w:r>
      </w:hyperlink>
    </w:p>
    <w:bookmarkEnd w:id="222"/>
    <w:bookmarkStart w:id="224"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3">
        <w:r>
          <w:rPr>
            <w:rStyle w:val="Hyperlink"/>
          </w:rPr>
          <w:t xml:space="preserve">https://doi.org/10.1016/j.dendro.2020.125678</w:t>
        </w:r>
      </w:hyperlink>
    </w:p>
    <w:bookmarkEnd w:id="224"/>
    <w:bookmarkStart w:id="22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5">
        <w:r>
          <w:rPr>
            <w:rStyle w:val="Hyperlink"/>
          </w:rPr>
          <w:t xml:space="preserve">https://doi.org/10.1111/2041-210X.12753</w:t>
        </w:r>
      </w:hyperlink>
    </w:p>
    <w:bookmarkEnd w:id="226"/>
    <w:bookmarkStart w:id="228"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7">
        <w:r>
          <w:rPr>
            <w:rStyle w:val="Hyperlink"/>
          </w:rPr>
          <w:t xml:space="preserve">https://doi.org/10.1002/ecy.3264</w:t>
        </w:r>
      </w:hyperlink>
    </w:p>
    <w:bookmarkEnd w:id="228"/>
    <w:bookmarkStart w:id="230"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9">
        <w:r>
          <w:rPr>
            <w:rStyle w:val="Hyperlink"/>
          </w:rPr>
          <w:t xml:space="preserve">https://doi.org/10.1111/j.1469-8137.2007.02235.x</w:t>
        </w:r>
      </w:hyperlink>
    </w:p>
    <w:bookmarkEnd w:id="230"/>
    <w:bookmarkStart w:id="232"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1">
        <w:r>
          <w:rPr>
            <w:rStyle w:val="Hyperlink"/>
          </w:rPr>
          <w:t xml:space="preserve">https://doi.org/10.1007/s00468-010-0480-3</w:t>
        </w:r>
      </w:hyperlink>
    </w:p>
    <w:bookmarkEnd w:id="232"/>
    <w:bookmarkStart w:id="23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3">
        <w:r>
          <w:rPr>
            <w:rStyle w:val="Hyperlink"/>
          </w:rPr>
          <w:t xml:space="preserve">https://doi.org/10.1016/j.foreco.2015.08.034</w:t>
        </w:r>
      </w:hyperlink>
    </w:p>
    <w:bookmarkEnd w:id="234"/>
    <w:bookmarkStart w:id="23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5">
        <w:r>
          <w:rPr>
            <w:rStyle w:val="Hyperlink"/>
          </w:rPr>
          <w:t xml:space="preserve">https://doi.org/10.1186/s40663-018-0133-3</w:t>
        </w:r>
      </w:hyperlink>
    </w:p>
    <w:bookmarkEnd w:id="236"/>
    <w:bookmarkStart w:id="238"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7">
        <w:r>
          <w:rPr>
            <w:rStyle w:val="Hyperlink"/>
          </w:rPr>
          <w:t xml:space="preserve">https://doi.org/10.1111/1365-2435.12775</w:t>
        </w:r>
      </w:hyperlink>
    </w:p>
    <w:bookmarkEnd w:id="238"/>
    <w:bookmarkStart w:id="240"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9">
        <w:r>
          <w:rPr>
            <w:rStyle w:val="Hyperlink"/>
          </w:rPr>
          <w:t xml:space="preserve">https://doi.org/10.1002/2016JG003528</w:t>
        </w:r>
      </w:hyperlink>
    </w:p>
    <w:bookmarkEnd w:id="240"/>
    <w:bookmarkStart w:id="241"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1"/>
    <w:bookmarkStart w:id="243"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2">
        <w:r>
          <w:rPr>
            <w:rStyle w:val="Hyperlink"/>
          </w:rPr>
          <w:t xml:space="preserve">https://doi.org/10.1038/nature12914</w:t>
        </w:r>
      </w:hyperlink>
    </w:p>
    <w:bookmarkEnd w:id="243"/>
    <w:bookmarkStart w:id="244"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4"/>
    <w:bookmarkStart w:id="246"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5">
        <w:r>
          <w:rPr>
            <w:rStyle w:val="Hyperlink"/>
          </w:rPr>
          <w:t xml:space="preserve">https://doi.org/10.1088/1748-9326/11/11/114007</w:t>
        </w:r>
      </w:hyperlink>
    </w:p>
    <w:bookmarkEnd w:id="246"/>
    <w:bookmarkStart w:id="24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7">
        <w:r>
          <w:rPr>
            <w:rStyle w:val="Hyperlink"/>
          </w:rPr>
          <w:t xml:space="preserve">https://doi.org/10.1007/s11258-007-9345-2</w:t>
        </w:r>
      </w:hyperlink>
    </w:p>
    <w:bookmarkEnd w:id="248"/>
    <w:bookmarkStart w:id="25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9">
        <w:r>
          <w:rPr>
            <w:rStyle w:val="Hyperlink"/>
          </w:rPr>
          <w:t xml:space="preserve">https://doi.org/10.1016/j.scitotenv.2020.140288</w:t>
        </w:r>
      </w:hyperlink>
    </w:p>
    <w:bookmarkEnd w:id="250"/>
    <w:bookmarkStart w:id="25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51">
        <w:r>
          <w:rPr>
            <w:rStyle w:val="Hyperlink"/>
          </w:rPr>
          <w:t xml:space="preserve">https://doi.org/10.1016/j.agrformet.2017.08.007</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icente-serrano_multiscalar_2010"/>
    <w:p>
      <w:pPr>
        <w:pStyle w:val="Bibliography"/>
      </w:pPr>
      <w:r>
        <w:t xml:space="preserve">Vicente-Serrano, S. M., Beguería, S., &amp; López-Moreno, J. I. (2010).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71">
        <w:r>
          <w:rPr>
            <w:rStyle w:val="Hyperlink"/>
          </w:rPr>
          <w:t xml:space="preserve">https://doi.org/10.1175/2009JCLI2909.1</w:t>
        </w:r>
      </w:hyperlink>
    </w:p>
    <w:bookmarkEnd w:id="272"/>
    <w:bookmarkStart w:id="274"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3">
        <w:r>
          <w:rPr>
            <w:rStyle w:val="Hyperlink"/>
          </w:rPr>
          <w:t xml:space="preserve">https://doi.org/10.1007/s00442-013-2846-x</w:t>
        </w:r>
      </w:hyperlink>
    </w:p>
    <w:bookmarkEnd w:id="274"/>
    <w:bookmarkStart w:id="276"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5">
        <w:r>
          <w:rPr>
            <w:rStyle w:val="Hyperlink"/>
          </w:rPr>
          <w:t xml:space="preserve">https://doi.org/10.1890/0012-9615(2006)076[0549:HCGEDW]2.0.CO;2</w:t>
        </w:r>
      </w:hyperlink>
    </w:p>
    <w:bookmarkEnd w:id="276"/>
    <w:bookmarkStart w:id="278"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7">
        <w:r>
          <w:rPr>
            <w:rStyle w:val="Hyperlink"/>
          </w:rPr>
          <w:t xml:space="preserve">https://doi.org/10.1016/j.foreco.2009.03.007</w:t>
        </w:r>
      </w:hyperlink>
    </w:p>
    <w:bookmarkEnd w:id="278"/>
    <w:bookmarkStart w:id="280"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9">
        <w:r>
          <w:rPr>
            <w:rStyle w:val="Hyperlink"/>
          </w:rPr>
          <w:t xml:space="preserve">https://doi.org/10.1111/nph.16866</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9"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47" Target="https://doi.org/10.1007/s11258-007-9345-2" TargetMode="External" /><Relationship Type="http://schemas.openxmlformats.org/officeDocument/2006/relationships/hyperlink" Id="rId143"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251" Target="https://doi.org/10.1016/j.agrformet.2017.08.007" TargetMode="External" /><Relationship Type="http://schemas.openxmlformats.org/officeDocument/2006/relationships/hyperlink" Id="rId119"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21" Target="https://doi.org/10.1016/j.foreco.2009.08.009" TargetMode="External" /><Relationship Type="http://schemas.openxmlformats.org/officeDocument/2006/relationships/hyperlink" Id="rId233" Target="https://doi.org/10.1016/j.foreco.2015.08.034" TargetMode="External" /><Relationship Type="http://schemas.openxmlformats.org/officeDocument/2006/relationships/hyperlink" Id="rId138"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4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210"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2"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214"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6"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81"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45" Target="https://doi.org/10.1088/1748-9326/11/11/114007" TargetMode="External" /><Relationship Type="http://schemas.openxmlformats.org/officeDocument/2006/relationships/hyperlink" Id="rId173" Target="https://doi.org/10.1088/1748-9326/abd8fb" TargetMode="External" /><Relationship Type="http://schemas.openxmlformats.org/officeDocument/2006/relationships/hyperlink" Id="rId177"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3"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74" Target="https://doi.org/10.1111/ecog.05055" TargetMode="External" /><Relationship Type="http://schemas.openxmlformats.org/officeDocument/2006/relationships/hyperlink" Id="rId82"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2"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271" Target="https://doi.org/10.1175/2009JCLI2909.1" TargetMode="External" /><Relationship Type="http://schemas.openxmlformats.org/officeDocument/2006/relationships/hyperlink" Id="rId117"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9"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47" Target="https://doi.org/10.1007/s11258-007-9345-2" TargetMode="External" /><Relationship Type="http://schemas.openxmlformats.org/officeDocument/2006/relationships/hyperlink" Id="rId143"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251" Target="https://doi.org/10.1016/j.agrformet.2017.08.007" TargetMode="External" /><Relationship Type="http://schemas.openxmlformats.org/officeDocument/2006/relationships/hyperlink" Id="rId119"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21" Target="https://doi.org/10.1016/j.foreco.2009.08.009" TargetMode="External" /><Relationship Type="http://schemas.openxmlformats.org/officeDocument/2006/relationships/hyperlink" Id="rId233" Target="https://doi.org/10.1016/j.foreco.2015.08.034" TargetMode="External" /><Relationship Type="http://schemas.openxmlformats.org/officeDocument/2006/relationships/hyperlink" Id="rId138"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4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210"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2"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214"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6"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81"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45" Target="https://doi.org/10.1088/1748-9326/11/11/114007" TargetMode="External" /><Relationship Type="http://schemas.openxmlformats.org/officeDocument/2006/relationships/hyperlink" Id="rId173" Target="https://doi.org/10.1088/1748-9326/abd8fb" TargetMode="External" /><Relationship Type="http://schemas.openxmlformats.org/officeDocument/2006/relationships/hyperlink" Id="rId177"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3"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74" Target="https://doi.org/10.1111/ecog.05055" TargetMode="External" /><Relationship Type="http://schemas.openxmlformats.org/officeDocument/2006/relationships/hyperlink" Id="rId82"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2"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271" Target="https://doi.org/10.1175/2009JCLI2909.1" TargetMode="External" /><Relationship Type="http://schemas.openxmlformats.org/officeDocument/2006/relationships/hyperlink" Id="rId117"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2021-05-07T10:46:31Z</dcterms:created>
  <dcterms:modified xsi:type="dcterms:W3CDTF">2021-05-07T10:46:31Z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