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4.png" ContentType="image/png"/>
  <Override PartName="/word/media/rId33.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interactively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 sites of the Forest Global Earth Observatory</w:t>
      </w:r>
      <w:r>
        <w:t xml:space="preserve"> </w:t>
      </w:r>
      <w:r>
        <w:t xml:space="preserve">(ForestGEO; K. J. Anderson-Teixeira, Davies, et al., 2015)</w:t>
      </w:r>
      <w:r>
        <w:t xml:space="preserve">, plus one in New Mexico, representing a wide range of forest and tree types: tropical broadleaf deciduous and evergreen, temperate broadleaf deciuous and needleleaf evergreen, and boreal needleleaf evergreen (Table 1).</w:t>
      </w:r>
      <w:r>
        <w:t xml:space="preserve"> </w:t>
      </w:r>
      <w:r>
        <w:t xml:space="preserve">Trees were cored within or close to (max distance: # km) the large forest dynamics plots following a variety of sampling protocols designed to meet the varied objectives of the original studies [</w:t>
      </w:r>
      <w:r>
        <w:t xml:space="preserve">Vlam, Baker, Bunyavejchewin, &amp; Zuidema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Tumajer et al. (2017)</w:t>
      </w:r>
      <w:r>
        <w:t xml:space="preserve">;</w:t>
      </w:r>
      <w:r>
        <w:t xml:space="preserve"> </w:t>
      </w:r>
      <w:r>
        <w:t xml:space="preserve">Alfaro-Sánchez, Muller-Landau, Wright, &amp; Camarero (2017)</w:t>
      </w:r>
      <w:r>
        <w:t xml:space="preserve">;</w:t>
      </w:r>
      <w:r>
        <w:t xml:space="preserve"> </w:t>
      </w:r>
      <w:r>
        <w:t xml:space="preserve">Helcoski et al. (2019)</w:t>
      </w:r>
      <w:r>
        <w:t xml:space="preserve">; MORE].</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 Sites included in this analysis</w:t>
      </w:r>
      <w:r>
        <w:t xml:space="preserve"> </w:t>
      </w:r>
      <w:r>
        <w:drawing>
          <wp:inline>
            <wp:extent cx="5334000" cy="222701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227012"/>
                    </a:xfrm>
                    <a:prstGeom prst="rect">
                      <a:avLst/>
                    </a:prstGeom>
                    <a:noFill/>
                    <a:ln w="9525">
                      <a:noFill/>
                      <a:headEnd/>
                      <a:tailEnd/>
                    </a:ln>
                  </pic:spPr>
                </pic:pic>
              </a:graphicData>
            </a:graphic>
          </wp:inline>
        </w:drawing>
      </w:r>
    </w:p>
    <w:p>
      <w:pPr>
        <w:pStyle w:val="BodyText"/>
      </w:pPr>
      <w:r>
        <w:t xml:space="preserve">All tree cores were measured and cross-dated using standard dendrochronological practices.</w:t>
      </w:r>
      <w:r>
        <w:t xml:space="preserve"> </w:t>
      </w:r>
      <w:r>
        <w:t xml:space="preserve">The full record for all cores was retained for analysis, with the following exceptions.</w:t>
      </w:r>
      <w:r>
        <w:t xml:space="preserve"> </w:t>
      </w:r>
      <w:r>
        <w:t xml:space="preserve">First, we excluded species with &lt;7 cores.</w:t>
      </w:r>
      <w:r>
        <w:t xml:space="preserve"> </w:t>
      </w:r>
      <w:r>
        <w:t xml:space="preserve">Second, we excluded cores with &lt;30 years of record.</w:t>
      </w:r>
      <w:r>
        <w:t xml:space="preserve"> </w:t>
      </w:r>
      <w:r>
        <w:t xml:space="preserve">Third, for any sites with a record of</w:t>
      </w:r>
      <w:r>
        <w:t xml:space="preserve"> </w:t>
      </w:r>
      <m:oMath>
        <m:r>
          <m:t>Δ</m:t>
        </m:r>
        <m:r>
          <m:t>r</m:t>
        </m:r>
      </m:oMath>
      <w:r>
        <w:rPr>
          <w:b/>
        </w:rPr>
        <w:t xml:space="preserve"> </w:t>
      </w:r>
      <w:r>
        <w:rPr>
          <w:b/>
        </w:rPr>
        <w:t xml:space="preserve">&gt; 10 mm</w:t>
      </w:r>
      <w:r>
        <w:rPr>
          <w:b/>
        </w:rPr>
        <w:t xml:space="preserve"> </w:t>
      </w:r>
      <w:r>
        <w:t xml:space="preserve">within the first 15 years of the record, we excluded those 15 years.</w:t>
      </w:r>
      <w:r>
        <w:t xml:space="preserve"> </w:t>
      </w:r>
      <w:r>
        <w:t xml:space="preserve">Fourth, for trees cored dead, we excluded the final 20 years prior to death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Finally, for each species, we excluded any reconstructed</w:t>
      </w:r>
      <w:r>
        <w:t xml:space="preserve"> </w:t>
      </w:r>
      <m:oMath>
        <m:r>
          <m:t>D</m:t>
        </m:r>
        <m:r>
          <m:t>B</m:t>
        </m:r>
        <m:r>
          <m:t>H</m:t>
        </m:r>
      </m:oMath>
      <w:r>
        <w:t xml:space="preserve"> </w:t>
      </w:r>
      <w:r>
        <w:t xml:space="preserve">range represented by &lt;3 cores.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1901-20XX were obtained from CRU v.4.04</w:t>
      </w:r>
      <w:r>
        <w:t xml:space="preserve"> </w:t>
      </w:r>
      <w:r>
        <w:t xml:space="preserve">(Harris, Jones, Osborn, &amp; Lister, 2014; Harris, Osborn, Jones, &amp; Lister, 2020)</w:t>
      </w:r>
      <w:r>
        <w:t xml:space="preserve">.</w:t>
      </w:r>
      <w:r>
        <w:t xml:space="preserve"> </w:t>
      </w:r>
      <w:r>
        <w:t xml:space="preserve">Variables considered here included mean, minimum, and maximum temperatures; potential evapotranspiration (PET); precipitation; and wet day frequency.</w:t>
      </w:r>
      <w:r>
        <w:t xml:space="preserve"> </w:t>
      </w:r>
      <w:r>
        <w:t xml:space="preserve">While the CRU database has records for every year, some have been gap-filled based on long-term monthly means</w:t>
      </w:r>
      <w:r>
        <w:t xml:space="preserve"> </w:t>
      </w:r>
      <w:r>
        <w:t xml:space="preserve">(Harris et al., 2014, 2020)</w:t>
      </w:r>
      <w:r>
        <w:t xml:space="preserve">.</w:t>
      </w:r>
      <w:r>
        <w:t xml:space="preserve"> </w:t>
      </w:r>
      <w:r>
        <w:t xml:space="preserve">To … (</w:t>
      </w:r>
      <w:hyperlink r:id="rId26">
        <w:r>
          <w:rPr>
            <w:rStyle w:val="Hyperlink"/>
            <w:b/>
          </w:rPr>
          <w:t xml:space="preserve">ISSUE #45 in ForestGEO_climate-senstivity</w:t>
        </w:r>
      </w:hyperlink>
      <w:r>
        <w:rPr>
          <w:b/>
        </w:rPr>
        <w:t xml:space="preserve">: handling gaps</w:t>
      </w:r>
      <w:r>
        <w:t xml:space="preserve">).</w:t>
      </w:r>
      <w:r>
        <w:t xml:space="preserve"> </w:t>
      </w:r>
      <w:r>
        <w:t xml:space="preserve">(</w:t>
      </w:r>
      <w:r>
        <w:rPr>
          <w:i/>
        </w:rPr>
        <w:t xml:space="preserve">Describe criteria for excluding variables/ time frames.</w:t>
      </w:r>
      <w:r>
        <w:t xml:space="preserve">)</w:t>
      </w:r>
      <w:r>
        <w:t xml:space="preserve"> </w:t>
      </w:r>
      <w:r>
        <w:t xml:space="preserve">(</w:t>
      </w:r>
      <w:r>
        <w:rPr>
          <w:i/>
        </w:rPr>
        <w:t xml:space="preserve">Describe BCI data.</w:t>
      </w:r>
      <w:r>
        <w:t xml:space="preserve"> </w:t>
      </w:r>
      <w:r>
        <w:t xml:space="preserve">)</w:t>
      </w:r>
    </w:p>
    <w:p>
      <w:pPr>
        <w:pStyle w:val="Heading4"/>
      </w:pPr>
      <w:bookmarkStart w:id="27" w:name="analysis-methods"/>
      <w:r>
        <w:t xml:space="preserve">Analysis methods</w:t>
      </w:r>
      <w:bookmarkEnd w:id="27"/>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8"/>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least squares (GLS) model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9">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(Table #). (**</w:t>
      </w:r>
      <w:hyperlink r:id="rId30">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 undergoing most rapid climate change: Scotty Creek (</w:t>
      </w:r>
      <w:r>
        <w:rPr>
          <w:i/>
        </w:rPr>
        <w:t xml:space="preserve">and NM</w:t>
      </w:r>
      <w:r>
        <w:t xml:space="preserve">?).</w:t>
      </w:r>
      <w:r>
        <w:t xml:space="preserve"> </w:t>
      </w:r>
      <w:r>
        <w:t xml:space="preserve">There, [temperatures have increased by X</w:t>
      </w:r>
      <w:r>
        <w:t xml:space="preserve"> </w:t>
      </w:r>
      <m:oMath>
        <m:sSup>
          <m:e>
            <m:r>
              <m:t>​</m:t>
            </m:r>
          </m:e>
          <m:sup>
            <m:r>
              <m:t>∘</m:t>
            </m:r>
          </m:sup>
        </m:sSup>
      </m:oMath>
      <w:r>
        <w:t xml:space="preserve"> </w:t>
      </w:r>
      <w:r>
        <w:t xml:space="preserve">over X years]…, resulting in negative growth trends in basal area index (</w:t>
      </w:r>
      <m:oMath>
        <m:r>
          <m:t>B</m:t>
        </m:r>
        <m:r>
          <m:t>A</m:t>
        </m:r>
        <m:r>
          <m:t>I</m:t>
        </m:r>
      </m:oMath>
      <w:r>
        <w:t xml:space="preserve">) starting around 1950 and significant growth declines since 1970 in 56% of trees</w:t>
      </w:r>
      <w:r>
        <w:t xml:space="preserve"> </w:t>
      </w:r>
      <w:r>
        <w:t xml:space="preserve">(Sniderhan &amp; Baltzer, 2016)</w:t>
      </w:r>
      <w:r>
        <w:t xml:space="preserve">.</w:t>
      </w:r>
      <w:r>
        <w:t xml:space="preserve"> </w:t>
      </w:r>
      <w:r>
        <w:t xml:space="preserve">Problematically, correlating tree growth residuals from which climate-driven trends had been removed against the climate signal with a strong directional trend would not necessarily identify the most significant climate drivers.</w:t>
      </w:r>
      <w:r>
        <w:t xml:space="preserve"> </w:t>
      </w:r>
      <w:r>
        <w:t xml:space="preserve">(</w:t>
      </w:r>
      <w:hyperlink r:id="rId31">
        <w:r>
          <w:rPr>
            <w:rStyle w:val="Hyperlink"/>
            <w:b/>
          </w:rPr>
          <w:t xml:space="preserve">ISSUE #25 in ForestGEO-climate-sensitivity</w:t>
        </w:r>
      </w:hyperlink>
      <w:r>
        <w:rPr>
          <w:b/>
        </w:rPr>
        <w:t xml:space="preserve">: How do we solve this?</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 1).</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and fit one year spline for each treeID, plus a random intercept for each tree.</w:t>
      </w:r>
      <w:r>
        <w:t xml:space="preserve"> </w:t>
      </w:r>
      <w:r>
        <w:t xml:space="preserve">We also ran models with a spline of DBH (3 knots).</w:t>
      </w:r>
      <w:r>
        <w:t xml:space="preserve"> </w:t>
      </w:r>
      <w:r>
        <w:t xml:space="preserve">Across all possible models, variable AICc weights were summed to determine which drivers are most important. (</w:t>
      </w:r>
      <w:r>
        <w:rPr>
          <w:i/>
        </w:rPr>
        <w:t xml:space="preserve">Valentine, we’ll need some more details here.</w:t>
      </w:r>
      <w:r>
        <w:t xml:space="preserve">)</w:t>
      </w:r>
      <w:r>
        <w:t xml:space="preserve"> </w:t>
      </w:r>
      <w:r>
        <w:t xml:space="preserve">We considered the model containing those variables as the top model, noting that the top model can contain terms that are not individually significant in the context of that model.</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Aug; black boxes), was identified as the optimal window. Panel (e) shows the correlation of individual-level residuals to PET, with the function fit in climwin. Finally, panel (f) shows GLS model output, where PET is one of several driver variables (specify model). Plotted are responses of species for which PET was identified as a signficant driver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May-Aug; black boxes),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 PET is one of several driver variables (</w:t>
      </w:r>
      <w:r>
        <w:rPr>
          <w:i/>
        </w:rPr>
        <w:t xml:space="preserve">specify model</w:t>
      </w:r>
      <w:r>
        <w:t xml:space="preserve">). Plotted are responses of species for which PET was identified as a signficant driver in the top model.</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 S2-S3).</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 S2).</w:t>
      </w:r>
      <w:r>
        <w:t xml:space="preserve"> </w:t>
      </w:r>
      <w:r>
        <w:t xml:space="preserve">In # cases,</w:t>
      </w:r>
      <w:r>
        <w:t xml:space="preserve"> </w:t>
      </w:r>
      <w:r>
        <w:rPr>
          <w:i/>
        </w:rPr>
        <w:t xml:space="preserve">climwin</w:t>
      </w:r>
      <w:r>
        <w:t xml:space="preserve"> </w:t>
      </w:r>
      <w:r>
        <w:t xml:space="preserve">identified the same climate variable but different time windows.</w:t>
      </w:r>
      <w:r>
        <w:t xml:space="preserve"> </w:t>
      </w:r>
      <w:r>
        <w:t xml:space="preserve">In # cases,</w:t>
      </w:r>
      <w:r>
        <w:t xml:space="preserve"> </w:t>
      </w:r>
      <w:r>
        <w:rPr>
          <w:i/>
        </w:rPr>
        <w:t xml:space="preserve">climwin</w:t>
      </w:r>
      <w:r>
        <w:t xml:space="preserve"> </w:t>
      </w:r>
      <w:r>
        <w:t xml:space="preserve">identified different climate variables, but identical or overlapping time windows (e.g., Fig. S3).</w:t>
      </w:r>
      <w:r>
        <w:t xml:space="preserve"> </w:t>
      </w:r>
      <w:r>
        <w:t xml:space="preserve">Finally, in # cases,</w:t>
      </w:r>
      <w:r>
        <w:t xml:space="preserve"> </w:t>
      </w:r>
      <w:r>
        <w:rPr>
          <w:i/>
        </w:rPr>
        <w:t xml:space="preserve">climwin</w:t>
      </w:r>
      <w:r>
        <w:t xml:space="preserve"> </w:t>
      </w:r>
      <w:r>
        <w:t xml:space="preserve">identified different climate variables and different time windows.</w:t>
      </w:r>
      <w:r>
        <w:t xml:space="preserve"> </w:t>
      </w:r>
      <w:r>
        <w:t xml:space="preserve">Henceforth, we focus on the climate drivers identified when</w:t>
      </w:r>
      <w:r>
        <w:t xml:space="preserve"> </w:t>
      </w:r>
      <m:oMath>
        <m:r>
          <m:t>Δ</m:t>
        </m:r>
        <m:r>
          <m:t>r</m:t>
        </m:r>
      </m:oMath>
      <w:r>
        <w:t xml:space="preserve"> </w:t>
      </w:r>
      <w:r>
        <w:t xml:space="preserve">was the growth metric.</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e</m:t>
            </m:r>
            <m:r>
              <m:t>a</m:t>
            </m:r>
            <m:r>
              <m:t>n</m:t>
            </m:r>
          </m:sub>
        </m:sSub>
      </m:oMath>
      <w:r>
        <w:t xml:space="preserve"> </w:t>
      </w:r>
      <w:r>
        <w:t xml:space="preserve">and</w:t>
      </w:r>
      <w:r>
        <w:t xml:space="preserve"> </w:t>
      </w:r>
      <m:oMath>
        <m:sSub>
          <m:e>
            <m:r>
              <m:t>T</m:t>
            </m:r>
          </m:e>
          <m:sub>
            <m:r>
              <m:t>m</m:t>
            </m:r>
            <m:r>
              <m:t>i</m:t>
            </m:r>
            <m:r>
              <m:t>n</m:t>
            </m:r>
          </m:sub>
        </m:sSub>
      </m:oMath>
      <w:r>
        <w:t xml:space="preserve"> </w:t>
      </w:r>
      <w:r>
        <w:t xml:space="preserve">were never identified as top variables within the temperature group (Fig. 3).</w:t>
      </w:r>
      <w:r>
        <w:t xml:space="preserve"> </w:t>
      </w:r>
      <w:r>
        <w:t xml:space="preserve">Within the precipitation group, precipitation amount (PRE) was identified as the top variable most frequently (n=</w:t>
      </w:r>
      <w:r>
        <w:rPr>
          <w:i/>
        </w:rPr>
        <w:t xml:space="preserve">5 of 8</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w:t>
      </w:r>
      <w:r>
        <w:t xml:space="preserve"> </w:t>
      </w:r>
      <w:r>
        <w:rPr>
          <w:i/>
        </w:rPr>
        <w:t xml:space="preserve">4</w:t>
      </w:r>
      <w:r>
        <w:t xml:space="preserve"> </w:t>
      </w:r>
      <w:r>
        <w:t xml:space="preserve">sites (BCI, HKK, LT,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Climate senstivity for all sites. Columns include the top variables in the precipitation and temperature variable groups. For each species, relationships are plotted if included in top model.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the precipitation and temperature variable groups. For each species, relationships are plotted if included in top model.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observed at all sites and</w:t>
      </w:r>
      <w:r>
        <w:t xml:space="preserve"> </w:t>
      </w:r>
      <w:r>
        <w:rPr>
          <w:i/>
        </w:rPr>
        <w:t xml:space="preserve">for all but # species</w:t>
      </w:r>
      <w:r>
        <w:t xml:space="preserve"> </w:t>
      </w:r>
      <w:r>
        <w:t xml:space="preserve">(Fig. 3).</w:t>
      </w:r>
      <w:r>
        <w:t xml:space="preserve"> </w:t>
      </w:r>
      <w:r>
        <w:t xml:space="preserve">Specifically, a temperature term was included in the best model for # of # site-species combinations,</w:t>
      </w:r>
      <w:r>
        <w:t xml:space="preserve"> </w:t>
      </w:r>
      <w:r>
        <w:rPr>
          <w:i/>
        </w:rPr>
        <w:t xml:space="preserve">and were statistically significant for #</w:t>
      </w:r>
      <w:r>
        <w:t xml:space="preserve">.</w:t>
      </w:r>
      <w:r>
        <w:t xml:space="preserve"> </w:t>
      </w:r>
      <w:r>
        <w:t xml:space="preserve">Responses were most commonly positive and were most pronounced at the driest site (Little Tesque).</w:t>
      </w:r>
      <w:r>
        <w:t xml:space="preserve"> </w:t>
      </w:r>
      <w:r>
        <w:t xml:space="preserve">…</w:t>
      </w:r>
      <w:r>
        <w:t xml:space="preserve"> </w:t>
      </w:r>
      <w:r>
        <w:t xml:space="preserve">Responses commonly showed some non-linearity, and in some cases it was quite pronounced (e.g., Little Tesque), with the most common pattern being a decelerating increase</w:t>
      </w:r>
      <w:r>
        <w:t xml:space="preserve"> </w:t>
      </w:r>
      <w:r>
        <w:rPr>
          <w:i/>
        </w:rPr>
        <w:t xml:space="preserve">(</w:t>
      </w:r>
      <w:hyperlink r:id="rId35">
        <w:r>
          <w:rPr>
            <w:rStyle w:val="Hyperlink"/>
            <w:i/>
          </w:rPr>
          <w:t xml:space="preserve">ISSUE #63 in ForestGEO-climate-sensitivity</w:t>
        </w:r>
      </w:hyperlink>
      <w:r>
        <w:rPr>
          <w:i/>
        </w:rPr>
        <w:t xml:space="preserve">)</w:t>
      </w:r>
      <w:r>
        <w:t xml:space="preserve">.</w:t>
      </w:r>
    </w:p>
    <w:p>
      <w:pPr>
        <w:pStyle w:val="BodyText"/>
      </w:pPr>
      <w:r>
        <w:t xml:space="preserve">Temperature responses were observed at all sites</w:t>
      </w:r>
      <w:r>
        <w:t xml:space="preserve"> </w:t>
      </w:r>
      <w:r>
        <w:rPr>
          <w:i/>
        </w:rPr>
        <w:t xml:space="preserve">(but BCI?</w:t>
      </w:r>
      <w:r>
        <w:rPr>
          <w:i/>
        </w:rPr>
        <w:t xml:space="preserve"> </w:t>
      </w:r>
      <w:hyperlink r:id="rId36">
        <w:r>
          <w:rPr>
            <w:rStyle w:val="Hyperlink"/>
            <w:i/>
          </w:rPr>
          <w:t xml:space="preserve">ISSUE #62 in ForestGEO-climate-sensitivity</w:t>
        </w:r>
      </w:hyperlink>
      <w:r>
        <w:rPr>
          <w:i/>
        </w:rPr>
        <w:t xml:space="preserve">)</w:t>
      </w:r>
      <w:r>
        <w:t xml:space="preserve"> </w:t>
      </w:r>
      <w:r>
        <w:t xml:space="preserve">and</w:t>
      </w:r>
      <w:r>
        <w:t xml:space="preserve"> </w:t>
      </w:r>
      <w:r>
        <w:rPr>
          <w:i/>
        </w:rPr>
        <w:t xml:space="preserve">for the majority of species</w:t>
      </w:r>
      <w:r>
        <w:t xml:space="preserve"> </w:t>
      </w:r>
      <w:r>
        <w:t xml:space="preserve">(Fig. 3).</w:t>
      </w:r>
      <w:r>
        <w:t xml:space="preserve"> </w:t>
      </w:r>
      <w:r>
        <w:t xml:space="preserve">Specifically, a temperature term was included in the best model for # of # site-species combinations,</w:t>
      </w:r>
      <w:r>
        <w:t xml:space="preserve"> </w:t>
      </w:r>
      <w:r>
        <w:rPr>
          <w:i/>
        </w:rPr>
        <w:t xml:space="preserve">and were statistically significant for #</w:t>
      </w:r>
      <w:r>
        <w:t xml:space="preserve">.</w:t>
      </w:r>
      <w:r>
        <w:t xml:space="preserve"> </w:t>
      </w:r>
      <w:r>
        <w:t xml:space="preserve">Responses shifted from</w:t>
      </w:r>
      <w:r>
        <w:t xml:space="preserve"> </w:t>
      </w:r>
      <w:r>
        <w:rPr>
          <w:i/>
        </w:rPr>
        <w:t xml:space="preserve">near</w:t>
      </w:r>
      <w:r>
        <w:t xml:space="preserve">-universally negative below 40</w:t>
      </w:r>
      <m:oMath>
        <m:sSup>
          <m:e>
            <m:r>
              <m:t>​</m:t>
            </m:r>
          </m:e>
          <m:sup>
            <m:r>
              <m:t>∘</m:t>
            </m:r>
          </m:sup>
        </m:sSup>
      </m:oMath>
      <w:r>
        <w:t xml:space="preserve"> </w:t>
      </w:r>
      <w:r>
        <w:t xml:space="preserve">latitude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1">
        <w:r>
          <w:rPr>
            <w:rStyle w:val="Hyperlink"/>
            <w:i/>
          </w:rPr>
          <w:t xml:space="preserve">ISSUE #25 in ForestGEO-climate-sensitivity</w:t>
        </w:r>
      </w:hyperlink>
      <w:r>
        <w:rPr>
          <w:i/>
        </w:rPr>
        <w:t xml:space="preserve">)</w:t>
      </w:r>
      <w:r>
        <w:t xml:space="preserve"> </w:t>
      </w:r>
      <w:r>
        <w:t xml:space="preserve">Responses commonly showed some non-linearity, but there were</w:t>
      </w:r>
      <w:r>
        <w:t xml:space="preserve"> </w:t>
      </w:r>
      <w:r>
        <w:rPr>
          <w:i/>
        </w:rPr>
        <w:t xml:space="preserve">few, if any</w:t>
      </w:r>
      <w:r>
        <w:t xml:space="preserve"> </w:t>
      </w:r>
      <w:r>
        <w:t xml:space="preserve">cases of pronounced nonlinearity</w:t>
      </w:r>
      <w:r>
        <w:t xml:space="preserve"> </w:t>
      </w:r>
      <w:r>
        <w:rPr>
          <w:i/>
        </w:rPr>
        <w:t xml:space="preserve">(but how do we define this?</w:t>
      </w:r>
      <w:r>
        <w:rPr>
          <w:i/>
        </w:rPr>
        <w:t xml:space="preserve"> </w:t>
      </w:r>
      <w:hyperlink r:id="rId35">
        <w:r>
          <w:rPr>
            <w:rStyle w:val="Hyperlink"/>
            <w:i/>
          </w:rPr>
          <w:t xml:space="preserve">ISSUE #63 in ForestGEO-climate-sensitivity</w:t>
        </w:r>
      </w:hyperlink>
      <w:r>
        <w:rPr>
          <w:i/>
        </w:rPr>
        <w:t xml:space="preserve">)</w:t>
      </w:r>
      <w:r>
        <w:t xml:space="preserv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 4).</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 4).</w:t>
      </w:r>
    </w:p>
    <w:p>
      <w:pPr>
        <w:pStyle w:val="CaptionedFigure"/>
      </w:pPr>
      <w:r>
        <w:drawing>
          <wp:inline>
            <wp:extent cx="5334000" cy="6667499"/>
            <wp:effectExtent b="0" l="0" r="0" t="0"/>
            <wp:docPr descr="Figure 4 | Growth sensitivity to DBH: (a) \Delta r, (b) BAI, (c) \Delta AGB. Only relationships included in the top model for each site are shown."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7"/>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w:t>
      </w:r>
    </w:p>
    <w:p>
      <w:pPr>
        <w:pStyle w:val="BodyText"/>
      </w:pPr>
      <w:r>
        <w:rPr>
          <w:i/>
        </w:rPr>
        <w:t xml:space="preserve">Climate-DBH interactions</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8">
        <w:r>
          <w:rPr>
            <w:rStyle w:val="Hyperlink"/>
            <w:i/>
          </w:rPr>
          <w:t xml:space="preserve">ISSUE #42 in ForestGEO-climate-sensitivity</w:t>
        </w:r>
      </w:hyperlink>
      <w:r>
        <w:t xml:space="preserve">)</w:t>
      </w:r>
    </w:p>
    <w:p>
      <w:pPr>
        <w:pStyle w:val="Heading3"/>
      </w:pPr>
      <w:bookmarkStart w:id="39" w:name="discussion"/>
      <w:r>
        <w:t xml:space="preserve">Discussion</w:t>
      </w:r>
      <w:bookmarkEnd w:id="39"/>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On climate sensitivity:</w:t>
      </w:r>
      <w:r>
        <w:t xml:space="preserve"> </w:t>
      </w:r>
      <w:r>
        <w:t xml:space="preserve">- Climwin step is problematic when climate is rapidly changing</w:t>
      </w:r>
      <w:r>
        <w:t xml:space="preserve"> </w:t>
      </w:r>
      <w:hyperlink r:id="rId31">
        <w:r>
          <w:rPr>
            <w:rStyle w:val="Hyperlink"/>
          </w:rPr>
          <w:t xml:space="preserve">ISSUE #25 in ForestGEO-climate-sensitivity</w:t>
        </w:r>
      </w:hyperlink>
      <w:r>
        <w:t xml:space="preserve">.</w:t>
      </w:r>
    </w:p>
    <w:p>
      <w:pPr>
        <w:pStyle w:val="BodyText"/>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 4)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et al.,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40">
        <w:r>
          <w:rPr>
            <w:rStyle w:val="Hyperlink"/>
            <w:i/>
          </w:rPr>
          <w:t xml:space="preserve">Clark et al. 2007?</w:t>
        </w:r>
      </w:hyperlink>
      <w:r>
        <w:rPr>
          <w:i/>
        </w:rPr>
        <w:t xml:space="preserve">;</w:t>
      </w:r>
      <w:r>
        <w:rPr>
          <w:i/>
        </w:rPr>
        <w:t xml:space="preserve"> </w:t>
      </w:r>
      <w:hyperlink r:id="rId41">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w:r>
        <w:rPr>
          <w:i/>
        </w:rPr>
        <w:t xml:space="preserve">(check Foster et al. 2006)</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rPr>
          <w:i/>
        </w:rPr>
        <w:t xml:space="preserve">Climate-DBH interactions</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2" w:name="acknowledgements"/>
      <w:r>
        <w:t xml:space="preserve">Acknowledgements</w:t>
      </w:r>
      <w:bookmarkEnd w:id="42"/>
    </w:p>
    <w:p>
      <w:pPr>
        <w:pStyle w:val="FirstParagraph"/>
      </w:pPr>
      <w:r>
        <w:t xml:space="preserve">Scholarly Studies</w:t>
      </w:r>
    </w:p>
    <w:p>
      <w:pPr>
        <w:pStyle w:val="Heading3"/>
      </w:pPr>
      <w:bookmarkStart w:id="43" w:name="authors-contributions"/>
      <w:r>
        <w:t xml:space="preserve">Authors’ contributions</w:t>
      </w:r>
      <w:bookmarkEnd w:id="43"/>
    </w:p>
    <w:p>
      <w:pPr>
        <w:pStyle w:val="Heading3"/>
      </w:pPr>
      <w:bookmarkStart w:id="44" w:name="references"/>
      <w:r>
        <w:t xml:space="preserve">References</w:t>
      </w:r>
      <w:bookmarkEnd w:id="44"/>
    </w:p>
    <w:bookmarkStart w:id="111" w:name="refs"/>
    <w:bookmarkStart w:id="46"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5">
        <w:r>
          <w:rPr>
            <w:rStyle w:val="Hyperlink"/>
          </w:rPr>
          <w:t xml:space="preserve">10.1007/s00442-017-3879-3</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2">
        <w:r>
          <w:rPr>
            <w:rStyle w:val="Hyperlink"/>
          </w:rPr>
          <w:t xml:space="preserve">10.1111/gcb.13208</w:t>
        </w:r>
      </w:hyperlink>
    </w:p>
    <w:bookmarkEnd w:id="63"/>
    <w:bookmarkStart w:id="6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4">
        <w:r>
          <w:rPr>
            <w:rStyle w:val="Hyperlink"/>
          </w:rPr>
          <w:t xml:space="preserve">10.1175/JCLI3800.1</w:t>
        </w:r>
      </w:hyperlink>
    </w:p>
    <w:bookmarkEnd w:id="65"/>
    <w:bookmarkStart w:id="6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6">
        <w:r>
          <w:rPr>
            <w:rStyle w:val="Hyperlink"/>
          </w:rPr>
          <w:t xml:space="preserve">10.2307/1937545</w:t>
        </w:r>
      </w:hyperlink>
    </w:p>
    <w:bookmarkEnd w:id="67"/>
    <w:bookmarkStart w:id="6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8">
        <w:r>
          <w:rPr>
            <w:rStyle w:val="Hyperlink"/>
          </w:rPr>
          <w:t xml:space="preserve">10.1002/joc.3711</w:t>
        </w:r>
      </w:hyperlink>
    </w:p>
    <w:bookmarkEnd w:id="69"/>
    <w:bookmarkStart w:id="7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0">
        <w:r>
          <w:rPr>
            <w:rStyle w:val="Hyperlink"/>
          </w:rPr>
          <w:t xml:space="preserve">10.1038/s41597-020-0453-3</w:t>
        </w:r>
      </w:hyperlink>
    </w:p>
    <w:bookmarkEnd w:id="71"/>
    <w:bookmarkStart w:id="7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2">
        <w:r>
          <w:rPr>
            <w:rStyle w:val="Hyperlink"/>
          </w:rPr>
          <w:t xml:space="preserve">10.1111/nph.15906</w:t>
        </w:r>
      </w:hyperlink>
    </w:p>
    <w:bookmarkEnd w:id="73"/>
    <w:bookmarkStart w:id="75"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4">
        <w:r>
          <w:rPr>
            <w:rStyle w:val="Hyperlink"/>
          </w:rPr>
          <w:t xml:space="preserve">10.1038/s41467-018-07800-y</w:t>
        </w:r>
      </w:hyperlink>
    </w:p>
    <w:bookmarkEnd w:id="75"/>
    <w:bookmarkStart w:id="77"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6">
        <w:r>
          <w:rPr>
            <w:rStyle w:val="Hyperlink"/>
          </w:rPr>
          <w:t xml:space="preserve">10.1111/nph.15668</w:t>
        </w:r>
      </w:hyperlink>
    </w:p>
    <w:bookmarkEnd w:id="77"/>
    <w:bookmarkStart w:id="79"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8">
        <w:r>
          <w:rPr>
            <w:rStyle w:val="Hyperlink"/>
          </w:rPr>
          <w:t xml:space="preserve">10.1111/gcb.14273</w:t>
        </w:r>
      </w:hyperlink>
    </w:p>
    <w:bookmarkEnd w:id="79"/>
    <w:bookmarkStart w:id="81"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0">
        <w:r>
          <w:rPr>
            <w:rStyle w:val="Hyperlink"/>
          </w:rPr>
          <w:t xml:space="preserve">10.1007/s10584-016-1720-3</w:t>
        </w:r>
      </w:hyperlink>
    </w:p>
    <w:bookmarkEnd w:id="81"/>
    <w:bookmarkStart w:id="82"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2"/>
    <w:bookmarkStart w:id="84"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3">
        <w:r>
          <w:rPr>
            <w:rStyle w:val="Hyperlink"/>
          </w:rPr>
          <w:t xml:space="preserve">http://www.blackwell-synergy.com/doi/abs/10.1111/j.1461-0248.2006.00904.x</w:t>
        </w:r>
      </w:hyperlink>
    </w:p>
    <w:bookmarkEnd w:id="84"/>
    <w:bookmarkStart w:id="86"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5">
        <w:r>
          <w:rPr>
            <w:rStyle w:val="Hyperlink"/>
          </w:rPr>
          <w:t xml:space="preserve">10.1111/gcb.12826</w:t>
        </w:r>
      </w:hyperlink>
    </w:p>
    <w:bookmarkEnd w:id="86"/>
    <w:bookmarkStart w:id="88"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87">
        <w:r>
          <w:rPr>
            <w:rStyle w:val="Hyperlink"/>
          </w:rPr>
          <w:t xml:space="preserve">10.1111/2041-210X.12590</w:t>
        </w:r>
      </w:hyperlink>
    </w:p>
    <w:bookmarkEnd w:id="88"/>
    <w:bookmarkStart w:id="90"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89">
        <w:r>
          <w:rPr>
            <w:rStyle w:val="Hyperlink"/>
          </w:rPr>
          <w:t xml:space="preserve">10.1038/ngeo2313</w:t>
        </w:r>
      </w:hyperlink>
    </w:p>
    <w:bookmarkEnd w:id="90"/>
    <w:bookmarkStart w:id="92"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1">
        <w:r>
          <w:rPr>
            <w:rStyle w:val="Hyperlink"/>
          </w:rPr>
          <w:t xml:space="preserve">10.1002/2016JG003528</w:t>
        </w:r>
      </w:hyperlink>
    </w:p>
    <w:bookmarkEnd w:id="92"/>
    <w:bookmarkStart w:id="94"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93">
        <w:r>
          <w:rPr>
            <w:rStyle w:val="Hyperlink"/>
          </w:rPr>
          <w:t xml:space="preserve">10.1038/nature12914</w:t>
        </w:r>
      </w:hyperlink>
    </w:p>
    <w:bookmarkEnd w:id="94"/>
    <w:bookmarkStart w:id="96"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95">
        <w:r>
          <w:rPr>
            <w:rStyle w:val="Hyperlink"/>
          </w:rPr>
          <w:t xml:space="preserve">10.1126/science.aaw7578</w:t>
        </w:r>
      </w:hyperlink>
    </w:p>
    <w:bookmarkEnd w:id="96"/>
    <w:bookmarkStart w:id="98"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97">
        <w:r>
          <w:rPr>
            <w:rStyle w:val="Hyperlink"/>
          </w:rPr>
          <w:t xml:space="preserve">10.1111/ele.12765</w:t>
        </w:r>
      </w:hyperlink>
    </w:p>
    <w:bookmarkEnd w:id="98"/>
    <w:bookmarkStart w:id="100"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99">
        <w:r>
          <w:rPr>
            <w:rStyle w:val="Hyperlink"/>
          </w:rPr>
          <w:t xml:space="preserve">10.1016/j.agrformet.2017.08.007</w:t>
        </w:r>
      </w:hyperlink>
    </w:p>
    <w:bookmarkEnd w:id="100"/>
    <w:bookmarkStart w:id="10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1">
        <w:r>
          <w:rPr>
            <w:rStyle w:val="Hyperlink"/>
          </w:rPr>
          <w:t xml:space="preserve">10.1111/gcb.14120</w:t>
        </w:r>
      </w:hyperlink>
    </w:p>
    <w:bookmarkEnd w:id="102"/>
    <w:bookmarkStart w:id="104"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3">
        <w:r>
          <w:rPr>
            <w:rStyle w:val="Hyperlink"/>
          </w:rPr>
          <w:t xml:space="preserve">10.5194/cp-9-1481-2013</w:t>
        </w:r>
      </w:hyperlink>
    </w:p>
    <w:bookmarkEnd w:id="104"/>
    <w:bookmarkStart w:id="106"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05">
        <w:r>
          <w:rPr>
            <w:rStyle w:val="Hyperlink"/>
          </w:rPr>
          <w:t xml:space="preserve">10.1016/j.agrformet.2017.07.015</w:t>
        </w:r>
      </w:hyperlink>
    </w:p>
    <w:bookmarkEnd w:id="106"/>
    <w:bookmarkStart w:id="108"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07">
        <w:r>
          <w:rPr>
            <w:rStyle w:val="Hyperlink"/>
          </w:rPr>
          <w:t xml:space="preserve">10.1007/s00442-013-2846-x</w:t>
        </w:r>
      </w:hyperlink>
    </w:p>
    <w:bookmarkEnd w:id="108"/>
    <w:bookmarkStart w:id="110"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09">
        <w:r>
          <w:rPr>
            <w:rStyle w:val="Hyperlink"/>
          </w:rPr>
          <w:t xml:space="preserve">10.1111/nph.16866</w:t>
        </w:r>
      </w:hyperlink>
    </w:p>
    <w:bookmarkEnd w:id="110"/>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83" Target="http://www.blackwell-synergy.com/doi/abs/10.1111/j.1461-0248.2006.00904.x" TargetMode="External" /><Relationship Type="http://schemas.openxmlformats.org/officeDocument/2006/relationships/hyperlink" Id="rId91"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07"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05" Target="https://doi.org/10.1016/j.agrformet.2017.07.015" TargetMode="External" /><Relationship Type="http://schemas.openxmlformats.org/officeDocument/2006/relationships/hyperlink" Id="rId99"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93" Target="https://doi.org/10.1038/nature12914" TargetMode="External" /><Relationship Type="http://schemas.openxmlformats.org/officeDocument/2006/relationships/hyperlink" Id="rId89"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87"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97"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5"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1"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09" Target="https://doi.org/10.1111/nph.16866" TargetMode="External" /><Relationship Type="http://schemas.openxmlformats.org/officeDocument/2006/relationships/hyperlink" Id="rId95" Target="https://doi.org/10.1126/science.aaw7578"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103" Target="https://doi.org/10.5194/cp-9-1481-2013"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8"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36" Target="https://github.com/EcoClimLab/ForestGEO-climate-sensitivity/issues/62" TargetMode="External" /><Relationship Type="http://schemas.openxmlformats.org/officeDocument/2006/relationships/hyperlink" Id="rId35" Target="https://github.com/EcoClimLab/ForestGEO-climate-sensitivity/issues/63"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3" Target="http://www.blackwell-synergy.com/doi/abs/10.1111/j.1461-0248.2006.00904.x" TargetMode="External" /><Relationship Type="http://schemas.openxmlformats.org/officeDocument/2006/relationships/hyperlink" Id="rId91"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07"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05" Target="https://doi.org/10.1016/j.agrformet.2017.07.015" TargetMode="External" /><Relationship Type="http://schemas.openxmlformats.org/officeDocument/2006/relationships/hyperlink" Id="rId99"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93" Target="https://doi.org/10.1038/nature12914" TargetMode="External" /><Relationship Type="http://schemas.openxmlformats.org/officeDocument/2006/relationships/hyperlink" Id="rId89"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87"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97"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5"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1"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09" Target="https://doi.org/10.1111/nph.16866" TargetMode="External" /><Relationship Type="http://schemas.openxmlformats.org/officeDocument/2006/relationships/hyperlink" Id="rId95" Target="https://doi.org/10.1126/science.aaw7578"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103" Target="https://doi.org/10.5194/cp-9-1481-2013"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8"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36" Target="https://github.com/EcoClimLab/ForestGEO-climate-sensitivity/issues/62" TargetMode="External" /><Relationship Type="http://schemas.openxmlformats.org/officeDocument/2006/relationships/hyperlink" Id="rId35" Target="https://github.com/EcoClimLab/ForestGEO-climate-sensitivity/issues/63"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2020-08-17T16:14:33Z</dcterms:created>
  <dcterms:modified xsi:type="dcterms:W3CDTF">2020-08-17T16:14:33Z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