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interactively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w:t>
      </w:r>
      <w:r>
        <w:t xml:space="preserve"> </w:t>
      </w:r>
      <w:r>
        <w:rPr>
          <w:b/>
        </w:rPr>
        <w:t xml:space="preserve">???</w:t>
      </w:r>
      <w:r>
        <w:t xml:space="preserve">)</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w:t>
      </w:r>
      <w:r>
        <w:rPr>
          <w:b/>
        </w:rPr>
        <w:t xml:space="preserve">???</w:t>
      </w:r>
      <w:r>
        <w:t xml:space="preserve">;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K. J.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rPr>
          <w:b/>
        </w:rPr>
        <w:t xml:space="preserve"> </w:t>
      </w:r>
      <w:r>
        <w:rPr>
          <w:b/>
        </w:rPr>
        <w:t xml:space="preserve">&gt; 10 mm</w:t>
      </w:r>
      <w:r>
        <w:rPr>
          <w:b/>
        </w:rPr>
        <w:t xml:space="preserve"> </w:t>
      </w:r>
      <w:r>
        <w:t xml:space="preserve">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Finally, for each species, we excluded any reconstructed</w:t>
      </w:r>
      <w:r>
        <w:t xml:space="preserve"> </w:t>
      </w:r>
      <m:oMath>
        <m:r>
          <m:t>D</m:t>
        </m:r>
        <m:r>
          <m:t>B</m:t>
        </m:r>
        <m:r>
          <m:t>H</m:t>
        </m:r>
      </m:oMath>
      <w:r>
        <w:t xml:space="preserve"> </w:t>
      </w:r>
      <w:r>
        <w:t xml:space="preserve">range represented by &lt;3 cores.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potential evapotranspiration (PET); precipitation; and wet day frequency.</w:t>
      </w:r>
      <w:r>
        <w:t xml:space="preserve"> </w:t>
      </w:r>
      <w:r>
        <w:t xml:space="preserve">While the CRU database has records for every year, some have been gap-filled based on long-term monthly means</w:t>
      </w:r>
      <w:r>
        <w:t xml:space="preserve"> </w:t>
      </w:r>
      <w:r>
        <w:t xml:space="preserve">(Harris et al., 2014, 2020)</w:t>
      </w:r>
      <w:r>
        <w:t xml:space="preserve">.</w:t>
      </w:r>
      <w:r>
        <w:t xml:space="preserve"> </w:t>
      </w:r>
      <w:r>
        <w:t xml:space="preserve">To …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9">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(Table #). (**</w:t>
      </w:r>
      <w:hyperlink r:id="rId30">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w:t>
      </w:r>
      <m:oMath>
        <m:r>
          <m:t>B</m:t>
        </m:r>
        <m:r>
          <m:t>A</m:t>
        </m:r>
        <m:r>
          <m:t>I</m:t>
        </m:r>
      </m:oMath>
      <w:r>
        <w:t xml:space="preserve">)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1">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climate and reconstructed</w:t>
      </w:r>
      <w:r>
        <w:t xml:space="preserve"> </w:t>
      </w:r>
      <m:oMath>
        <m:r>
          <m:t>D</m:t>
        </m:r>
        <m:r>
          <m:t>B</m:t>
        </m:r>
        <m:r>
          <m:t>H</m:t>
        </m:r>
      </m:oMath>
      <w:r>
        <w:t xml:space="preserve"> </w:t>
      </w:r>
      <w:r>
        <w:t xml:space="preserve">data in a GLS model (Fig. 1).</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 We also ran models with a spline of DBH (3 knots).</w:t>
      </w:r>
      <w:r>
        <w:t xml:space="preserve"> </w:t>
      </w:r>
      <w:r>
        <w:t xml:space="preserve">Across all possible models, variable AICc weights were summed to determine which drivers are most important. We considered the model containing those variables as the top model.</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S2-S3).</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w:t>
      </w:r>
      <w:r>
        <w:t xml:space="preserve"> </w:t>
      </w:r>
      <w:r>
        <w:t xml:space="preserve">Henceforth, we focus on the climate drivers identified when</w:t>
      </w:r>
      <w:r>
        <w:t xml:space="preserve"> </w:t>
      </w:r>
      <m:oMath>
        <m:r>
          <m:t>Δ</m:t>
        </m:r>
        <m:r>
          <m:t>r</m:t>
        </m:r>
      </m:oMath>
      <w:r>
        <w:t xml:space="preserve"> </w:t>
      </w:r>
      <w:r>
        <w:t xml:space="preserve">was the growth metric.</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t xml:space="preserve">Temperature responses tended to be negative at lower latitudes, positive at higher.</w:t>
      </w:r>
    </w:p>
    <w:p>
      <w:pPr>
        <w:pStyle w:val="BodyText"/>
      </w:pPr>
      <w:r>
        <w:rPr>
          <w:b/>
        </w:rPr>
        <w:t xml:space="preserve">Non-linear responses to climate variables were common (Fig. 3).</w:t>
      </w:r>
      <w:r>
        <w:t xml:space="preserve"> </w:t>
      </w:r>
      <w:r>
        <w:t xml:space="preserve">- Growth almost always increased with precipitation up to the long-term mean, but often declined under high precipitation.</w:t>
      </w:r>
      <w:r>
        <w:t xml:space="preserve"> </w:t>
      </w:r>
      <w:r>
        <w:t xml:space="preserve">- The most common response to temperature was unimodal, often peaking within 1SD of long-term mean. (</w:t>
      </w:r>
      <w:r>
        <w:rPr>
          <w:b/>
        </w:rPr>
        <w:t xml:space="preserve">based on early results– need to re-evaluate</w:t>
      </w:r>
      <w:r>
        <w:t xml:space="preserve">)</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6">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r>
        <w:t xml:space="preserve"> </w:t>
      </w:r>
      <w:r>
        <w:t xml:space="preserve">On climate sensitivity:</w:t>
      </w:r>
      <w:r>
        <w:t xml:space="preserve"> </w:t>
      </w:r>
      <w:r>
        <w:t xml:space="preserve">- Climwin step is problematic when climate is rapidly changing</w:t>
      </w:r>
      <w:r>
        <w:t xml:space="preserve"> </w:t>
      </w:r>
      <w:hyperlink r:id="rId31">
        <w:r>
          <w:rPr>
            <w:rStyle w:val="Hyperlink"/>
          </w:rPr>
          <w:t xml:space="preserve">ISSUE #25 in ForestGEO-climate-sensitivity</w:t>
        </w:r>
      </w:hyperlink>
      <w:r>
        <w:t xml:space="preserve">.</w:t>
      </w:r>
    </w:p>
    <w:p>
      <w:pPr>
        <w:pStyle w:val="BodyText"/>
      </w:pPr>
      <w:r>
        <w:rPr>
          <w:i/>
        </w:rPr>
        <w:t xml:space="preserve">Influence of DBH</w:t>
      </w:r>
    </w:p>
    <w:p>
      <w:pPr>
        <w:pStyle w:val="BodyText"/>
      </w:pPr>
      <w:r>
        <w:rPr>
          <w:b/>
        </w:rPr>
        <w:t xml:space="preserve">We recorded substantial variation in growth trends with</w:t>
      </w:r>
      <w:r>
        <w:rPr>
          <w:b/>
        </w:rPr>
        <w:t xml:space="preserve"> </w:t>
      </w:r>
      <m:oMath>
        <m:r>
          <m:t>D</m:t>
        </m:r>
        <m:r>
          <m:t>B</m:t>
        </m:r>
        <m:r>
          <m:t>H</m:t>
        </m:r>
      </m:oMath>
      <w:r>
        <w:rPr>
          <w:b/>
        </w:rPr>
        <w:t xml:space="preserve">, dependent largely upon species ecology and stand history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This highly shade-intolerant species generally establishes in the open</w:t>
      </w:r>
      <w:r>
        <w:t xml:space="preserve"> </w:t>
      </w:r>
      <w:r>
        <w:t xml:space="preserve">(Baker &amp; Bunyavejchewin, 2006)</w:t>
      </w:r>
      <w:r>
        <w:t xml:space="preserve"> </w:t>
      </w:r>
      <w:r>
        <w:t xml:space="preserve">and was sampled opportunistically outside the ForestGEO plot</w:t>
      </w:r>
      <w:r>
        <w:t xml:space="preserve"> </w:t>
      </w:r>
      <w:r>
        <w:t xml:space="preserve">(Vlam et al., 2014)</w:t>
      </w:r>
      <w:r>
        <w:t xml:space="preserve">, where it presumably established under open conditions.</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r>
        <w:br/>
      </w:r>
      <w:r>
        <w:t xml:space="preserve">A number of taxa showed different patterns at different sites; for example,</w:t>
      </w:r>
      <w:r>
        <w:t xml:space="preserve"> </w:t>
      </w:r>
      <w:r>
        <w:rPr>
          <w:i/>
        </w:rPr>
        <w:t xml:space="preserve">Acer</w:t>
      </w:r>
      <w:r>
        <w:t xml:space="preserve"> </w:t>
      </w:r>
      <w:r>
        <w:t xml:space="preserve">exhibited the first pattern at Harvard Forest and the second at Lilly Dickey.</w:t>
      </w:r>
      <w:r>
        <w:t xml:space="preserve"> </w:t>
      </w:r>
      <w:r>
        <w:t xml:space="preserve">Similarly, patterns were mixed among species within a single stand (e.g., at SCBI and Harvard Forest).</w:t>
      </w:r>
      <w:r>
        <w:t xml:space="preserve"> </w:t>
      </w:r>
      <w:r>
        <w:t xml:space="preserve">These variable patterns in</w:t>
      </w:r>
      <w:r>
        <w:t xml:space="preserve"> </w:t>
      </w:r>
      <m:oMath>
        <m:r>
          <m:t>Δ</m:t>
        </m:r>
        <m:r>
          <m:t>r</m:t>
        </m:r>
      </m:oMath>
      <w:r>
        <w:t xml:space="preserve"> </w:t>
      </w:r>
      <w:r>
        <w:t xml:space="preserve">with</w:t>
      </w:r>
      <w:r>
        <w:t xml:space="preserve"> </w:t>
      </w:r>
      <m:oMath>
        <m:r>
          <m:t>D</m:t>
        </m:r>
        <m:r>
          <m:t>B</m:t>
        </m:r>
        <m:r>
          <m:t>H</m:t>
        </m:r>
      </m:oMath>
      <w:r>
        <w:t xml:space="preserve"> </w:t>
      </w:r>
      <w:r>
        <w:t xml:space="preserve">translated into differences in variation in</w:t>
      </w:r>
      <w:r>
        <w:t xml:space="preserve"> </w:t>
      </w:r>
      <m:oMath>
        <m:r>
          <m:t>B</m:t>
        </m:r>
        <m:r>
          <m:t>A</m:t>
        </m:r>
        <m:r>
          <m:t>I</m:t>
        </m:r>
      </m:oMath>
      <w:r>
        <w:t xml:space="preserve"> </w:t>
      </w:r>
      <w:r>
        <w:t xml:space="preserve">and</w:t>
      </w:r>
      <w:r>
        <w:t xml:space="preserve"> </w:t>
      </w:r>
      <m:oMath>
        <m:r>
          <m:t>Δ</m:t>
        </m:r>
        <m:r>
          <m:t>A</m:t>
        </m:r>
        <m:r>
          <m:t>G</m:t>
        </m:r>
        <m:r>
          <m:t>B</m:t>
        </m:r>
      </m:oMath>
      <w:r>
        <w:t xml:space="preserve"> </w:t>
      </w:r>
      <w:r>
        <w:t xml:space="preserve">with</w:t>
      </w:r>
      <w:r>
        <w:t xml:space="preserve"> </w:t>
      </w:r>
      <m:oMath>
        <m:r>
          <m:t>D</m:t>
        </m:r>
        <m:r>
          <m:t>B</m:t>
        </m:r>
        <m:r>
          <m:t>H</m:t>
        </m:r>
      </m:oMath>
      <w:r>
        <w:t xml:space="preserve">, although trends in both of these were more consistent across sites and species, typically increasing to a peak at intermediate</w:t>
      </w:r>
      <w:r>
        <w:t xml:space="preserve"> </w:t>
      </w:r>
      <m:oMath>
        <m:r>
          <m:t>D</m:t>
        </m:r>
        <m:r>
          <m:t>B</m:t>
        </m:r>
        <m:r>
          <m:t>H</m:t>
        </m:r>
      </m:oMath>
      <w:r>
        <w:t xml:space="preserve"> </w:t>
      </w:r>
      <w:r>
        <w:t xml:space="preserve">and then declining.</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K. J. 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r>
        <w:t xml:space="preserve"> </w:t>
      </w:r>
      <w:r>
        <w:t xml:space="preserve">This also contrasts with</w:t>
      </w:r>
      <w:r>
        <w:t xml:space="preserve"> </w:t>
      </w:r>
      <w:r>
        <w:t xml:space="preserve">Helcoski et al. (2019)</w:t>
      </w:r>
      <w:r>
        <w:t xml:space="preserve">, where we show a positive relationship of radial growth to DBH from tree-rings.</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rPr>
          <w:i/>
        </w:rPr>
        <w:t xml:space="preserve">Climate-DBH interactions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Scholarly Studies</w:t>
      </w:r>
    </w:p>
    <w:p>
      <w:pPr>
        <w:pStyle w:val="Heading3"/>
      </w:pPr>
      <w:bookmarkStart w:id="41" w:name="authors-contributions"/>
      <w:r>
        <w:t xml:space="preserve">Authors’ contributions</w:t>
      </w:r>
      <w:bookmarkEnd w:id="41"/>
    </w:p>
    <w:p>
      <w:pPr>
        <w:pStyle w:val="Heading3"/>
      </w:pPr>
      <w:bookmarkStart w:id="42" w:name="references"/>
      <w:r>
        <w:t xml:space="preserve">References</w:t>
      </w:r>
      <w:bookmarkEnd w:id="42"/>
    </w:p>
    <w:bookmarkStart w:id="103"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5">
        <w:r>
          <w:rPr>
            <w:rStyle w:val="Hyperlink"/>
          </w:rPr>
          <w:t xml:space="preserve">10.1111/gcb.12712</w:t>
        </w:r>
      </w:hyperlink>
    </w:p>
    <w:bookmarkEnd w:id="46"/>
    <w:bookmarkStart w:id="48"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7">
        <w:r>
          <w:rPr>
            <w:rStyle w:val="Hyperlink"/>
          </w:rPr>
          <w:t xml:space="preserve">10.1111/1365-2435.12470</w:t>
        </w:r>
      </w:hyperlink>
    </w:p>
    <w:bookmarkEnd w:id="48"/>
    <w:bookmarkStart w:id="50"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49">
        <w:r>
          <w:rPr>
            <w:rStyle w:val="Hyperlink"/>
          </w:rPr>
          <w:t xml:space="preserve">10.1017/S0266467406003312</w:t>
        </w:r>
      </w:hyperlink>
    </w:p>
    <w:bookmarkEnd w:id="50"/>
    <w:bookmarkStart w:id="51"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1"/>
    <w:bookmarkStart w:id="53"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2">
        <w:r>
          <w:rPr>
            <w:rStyle w:val="Hyperlink"/>
          </w:rPr>
          <w:t xml:space="preserve">10.1038/nplants.2015.139</w:t>
        </w:r>
      </w:hyperlink>
    </w:p>
    <w:bookmarkEnd w:id="53"/>
    <w:bookmarkStart w:id="55"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4">
        <w:r>
          <w:rPr>
            <w:rStyle w:val="Hyperlink"/>
          </w:rPr>
          <w:t xml:space="preserve">10.1111/gcb.13535</w:t>
        </w:r>
      </w:hyperlink>
    </w:p>
    <w:bookmarkEnd w:id="55"/>
    <w:bookmarkStart w:id="57"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56">
        <w:r>
          <w:rPr>
            <w:rStyle w:val="Hyperlink"/>
          </w:rPr>
          <w:t xml:space="preserve">10.1111/ele.12650</w:t>
        </w:r>
      </w:hyperlink>
    </w:p>
    <w:bookmarkEnd w:id="57"/>
    <w:bookmarkStart w:id="5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58">
        <w:r>
          <w:rPr>
            <w:rStyle w:val="Hyperlink"/>
          </w:rPr>
          <w:t xml:space="preserve">10.1111/gcb.13208</w:t>
        </w:r>
      </w:hyperlink>
    </w:p>
    <w:bookmarkEnd w:id="59"/>
    <w:bookmarkStart w:id="61"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0">
        <w:r>
          <w:rPr>
            <w:rStyle w:val="Hyperlink"/>
          </w:rPr>
          <w:t xml:space="preserve">10.1175/JCLI3800.1</w:t>
        </w:r>
      </w:hyperlink>
    </w:p>
    <w:bookmarkEnd w:id="61"/>
    <w:bookmarkStart w:id="6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2">
        <w:r>
          <w:rPr>
            <w:rStyle w:val="Hyperlink"/>
          </w:rPr>
          <w:t xml:space="preserve">10.2307/1937545</w:t>
        </w:r>
      </w:hyperlink>
    </w:p>
    <w:bookmarkEnd w:id="63"/>
    <w:bookmarkStart w:id="6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4">
        <w:r>
          <w:rPr>
            <w:rStyle w:val="Hyperlink"/>
          </w:rPr>
          <w:t xml:space="preserve">10.1002/joc.3711</w:t>
        </w:r>
      </w:hyperlink>
    </w:p>
    <w:bookmarkEnd w:id="65"/>
    <w:bookmarkStart w:id="6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66">
        <w:r>
          <w:rPr>
            <w:rStyle w:val="Hyperlink"/>
          </w:rPr>
          <w:t xml:space="preserve">10.1038/s41597-020-0453-3</w:t>
        </w:r>
      </w:hyperlink>
    </w:p>
    <w:bookmarkEnd w:id="67"/>
    <w:bookmarkStart w:id="6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68">
        <w:r>
          <w:rPr>
            <w:rStyle w:val="Hyperlink"/>
          </w:rPr>
          <w:t xml:space="preserve">10.1111/nph.15906</w:t>
        </w:r>
      </w:hyperlink>
    </w:p>
    <w:bookmarkEnd w:id="69"/>
    <w:bookmarkStart w:id="7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0">
        <w:r>
          <w:rPr>
            <w:rStyle w:val="Hyperlink"/>
          </w:rPr>
          <w:t xml:space="preserve">10.1038/s41467-018-07800-y</w:t>
        </w:r>
      </w:hyperlink>
    </w:p>
    <w:bookmarkEnd w:id="71"/>
    <w:bookmarkStart w:id="73"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2">
        <w:r>
          <w:rPr>
            <w:rStyle w:val="Hyperlink"/>
          </w:rPr>
          <w:t xml:space="preserve">10.1111/nph.15668</w:t>
        </w:r>
      </w:hyperlink>
    </w:p>
    <w:bookmarkEnd w:id="73"/>
    <w:bookmarkStart w:id="75"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4">
        <w:r>
          <w:rPr>
            <w:rStyle w:val="Hyperlink"/>
          </w:rPr>
          <w:t xml:space="preserve">10.1111/gcb.14273</w:t>
        </w:r>
      </w:hyperlink>
    </w:p>
    <w:bookmarkEnd w:id="75"/>
    <w:bookmarkStart w:id="7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76">
        <w:r>
          <w:rPr>
            <w:rStyle w:val="Hyperlink"/>
          </w:rPr>
          <w:t xml:space="preserve">10.1007/s10584-016-1720-3</w:t>
        </w:r>
      </w:hyperlink>
    </w:p>
    <w:bookmarkEnd w:id="77"/>
    <w:bookmarkStart w:id="78"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78"/>
    <w:bookmarkStart w:id="80"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79">
        <w:r>
          <w:rPr>
            <w:rStyle w:val="Hyperlink"/>
          </w:rPr>
          <w:t xml:space="preserve">http://www.blackwell-synergy.com/doi/abs/10.1111/j.1461-0248.2006.00904.x</w:t>
        </w:r>
      </w:hyperlink>
    </w:p>
    <w:bookmarkEnd w:id="80"/>
    <w:bookmarkStart w:id="8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1">
        <w:r>
          <w:rPr>
            <w:rStyle w:val="Hyperlink"/>
          </w:rPr>
          <w:t xml:space="preserve">10.1111/gcb.12826</w:t>
        </w:r>
      </w:hyperlink>
    </w:p>
    <w:bookmarkEnd w:id="82"/>
    <w:bookmarkStart w:id="8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83">
        <w:r>
          <w:rPr>
            <w:rStyle w:val="Hyperlink"/>
          </w:rPr>
          <w:t xml:space="preserve">10.1111/2041-210X.12590</w:t>
        </w:r>
      </w:hyperlink>
    </w:p>
    <w:bookmarkEnd w:id="84"/>
    <w:bookmarkStart w:id="86"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85">
        <w:r>
          <w:rPr>
            <w:rStyle w:val="Hyperlink"/>
          </w:rPr>
          <w:t xml:space="preserve">10.1038/ngeo2313</w:t>
        </w:r>
      </w:hyperlink>
    </w:p>
    <w:bookmarkEnd w:id="86"/>
    <w:bookmarkStart w:id="88"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87">
        <w:r>
          <w:rPr>
            <w:rStyle w:val="Hyperlink"/>
          </w:rPr>
          <w:t xml:space="preserve">10.1002/2016JG003528</w:t>
        </w:r>
      </w:hyperlink>
    </w:p>
    <w:bookmarkEnd w:id="88"/>
    <w:bookmarkStart w:id="90"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89">
        <w:r>
          <w:rPr>
            <w:rStyle w:val="Hyperlink"/>
          </w:rPr>
          <w:t xml:space="preserve">10.1111/ele.12765</w:t>
        </w:r>
      </w:hyperlink>
    </w:p>
    <w:bookmarkEnd w:id="90"/>
    <w:bookmarkStart w:id="9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91">
        <w:r>
          <w:rPr>
            <w:rStyle w:val="Hyperlink"/>
          </w:rPr>
          <w:t xml:space="preserve">10.1016/j.agrformet.2017.08.007</w:t>
        </w:r>
      </w:hyperlink>
    </w:p>
    <w:bookmarkEnd w:id="92"/>
    <w:bookmarkStart w:id="9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93">
        <w:r>
          <w:rPr>
            <w:rStyle w:val="Hyperlink"/>
          </w:rPr>
          <w:t xml:space="preserve">10.1111/gcb.14120</w:t>
        </w:r>
      </w:hyperlink>
    </w:p>
    <w:bookmarkEnd w:id="94"/>
    <w:bookmarkStart w:id="96"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95">
        <w:r>
          <w:rPr>
            <w:rStyle w:val="Hyperlink"/>
          </w:rPr>
          <w:t xml:space="preserve">10.5194/cp-9-1481-2013</w:t>
        </w:r>
      </w:hyperlink>
    </w:p>
    <w:bookmarkEnd w:id="96"/>
    <w:bookmarkStart w:id="98"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97">
        <w:r>
          <w:rPr>
            <w:rStyle w:val="Hyperlink"/>
          </w:rPr>
          <w:t xml:space="preserve">10.1016/j.agrformet.2017.07.015</w:t>
        </w:r>
      </w:hyperlink>
    </w:p>
    <w:bookmarkEnd w:id="98"/>
    <w:bookmarkStart w:id="100"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99">
        <w:r>
          <w:rPr>
            <w:rStyle w:val="Hyperlink"/>
          </w:rPr>
          <w:t xml:space="preserve">10.1007/s00442-013-2846-x</w:t>
        </w:r>
      </w:hyperlink>
    </w:p>
    <w:bookmarkEnd w:id="100"/>
    <w:bookmarkStart w:id="102"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01">
        <w:r>
          <w:rPr>
            <w:rStyle w:val="Hyperlink"/>
          </w:rPr>
          <w:t xml:space="preserve">10.1111/nph.16866</w:t>
        </w:r>
      </w:hyperlink>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79" Target="http://www.blackwell-synergy.com/doi/abs/10.1111/j.1461-0248.2006.00904.x" TargetMode="External" /><Relationship Type="http://schemas.openxmlformats.org/officeDocument/2006/relationships/hyperlink" Id="rId87" Target="https://doi.org/10.1002/2016JG003528" TargetMode="External" /><Relationship Type="http://schemas.openxmlformats.org/officeDocument/2006/relationships/hyperlink" Id="rId64" Target="https://doi.org/10.1002/joc.3711" TargetMode="External" /><Relationship Type="http://schemas.openxmlformats.org/officeDocument/2006/relationships/hyperlink" Id="rId99"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76" Target="https://doi.org/10.1007/s10584-016-1720-3" TargetMode="External" /><Relationship Type="http://schemas.openxmlformats.org/officeDocument/2006/relationships/hyperlink" Id="rId97" Target="https://doi.org/10.1016/j.agrformet.2017.07.015" TargetMode="External" /><Relationship Type="http://schemas.openxmlformats.org/officeDocument/2006/relationships/hyperlink" Id="rId91" Target="https://doi.org/10.1016/j.agrformet.2017.08.007" TargetMode="External" /><Relationship Type="http://schemas.openxmlformats.org/officeDocument/2006/relationships/hyperlink" Id="rId49" Target="https://doi.org/10.1017/S0266467406003312" TargetMode="External" /><Relationship Type="http://schemas.openxmlformats.org/officeDocument/2006/relationships/hyperlink" Id="rId85" Target="https://doi.org/10.1038/ngeo2313" TargetMode="External" /><Relationship Type="http://schemas.openxmlformats.org/officeDocument/2006/relationships/hyperlink" Id="rId52" Target="https://doi.org/10.1038/nplants.2015.139" TargetMode="External" /><Relationship Type="http://schemas.openxmlformats.org/officeDocument/2006/relationships/hyperlink" Id="rId70" Target="https://doi.org/10.1038/s41467-018-07800-y" TargetMode="External" /><Relationship Type="http://schemas.openxmlformats.org/officeDocument/2006/relationships/hyperlink" Id="rId66" Target="https://doi.org/10.1038/s41597-020-0453-3" TargetMode="External" /><Relationship Type="http://schemas.openxmlformats.org/officeDocument/2006/relationships/hyperlink" Id="rId47" Target="https://doi.org/10.1111/1365-2435.12470" TargetMode="External" /><Relationship Type="http://schemas.openxmlformats.org/officeDocument/2006/relationships/hyperlink" Id="rId83" Target="https://doi.org/10.1111/2041-210X.12590" TargetMode="External" /><Relationship Type="http://schemas.openxmlformats.org/officeDocument/2006/relationships/hyperlink" Id="rId56" Target="https://doi.org/10.1111/ele.12650" TargetMode="External" /><Relationship Type="http://schemas.openxmlformats.org/officeDocument/2006/relationships/hyperlink" Id="rId89" Target="https://doi.org/10.1111/ele.12765" TargetMode="External" /><Relationship Type="http://schemas.openxmlformats.org/officeDocument/2006/relationships/hyperlink" Id="rId45" Target="https://doi.org/10.1111/gcb.12712" TargetMode="External" /><Relationship Type="http://schemas.openxmlformats.org/officeDocument/2006/relationships/hyperlink" Id="rId81" Target="https://doi.org/10.1111/gcb.12826" TargetMode="External" /><Relationship Type="http://schemas.openxmlformats.org/officeDocument/2006/relationships/hyperlink" Id="rId58" Target="https://doi.org/10.1111/gcb.13208" TargetMode="External" /><Relationship Type="http://schemas.openxmlformats.org/officeDocument/2006/relationships/hyperlink" Id="rId54" Target="https://doi.org/10.1111/gcb.13535" TargetMode="External" /><Relationship Type="http://schemas.openxmlformats.org/officeDocument/2006/relationships/hyperlink" Id="rId93" Target="https://doi.org/10.1111/gcb.14120" TargetMode="External" /><Relationship Type="http://schemas.openxmlformats.org/officeDocument/2006/relationships/hyperlink" Id="rId74" Target="https://doi.org/10.1111/gcb.14273" TargetMode="External" /><Relationship Type="http://schemas.openxmlformats.org/officeDocument/2006/relationships/hyperlink" Id="rId72" Target="https://doi.org/10.1111/nph.15668" TargetMode="External" /><Relationship Type="http://schemas.openxmlformats.org/officeDocument/2006/relationships/hyperlink" Id="rId68" Target="https://doi.org/10.1111/nph.15906" TargetMode="External" /><Relationship Type="http://schemas.openxmlformats.org/officeDocument/2006/relationships/hyperlink" Id="rId101" Target="https://doi.org/10.1111/nph.16866" TargetMode="External" /><Relationship Type="http://schemas.openxmlformats.org/officeDocument/2006/relationships/hyperlink" Id="rId60" Target="https://doi.org/10.1175/JCLI3800.1" TargetMode="External" /><Relationship Type="http://schemas.openxmlformats.org/officeDocument/2006/relationships/hyperlink" Id="rId62" Target="https://doi.org/10.2307/1937545" TargetMode="External" /><Relationship Type="http://schemas.openxmlformats.org/officeDocument/2006/relationships/hyperlink" Id="rId95" Target="https://doi.org/10.5194/cp-9-1481-2013"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6"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9" Target="http://www.blackwell-synergy.com/doi/abs/10.1111/j.1461-0248.2006.00904.x" TargetMode="External" /><Relationship Type="http://schemas.openxmlformats.org/officeDocument/2006/relationships/hyperlink" Id="rId87" Target="https://doi.org/10.1002/2016JG003528" TargetMode="External" /><Relationship Type="http://schemas.openxmlformats.org/officeDocument/2006/relationships/hyperlink" Id="rId64" Target="https://doi.org/10.1002/joc.3711" TargetMode="External" /><Relationship Type="http://schemas.openxmlformats.org/officeDocument/2006/relationships/hyperlink" Id="rId99"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76" Target="https://doi.org/10.1007/s10584-016-1720-3" TargetMode="External" /><Relationship Type="http://schemas.openxmlformats.org/officeDocument/2006/relationships/hyperlink" Id="rId97" Target="https://doi.org/10.1016/j.agrformet.2017.07.015" TargetMode="External" /><Relationship Type="http://schemas.openxmlformats.org/officeDocument/2006/relationships/hyperlink" Id="rId91" Target="https://doi.org/10.1016/j.agrformet.2017.08.007" TargetMode="External" /><Relationship Type="http://schemas.openxmlformats.org/officeDocument/2006/relationships/hyperlink" Id="rId49" Target="https://doi.org/10.1017/S0266467406003312" TargetMode="External" /><Relationship Type="http://schemas.openxmlformats.org/officeDocument/2006/relationships/hyperlink" Id="rId85" Target="https://doi.org/10.1038/ngeo2313" TargetMode="External" /><Relationship Type="http://schemas.openxmlformats.org/officeDocument/2006/relationships/hyperlink" Id="rId52" Target="https://doi.org/10.1038/nplants.2015.139" TargetMode="External" /><Relationship Type="http://schemas.openxmlformats.org/officeDocument/2006/relationships/hyperlink" Id="rId70" Target="https://doi.org/10.1038/s41467-018-07800-y" TargetMode="External" /><Relationship Type="http://schemas.openxmlformats.org/officeDocument/2006/relationships/hyperlink" Id="rId66" Target="https://doi.org/10.1038/s41597-020-0453-3" TargetMode="External" /><Relationship Type="http://schemas.openxmlformats.org/officeDocument/2006/relationships/hyperlink" Id="rId47" Target="https://doi.org/10.1111/1365-2435.12470" TargetMode="External" /><Relationship Type="http://schemas.openxmlformats.org/officeDocument/2006/relationships/hyperlink" Id="rId83" Target="https://doi.org/10.1111/2041-210X.12590" TargetMode="External" /><Relationship Type="http://schemas.openxmlformats.org/officeDocument/2006/relationships/hyperlink" Id="rId56" Target="https://doi.org/10.1111/ele.12650" TargetMode="External" /><Relationship Type="http://schemas.openxmlformats.org/officeDocument/2006/relationships/hyperlink" Id="rId89" Target="https://doi.org/10.1111/ele.12765" TargetMode="External" /><Relationship Type="http://schemas.openxmlformats.org/officeDocument/2006/relationships/hyperlink" Id="rId45" Target="https://doi.org/10.1111/gcb.12712" TargetMode="External" /><Relationship Type="http://schemas.openxmlformats.org/officeDocument/2006/relationships/hyperlink" Id="rId81" Target="https://doi.org/10.1111/gcb.12826" TargetMode="External" /><Relationship Type="http://schemas.openxmlformats.org/officeDocument/2006/relationships/hyperlink" Id="rId58" Target="https://doi.org/10.1111/gcb.13208" TargetMode="External" /><Relationship Type="http://schemas.openxmlformats.org/officeDocument/2006/relationships/hyperlink" Id="rId54" Target="https://doi.org/10.1111/gcb.13535" TargetMode="External" /><Relationship Type="http://schemas.openxmlformats.org/officeDocument/2006/relationships/hyperlink" Id="rId93" Target="https://doi.org/10.1111/gcb.14120" TargetMode="External" /><Relationship Type="http://schemas.openxmlformats.org/officeDocument/2006/relationships/hyperlink" Id="rId74" Target="https://doi.org/10.1111/gcb.14273" TargetMode="External" /><Relationship Type="http://schemas.openxmlformats.org/officeDocument/2006/relationships/hyperlink" Id="rId72" Target="https://doi.org/10.1111/nph.15668" TargetMode="External" /><Relationship Type="http://schemas.openxmlformats.org/officeDocument/2006/relationships/hyperlink" Id="rId68" Target="https://doi.org/10.1111/nph.15906" TargetMode="External" /><Relationship Type="http://schemas.openxmlformats.org/officeDocument/2006/relationships/hyperlink" Id="rId101" Target="https://doi.org/10.1111/nph.16866" TargetMode="External" /><Relationship Type="http://schemas.openxmlformats.org/officeDocument/2006/relationships/hyperlink" Id="rId60" Target="https://doi.org/10.1175/JCLI3800.1" TargetMode="External" /><Relationship Type="http://schemas.openxmlformats.org/officeDocument/2006/relationships/hyperlink" Id="rId62" Target="https://doi.org/10.2307/1937545" TargetMode="External" /><Relationship Type="http://schemas.openxmlformats.org/officeDocument/2006/relationships/hyperlink" Id="rId95" Target="https://doi.org/10.5194/cp-9-1481-2013"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6"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2020-08-16T13:02:38Z</dcterms:created>
  <dcterms:modified xsi:type="dcterms:W3CDTF">2020-08-16T13:02:38Z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