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27.png" ContentType="image/png"/>
  <Override PartName="/word/media/rId37.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i/>
        </w:rPr>
        <w:t xml:space="preserve">List not yet complete. Current list includes all those who have contributed tree-ring data and/or intellectually, but all not site PIs.</w:t>
      </w:r>
    </w:p>
    <w:p>
      <w:pPr>
        <w:pStyle w:val="BodyText"/>
      </w:pPr>
      <w:r>
        <w:rPr>
          <w:i/>
        </w:rPr>
        <w:t xml:space="preserve">other contributors may move up in the list if they contribute a lot</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long-term growth trends in response to changing environmental drivers, including climate, increasing atmospheric CO</w:t>
      </w:r>
      <w:r>
        <w:rPr>
          <w:vertAlign w:val="subscript"/>
        </w:rPr>
        <w:t xml:space="preserve">2</w:t>
      </w:r>
      <w:r>
        <w:t xml:space="preserve"> </w:t>
      </w:r>
      <w:r>
        <w:t xml:space="preserve">(reviewed in Walker et al., n.d.)</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t xml:space="preserve">Walker et al. (n.d.)</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variables–typically T, PPT, and PDSI–over the current year and, typically, previous year.</w:t>
      </w:r>
      <w:r>
        <w:t xml:space="preserve"> </w:t>
      </w:r>
      <w:r>
        <w:t xml:space="preserve">While appropriate for identifying the strongest signals for purposes such as historical climate reconstructions (e.g., DENDRO_REFS), this approach does not systematically examine the numerous potential multiple-month time windows to determine the single most influential window over which a given variable influences annual growth.</w:t>
      </w:r>
      <w:r>
        <w:t xml:space="preserve"> </w:t>
      </w:r>
      <w:r>
        <w:t xml:space="preserve">Needed is an objective approach to systematically evaluate the numerous potential climate variables and time windows.</w:t>
      </w:r>
      <w:r>
        <w:t xml:space="preserve"> </w:t>
      </w:r>
      <w:r>
        <w:t xml:space="preserve">Further, tree-ring studies generally do not consider additive or interactive effects of climate variables on annual growth</w:t>
      </w:r>
      <w:r>
        <w:t xml:space="preserve"> </w:t>
      </w:r>
      <w:r>
        <w:t xml:space="preserve">(DENDRO_REFS;</w:t>
      </w:r>
      <w:r>
        <w:t xml:space="preserve"> </w:t>
      </w:r>
      <w:r>
        <w:rPr>
          <w:i/>
        </w:rPr>
        <w:t xml:space="preserve">but see VS-Lite</w:t>
      </w:r>
      <w:r>
        <w:t xml:space="preserve"> </w:t>
      </w:r>
      <w:r>
        <w:t xml:space="preserve">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 Taylor et al., 2017; EXTRATROPICAL_AND_TREE_LEVEL_REFS; Banbury Morgan et al., n.d.)</w:t>
      </w:r>
      <w:r>
        <w:t xml:space="preserve">.</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the standard practice in dendrochronology has been to fit linear relationships (exception is VS-Lite, which fits plateau</w:t>
      </w:r>
      <w:r>
        <w:t xml:space="preserve"> </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et al.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K. J. 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McDowell, Allen, &amp; Anderson-Teixeira, 2015 ; McGregor et al., n.d.)</w:t>
      </w:r>
      <w:r>
        <w:t xml:space="preserve">.</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How do climate drivers 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K. J.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 1).</w:t>
      </w:r>
      <w:r>
        <w:t xml:space="preserve"> </w:t>
      </w:r>
      <w:r>
        <w:t xml:space="preserve">In using this variety of data sources, we ensured that our approach was able to handle a variety of challenges presented by varying methodologies and forest types.</w:t>
      </w:r>
    </w:p>
    <w:p>
      <w:pPr>
        <w:pStyle w:val="BodyText"/>
      </w:pPr>
      <w:r>
        <w:rPr>
          <w:b/>
        </w:rPr>
        <w:t xml:space="preserve">Table 1 | Sites included in this analysis</w:t>
      </w:r>
      <w:r>
        <w:t xml:space="preserve"> </w:t>
      </w:r>
      <w:r>
        <w:drawing>
          <wp:inline>
            <wp:extent cx="5334000" cy="2660349"/>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660349"/>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parts of records before or after (whichever was shorter) any year where</w:t>
      </w:r>
      <w:r>
        <w:t xml:space="preserve"> </w:t>
      </w:r>
      <m:oMath>
        <m:r>
          <m:t>Δ</m:t>
        </m:r>
        <m:r>
          <m:t>r</m:t>
        </m:r>
      </m:oMath>
      <w:r>
        <w:t xml:space="preserve"> </w:t>
      </w:r>
      <w:r>
        <w:t xml:space="preserve">exceeded the mean plus five times the standard deviation of</w:t>
      </w:r>
      <w:r>
        <w:t xml:space="preserve"> </w:t>
      </w:r>
      <m:oMath>
        <m:r>
          <m:t>Δ</m:t>
        </m:r>
        <m:r>
          <m:t>r</m:t>
        </m:r>
      </m:oMath>
      <w:r>
        <w:t xml:space="preserve"> </w:t>
      </w:r>
      <w:r>
        <w:t xml:space="preserve">for the entire core, along with a 5-year buffer in the opposite direction,</w:t>
      </w:r>
      <w:r>
        <w:t xml:space="preserve"> </w:t>
      </w:r>
      <w:r>
        <w:rPr>
          <w:i/>
        </w:rPr>
        <w:t xml:space="preserve">(this part needs rewording)</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w:t>
      </w:r>
      <w:r>
        <w:t xml:space="preserve"> </w:t>
      </w:r>
      <w:r>
        <w:t xml:space="preserve">; REF on climate sensitivity).</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(3) parts of records where reconstructed</w:t>
      </w:r>
      <w:r>
        <w:t xml:space="preserve"> </w:t>
      </w:r>
      <m:oMath>
        <m:r>
          <m:t>D</m:t>
        </m:r>
        <m:r>
          <m:t>B</m:t>
        </m:r>
        <m:r>
          <m:t>H</m:t>
        </m:r>
      </m:oMath>
      <w:r>
        <w:t xml:space="preserve"> </w:t>
      </w:r>
      <w:r>
        <w:t xml:space="preserve">(see below) was represented by &lt;3 conspecific trees.</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w:t>
      </w:r>
    </w:p>
    <w:p>
      <w:pPr>
        <w:pStyle w:val="CaptionedFigure"/>
      </w:pPr>
      <w:r>
        <w:drawing>
          <wp:inline>
            <wp:extent cx="5334000" cy="3499944"/>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4999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t xml:space="preserve">First, we identified the most important climate driver for each of two categories of variables, all at the monthly timescale: a temperature group (mean, min, and max temperature; PET) and a precipitation group (precipitation, number of days with precipitation).</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variable group.</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for individual species, as detailed in Appendix S2. (**</w:t>
      </w:r>
      <w:hyperlink r:id="rId28">
        <w:r>
          <w:rPr>
            <w:rStyle w:val="Hyperlink"/>
          </w:rPr>
          <w:t xml:space="preserve">ISSUE #35 in ForestGEO-climate-sensitivity</w:t>
        </w:r>
      </w:hyperlink>
      <w:r>
        <w:t xml:space="preserve">)</w:t>
      </w:r>
    </w:p>
    <w:p>
      <w:pPr>
        <w:pStyle w:val="BodyText"/>
      </w:pPr>
      <w:r>
        <w:t xml:space="preserve">We then used</w:t>
      </w:r>
      <w:r>
        <w:t xml:space="preserve"> </w:t>
      </w:r>
      <w:r>
        <w:rPr>
          <w:i/>
        </w:rPr>
        <w:t xml:space="preserve">climwin</w:t>
      </w:r>
      <w:r>
        <w:t xml:space="preserve"> </w:t>
      </w:r>
      <w:r>
        <w:t xml:space="preserve">to identify the best climate variables across the full set of cores from each site, noting that whereas our goal was to identify the most significant climate drivers at a site level, identification of the top climate drivers for individual species would be optimized by analyzing each species separately.</w:t>
      </w:r>
      <w:r>
        <w:t xml:space="preserve"> </w:t>
      </w: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9">
        <w:r>
          <w:rPr>
            <w:rStyle w:val="Hyperlink"/>
          </w:rPr>
          <w:t xml:space="preserve">ISSUE #51 in ForestGEO-climate-sensitivity</w:t>
        </w:r>
      </w:hyperlink>
      <w:r>
        <w:t xml:space="preserve">)</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0">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rPr>
          <w:i/>
        </w:rPr>
        <w:t xml:space="preserve">Combining drivers in GLS model</w:t>
      </w:r>
    </w:p>
    <w:p>
      <w:pPr>
        <w:pStyle w:val="BodyText"/>
      </w:pPr>
      <w:r>
        <w:t xml:space="preserve">Second, we combined candidate climate drivers and reconstructed</w:t>
      </w:r>
      <w:r>
        <w:t xml:space="preserve"> </w:t>
      </w:r>
      <m:oMath>
        <m:r>
          <m:t>D</m:t>
        </m:r>
        <m:r>
          <m:t>B</m:t>
        </m:r>
        <m:r>
          <m:t>H</m:t>
        </m:r>
      </m:oMath>
      <w:r>
        <w:t xml:space="preserve"> </w:t>
      </w:r>
      <w:r>
        <w:t xml:space="preserve">data in a GLS model (Fig.</w:t>
      </w:r>
      <w:r>
        <w:t xml:space="preserve"> </w:t>
      </w:r>
      <w:r>
        <w:rPr>
          <w:b/>
        </w:rPr>
        <w:t xml:space="preserve">1</w:t>
      </w:r>
      <w:r>
        <w:t xml:space="preserve">).</w:t>
      </w:r>
      <w:r>
        <w:t xml:space="preserve"> </w:t>
      </w:r>
      <w:r>
        <w:rPr>
          <w:i/>
        </w:rPr>
        <w:t xml:space="preserve">(need to describe GLS models better)</w:t>
      </w:r>
      <w:r>
        <w:t xml:space="preserve"> </w:t>
      </w:r>
      <w:r>
        <w:rPr>
          <w:i/>
        </w:rPr>
        <w:t xml:space="preserve">(DBH not included in models focused on climate sensitivity.)</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w:t>
      </w:r>
      <w:r>
        <w:t xml:space="preserve"> </w:t>
      </w:r>
      <w:r>
        <w:t xml:space="preserve">For each species (at each site) independently, we ran a GLS model including every combination of the candidate climate variables (as a 2-degree polynomial to allow quadratic curve), a spline of</w:t>
      </w:r>
      <w:r>
        <w:t xml:space="preserve"> </w:t>
      </w:r>
      <m:oMath>
        <m:r>
          <m:t>D</m:t>
        </m:r>
        <m:r>
          <m:t>B</m:t>
        </m:r>
        <m:r>
          <m:t>H</m:t>
        </m:r>
      </m:oMath>
      <w:r>
        <w:t xml:space="preserve"> </w:t>
      </w:r>
      <w:r>
        <w:t xml:space="preserve">(3 knots), a random intercept for each tree, and</w:t>
      </w:r>
      <w:r>
        <w:t xml:space="preserve"> </w:t>
      </w:r>
      <w:r>
        <w:rPr>
          <w:i/>
        </w:rPr>
        <w:t xml:space="preserve">a temporal autocorrelation matrix</w:t>
      </w:r>
      <w:r>
        <w:t xml:space="preserve">.</w:t>
      </w:r>
      <w:r>
        <w:t xml:space="preserve"> </w:t>
      </w:r>
      <w:r>
        <w:t xml:space="preserve">We considered the model with lowest AIC as the top model.</w:t>
      </w:r>
      <w:r>
        <w:t xml:space="preserve"> </w:t>
      </w:r>
      <w:r>
        <w:t xml:space="preserve">We then tested the individual significance of each term in the top model, including both first- and second-order terms of polynomial fits to climate variables. To do so, we compared the AIC of the top model (containing the term) to a model lacking the term, counting as significant any term with</w:t>
      </w:r>
      <w:r>
        <w:t xml:space="preserve"> </w:t>
      </w:r>
      <m:oMath>
        <m:r>
          <m:t>Δ</m:t>
        </m:r>
        <m:r>
          <m:t>A</m:t>
        </m:r>
        <m:r>
          <m:t>I</m:t>
        </m:r>
        <m:r>
          <m:t>C</m:t>
        </m:r>
        <m:r>
          <m:t>≤</m:t>
        </m:r>
      </m:oMath>
      <w:r>
        <w:t xml:space="preserve"> </w:t>
      </w:r>
      <w:r>
        <w:t xml:space="preserve">2.0.</w:t>
      </w:r>
    </w:p>
    <w:p>
      <w:pPr>
        <w:pStyle w:val="BodyText"/>
      </w:pPr>
      <w:r>
        <w:rPr>
          <w:i/>
        </w:rPr>
        <w:t xml:space="preserve">Additive and interactive effects of climate and DBH</w:t>
      </w:r>
    </w:p>
    <w:p>
      <w:pPr>
        <w:pStyle w:val="BodyText"/>
      </w:pP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w:t>
      </w:r>
      <w:r>
        <w:rPr>
          <w:b/>
        </w:rPr>
        <w:t xml:space="preserve">;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(temperature variable group at BCI, precipitation variable group at HF),</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 All of these variables had weak effects and mixed responses among species in the final models (Fig.</w:t>
      </w:r>
      <w:r>
        <w:t xml:space="preserve"> </w:t>
      </w:r>
      <w:r>
        <w:rPr>
          <w:b/>
        </w:rPr>
        <w:t xml:space="preserve">3</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BodyText"/>
      </w:pPr>
      <w:r>
        <w:rPr>
          <w:b/>
        </w:rPr>
        <w:t xml:space="preserve">Climwin 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(PRE) was identified as the top variable most frequently (n=</w:t>
      </w:r>
      <w:r>
        <w:rPr>
          <w:i/>
        </w:rPr>
        <w:t xml:space="preserve">6 of 9</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6667499"/>
            <wp:effectExtent b="0" l="0" r="0" t="0"/>
            <wp:docPr descr="Figure 3 | Species-level responses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to climwin-selected variables in precipitation and temperature variable groups.</w:t>
      </w:r>
      <w:r>
        <w:t xml:space="preserve"> </w:t>
      </w:r>
      <w:r>
        <w:t xml:space="preserve">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0">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nd when included in the top model. Lines indicate a the optimal 3-knot spline fit, and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plottend when included in the top model. Lines indicate a the optimal 3-knot spline fit, and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t xml:space="preserve">**The relative importance of</w:t>
      </w:r>
      <w:r>
        <w:t xml:space="preserve"> </w:t>
      </w:r>
      <m:oMath>
        <m:r>
          <m:t>D</m:t>
        </m:r>
        <m:r>
          <m:t>B</m:t>
        </m:r>
        <m:r>
          <m:t>H</m:t>
        </m:r>
      </m:oMath>
      <w:r>
        <w:t xml:space="preserve"> </w:t>
      </w:r>
      <w:r>
        <w:t xml:space="preserve">and climate shifted across growth metrics and climates (Figs. 5, S#_#).** (</w:t>
      </w:r>
      <w:r>
        <w:rPr>
          <w:i/>
        </w:rPr>
        <w:t xml:space="preserve">It will be easier to fill this in once we complete</w:t>
      </w:r>
      <w:r>
        <w:rPr>
          <w:i/>
        </w:rPr>
        <w:t xml:space="preserve"> </w:t>
      </w:r>
      <w:hyperlink r:id="rId36">
        <w:r>
          <w:rPr>
            <w:rStyle w:val="Hyperlink"/>
            <w:i/>
          </w:rPr>
          <w:t xml:space="preserve">ISSUE #66 in ForestGEO-climate-sensitivity</w:t>
        </w:r>
      </w:hyperlink>
      <w: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(e.g., at Little Tesuque; Fig.</w:t>
      </w:r>
      <w:r>
        <w:t xml:space="preserve"> </w:t>
      </w:r>
      <w:r>
        <w:rPr>
          <w:b/>
        </w:rPr>
        <w:t xml:space="preserve">5</w:t>
      </w:r>
      <w:r>
        <w:t xml:space="preserve">).</w:t>
      </w:r>
      <w:r>
        <w:t xml:space="preserve"> </w:t>
      </w:r>
      <w:r>
        <w:t xml:space="preserve">The relative importance of climate was modest at sites including SCBI, …, and stronger at sites including Little Tesuque, … (Figs</w:t>
      </w:r>
      <w:r>
        <w:t xml:space="preserve"> </w:t>
      </w:r>
      <w:r>
        <w:rPr>
          <w:b/>
        </w:rPr>
        <w:t xml:space="preserve">5</w:t>
      </w:r>
      <w:r>
        <w:t xml:space="preserve">,</w:t>
      </w:r>
      <w:r>
        <w:t xml:space="preserve"> </w:t>
      </w:r>
      <w:r>
        <w:rPr>
          <w:b/>
        </w:rPr>
        <w:t xml:space="preserve">S#</w:t>
      </w:r>
      <w:r>
        <w:t xml:space="preserve">-</w:t>
      </w:r>
      <w:r>
        <w:rPr>
          <w:b/>
        </w:rPr>
        <w:t xml:space="preserve">S#</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8" w:name="discussion"/>
      <w:r>
        <w:t xml:space="preserve">Discussion</w:t>
      </w:r>
      <w:bookmarkEnd w:id="38"/>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common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K. J. 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39">
        <w:r>
          <w:rPr>
            <w:rStyle w:val="Hyperlink"/>
            <w:i/>
          </w:rPr>
          <w:t xml:space="preserve">Clark et al. 2007?</w:t>
        </w:r>
      </w:hyperlink>
      <w:r>
        <w:rPr>
          <w:i/>
        </w:rPr>
        <w:t xml:space="preserve">;</w:t>
      </w:r>
      <w:r>
        <w:rPr>
          <w:i/>
        </w:rPr>
        <w:t xml:space="preserve"> </w:t>
      </w:r>
      <w:hyperlink r:id="rId40">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w:t>
      </w:r>
      <w:r>
        <w:t xml:space="preserve"> </w:t>
      </w:r>
      <w:r>
        <w:t xml:space="preserve">(Peters, Groenendijk, Vlam, &amp; Zuidema, 2015)</w:t>
      </w:r>
      <w:r>
        <w:t xml:space="preserve"> </w:t>
      </w:r>
      <w:r>
        <w:t xml:space="preserve">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 and also has a tendency to remove known long-term trends</w:t>
      </w:r>
      <w:r>
        <w:t xml:space="preserve"> </w:t>
      </w:r>
      <w:r>
        <w:t xml:space="preserve">(Peters et al., 2015)</w:t>
      </w:r>
      <w:r>
        <w:t xml:space="preserv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w:t>
      </w:r>
      <w:r>
        <w:rPr>
          <w:i/>
        </w:rPr>
        <w:t xml:space="preserve">an increase to a peak at intermediate sizes, followed by decrease</w:t>
      </w:r>
      <w:r>
        <w:t xml:space="preserve">–would imply that the basal area correction is most commonly biased towards finding positive trends for smaller trees and negative trends for larger trees.</w:t>
      </w:r>
      <w:r>
        <w:t xml:space="preserve"> </w:t>
      </w:r>
      <w:r>
        <w:t xml:space="preserve">Alternative methods, such as regional curve standardization [e.g., REF] and size class isolation</w:t>
      </w:r>
      <w:r>
        <w:t xml:space="preserve"> </w:t>
      </w:r>
      <w:r>
        <w:t xml:space="preserve">(e.g., Sleen et al., 2015)</w:t>
      </w:r>
      <w:r>
        <w:t xml:space="preserve">, are compatible with the size trends observed here and consistent with the recommendations of</w:t>
      </w:r>
      <w:r>
        <w:t xml:space="preserve"> </w:t>
      </w:r>
      <w:r>
        <w:t xml:space="preserve">Peters et al. (2015)</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drought tends to have a disproportionate impact on large trees</w:t>
      </w:r>
      <w:r>
        <w:t xml:space="preserve"> </w:t>
      </w:r>
      <w:r>
        <w:t xml:space="preserve">(Bennett et al., 2015; McGregor et al., n.d.)</w:t>
      </w:r>
      <w:r>
        <w:t xml:space="preserve"> </w:t>
      </w:r>
      <w:r>
        <w:t xml:space="preserve">and that</w:t>
      </w:r>
      <w:r>
        <w:t xml:space="preserve"> </w:t>
      </w:r>
      <w:r>
        <w:rPr>
          <w:i/>
        </w:rPr>
        <w:t xml:space="preserve">temperature sensitivity can vary across size classes (Rollinson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1" w:name="acknowledgements"/>
      <w:r>
        <w:t xml:space="preserve">Acknowledgements</w:t>
      </w:r>
      <w:bookmarkEnd w:id="41"/>
    </w:p>
    <w:p>
      <w:pPr>
        <w:pStyle w:val="FirstParagraph"/>
      </w:pPr>
      <w:r>
        <w:t xml:space="preserve">This analysis was funded by a Smithsonian Scholarly Studies grant to KAT, SM, HCM, and CP.</w:t>
      </w:r>
    </w:p>
    <w:p>
      <w:pPr>
        <w:pStyle w:val="Heading3"/>
      </w:pPr>
      <w:bookmarkStart w:id="42" w:name="authors-contributions"/>
      <w:r>
        <w:t xml:space="preserve">Authors’ contributions</w:t>
      </w:r>
      <w:bookmarkEnd w:id="42"/>
    </w:p>
    <w:p>
      <w:pPr>
        <w:pStyle w:val="Heading3"/>
      </w:pPr>
      <w:bookmarkStart w:id="43" w:name="references"/>
      <w:r>
        <w:t xml:space="preserve">References</w:t>
      </w:r>
      <w:bookmarkEnd w:id="43"/>
    </w:p>
    <w:bookmarkStart w:id="118" w:name="refs"/>
    <w:bookmarkStart w:id="45"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4">
        <w:r>
          <w:rPr>
            <w:rStyle w:val="Hyperlink"/>
          </w:rPr>
          <w:t xml:space="preserve">10.1007/s00442-017-3879-3</w:t>
        </w:r>
      </w:hyperlink>
    </w:p>
    <w:bookmarkEnd w:id="45"/>
    <w:bookmarkStart w:id="47"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6">
        <w:r>
          <w:rPr>
            <w:rStyle w:val="Hyperlink"/>
          </w:rPr>
          <w:t xml:space="preserve">10.5281/ZENODO.3958216</w:t>
        </w:r>
      </w:hyperlink>
    </w:p>
    <w:bookmarkEnd w:id="47"/>
    <w:bookmarkStart w:id="49"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8">
        <w:r>
          <w:rPr>
            <w:rStyle w:val="Hyperlink"/>
          </w:rPr>
          <w:t xml:space="preserve">10.1111/gcb.12712</w:t>
        </w:r>
      </w:hyperlink>
    </w:p>
    <w:bookmarkEnd w:id="49"/>
    <w:bookmarkStart w:id="51"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50">
        <w:r>
          <w:rPr>
            <w:rStyle w:val="Hyperlink"/>
          </w:rPr>
          <w:t xml:space="preserve">10.1111/1365-2435.12470</w:t>
        </w:r>
      </w:hyperlink>
    </w:p>
    <w:bookmarkEnd w:id="51"/>
    <w:bookmarkStart w:id="53"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2">
        <w:r>
          <w:rPr>
            <w:rStyle w:val="Hyperlink"/>
          </w:rPr>
          <w:t xml:space="preserve">10.1017/S0266467406003312</w:t>
        </w:r>
      </w:hyperlink>
    </w:p>
    <w:bookmarkEnd w:id="53"/>
    <w:bookmarkStart w:id="54"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4"/>
    <w:bookmarkStart w:id="56"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5">
        <w:r>
          <w:rPr>
            <w:rStyle w:val="Hyperlink"/>
          </w:rPr>
          <w:t xml:space="preserve">10.1038/nplants.2015.139</w:t>
        </w:r>
      </w:hyperlink>
    </w:p>
    <w:bookmarkEnd w:id="56"/>
    <w:bookmarkStart w:id="58"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7">
        <w:r>
          <w:rPr>
            <w:rStyle w:val="Hyperlink"/>
          </w:rPr>
          <w:t xml:space="preserve">10.1890/03-9000</w:t>
        </w:r>
      </w:hyperlink>
    </w:p>
    <w:bookmarkEnd w:id="58"/>
    <w:bookmarkStart w:id="60"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9">
        <w:r>
          <w:rPr>
            <w:rStyle w:val="Hyperlink"/>
          </w:rPr>
          <w:t xml:space="preserve">10.1111/gcb.13535</w:t>
        </w:r>
      </w:hyperlink>
    </w:p>
    <w:bookmarkEnd w:id="60"/>
    <w:bookmarkStart w:id="62"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1">
        <w:r>
          <w:rPr>
            <w:rStyle w:val="Hyperlink"/>
          </w:rPr>
          <w:t xml:space="preserve">10.1111/ele.12650</w:t>
        </w:r>
      </w:hyperlink>
    </w:p>
    <w:bookmarkEnd w:id="62"/>
    <w:bookmarkStart w:id="64"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3">
        <w:r>
          <w:rPr>
            <w:rStyle w:val="Hyperlink"/>
          </w:rPr>
          <w:t xml:space="preserve">10.1111/gcb.13208</w:t>
        </w:r>
      </w:hyperlink>
    </w:p>
    <w:bookmarkEnd w:id="64"/>
    <w:bookmarkStart w:id="66"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5">
        <w:r>
          <w:rPr>
            <w:rStyle w:val="Hyperlink"/>
          </w:rPr>
          <w:t xml:space="preserve">10.1175/JCLI3800.1</w:t>
        </w:r>
      </w:hyperlink>
    </w:p>
    <w:bookmarkEnd w:id="66"/>
    <w:bookmarkStart w:id="68"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7">
        <w:r>
          <w:rPr>
            <w:rStyle w:val="Hyperlink"/>
          </w:rPr>
          <w:t xml:space="preserve">10.2307/1937545</w:t>
        </w:r>
      </w:hyperlink>
    </w:p>
    <w:bookmarkEnd w:id="68"/>
    <w:bookmarkStart w:id="70"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9">
        <w:r>
          <w:rPr>
            <w:rStyle w:val="Hyperlink"/>
          </w:rPr>
          <w:t xml:space="preserve">10.1002/joc.3711</w:t>
        </w:r>
      </w:hyperlink>
    </w:p>
    <w:bookmarkEnd w:id="70"/>
    <w:bookmarkStart w:id="72"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1">
        <w:r>
          <w:rPr>
            <w:rStyle w:val="Hyperlink"/>
          </w:rPr>
          <w:t xml:space="preserve">10.1038/s41597-020-0453-3</w:t>
        </w:r>
      </w:hyperlink>
    </w:p>
    <w:bookmarkEnd w:id="72"/>
    <w:bookmarkStart w:id="74"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3">
        <w:r>
          <w:rPr>
            <w:rStyle w:val="Hyperlink"/>
          </w:rPr>
          <w:t xml:space="preserve">10.1111/nph.15906</w:t>
        </w:r>
      </w:hyperlink>
    </w:p>
    <w:bookmarkEnd w:id="74"/>
    <w:bookmarkStart w:id="76"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5">
        <w:r>
          <w:rPr>
            <w:rStyle w:val="Hyperlink"/>
          </w:rPr>
          <w:t xml:space="preserve">10.1038/s41467-018-07800-y</w:t>
        </w:r>
      </w:hyperlink>
    </w:p>
    <w:bookmarkEnd w:id="76"/>
    <w:bookmarkStart w:id="78"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7">
        <w:r>
          <w:rPr>
            <w:rStyle w:val="Hyperlink"/>
          </w:rPr>
          <w:t xml:space="preserve">10.1111/nph.15668</w:t>
        </w:r>
      </w:hyperlink>
    </w:p>
    <w:bookmarkEnd w:id="78"/>
    <w:bookmarkStart w:id="80"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9">
        <w:r>
          <w:rPr>
            <w:rStyle w:val="Hyperlink"/>
          </w:rPr>
          <w:t xml:space="preserve">10.1111/gcb.14273</w:t>
        </w:r>
      </w:hyperlink>
    </w:p>
    <w:bookmarkEnd w:id="80"/>
    <w:bookmarkStart w:id="82"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1">
        <w:r>
          <w:rPr>
            <w:rStyle w:val="Hyperlink"/>
          </w:rPr>
          <w:t xml:space="preserve">10.1007/s10584-016-1720-3</w:t>
        </w:r>
      </w:hyperlink>
    </w:p>
    <w:bookmarkEnd w:id="82"/>
    <w:bookmarkStart w:id="84"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83">
        <w:r>
          <w:rPr>
            <w:rStyle w:val="Hyperlink"/>
          </w:rPr>
          <w:t xml:space="preserve">10.1126/science.aaz9463</w:t>
        </w:r>
      </w:hyperlink>
    </w:p>
    <w:bookmarkEnd w:id="84"/>
    <w:bookmarkStart w:id="85"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5"/>
    <w:bookmarkStart w:id="87"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6">
        <w:r>
          <w:rPr>
            <w:rStyle w:val="Hyperlink"/>
          </w:rPr>
          <w:t xml:space="preserve">http://www.blackwell-synergy.com/doi/abs/10.1111/j.1461-0248.2006.00904.x</w:t>
        </w:r>
      </w:hyperlink>
    </w:p>
    <w:bookmarkEnd w:id="87"/>
    <w:bookmarkStart w:id="89" w:name="ref-paton_barro_2019"/>
    <w:p>
      <w:pPr>
        <w:pStyle w:val="Bibliography"/>
      </w:pPr>
      <w:r>
        <w:t xml:space="preserve">Paton, S. (2019). Barro Colorado Island, Clearing_Precipitation, manual. doi:</w:t>
      </w:r>
      <w:hyperlink r:id="rId88">
        <w:r>
          <w:rPr>
            <w:rStyle w:val="Hyperlink"/>
          </w:rPr>
          <w:t xml:space="preserve">10.25573/data.10042502.v3</w:t>
        </w:r>
      </w:hyperlink>
    </w:p>
    <w:bookmarkEnd w:id="89"/>
    <w:bookmarkStart w:id="91"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90">
        <w:r>
          <w:rPr>
            <w:rStyle w:val="Hyperlink"/>
          </w:rPr>
          <w:t xml:space="preserve">10.1111/gcb.12826</w:t>
        </w:r>
      </w:hyperlink>
    </w:p>
    <w:bookmarkEnd w:id="91"/>
    <w:bookmarkStart w:id="93"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2">
        <w:r>
          <w:rPr>
            <w:rStyle w:val="Hyperlink"/>
          </w:rPr>
          <w:t xml:space="preserve">10.1111/2041-210X.12590</w:t>
        </w:r>
      </w:hyperlink>
    </w:p>
    <w:bookmarkEnd w:id="93"/>
    <w:bookmarkStart w:id="95"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94">
        <w:r>
          <w:rPr>
            <w:rStyle w:val="Hyperlink"/>
          </w:rPr>
          <w:t xml:space="preserve">10.1016/j.dendro.2020.125678</w:t>
        </w:r>
      </w:hyperlink>
    </w:p>
    <w:bookmarkEnd w:id="95"/>
    <w:bookmarkStart w:id="97" w:name="ref-van_der_sleen_no_2015"/>
    <w:p>
      <w:pPr>
        <w:pStyle w:val="Bibliography"/>
      </w:pPr>
      <w:r>
        <w:t xml:space="preserve">Sleen, P. van der, Groenendijk, P., Vlam, M., Anten, N. P. R., Boom, A., Bongers, F., … Zuidema, P. A. (2015). No growth stimulation of tropical trees by 150 years of CO2 fertilization but water-use efficiency increased.</w:t>
      </w:r>
      <w:r>
        <w:t xml:space="preserve"> </w:t>
      </w:r>
      <w:r>
        <w:rPr>
          <w:i/>
        </w:rPr>
        <w:t xml:space="preserve">Nature Geoscience</w:t>
      </w:r>
      <w:r>
        <w:t xml:space="preserve">,</w:t>
      </w:r>
      <w:r>
        <w:t xml:space="preserve"> </w:t>
      </w:r>
      <w:r>
        <w:rPr>
          <w:i/>
        </w:rPr>
        <w:t xml:space="preserve">8</w:t>
      </w:r>
      <w:r>
        <w:t xml:space="preserve">(1), 24–28. doi:</w:t>
      </w:r>
      <w:hyperlink r:id="rId96">
        <w:r>
          <w:rPr>
            <w:rStyle w:val="Hyperlink"/>
          </w:rPr>
          <w:t xml:space="preserve">10.1038/ngeo2313</w:t>
        </w:r>
      </w:hyperlink>
    </w:p>
    <w:bookmarkEnd w:id="97"/>
    <w:bookmarkStart w:id="99"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8">
        <w:r>
          <w:rPr>
            <w:rStyle w:val="Hyperlink"/>
          </w:rPr>
          <w:t xml:space="preserve">10.1002/2016JG003528</w:t>
        </w:r>
      </w:hyperlink>
    </w:p>
    <w:bookmarkEnd w:id="99"/>
    <w:bookmarkStart w:id="101"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00">
        <w:r>
          <w:rPr>
            <w:rStyle w:val="Hyperlink"/>
          </w:rPr>
          <w:t xml:space="preserve">10.1038/nature12914</w:t>
        </w:r>
      </w:hyperlink>
    </w:p>
    <w:bookmarkEnd w:id="101"/>
    <w:bookmarkStart w:id="103"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2">
        <w:r>
          <w:rPr>
            <w:rStyle w:val="Hyperlink"/>
          </w:rPr>
          <w:t xml:space="preserve">10.1126/science.aaw7578</w:t>
        </w:r>
      </w:hyperlink>
    </w:p>
    <w:bookmarkEnd w:id="103"/>
    <w:bookmarkStart w:id="105"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 doi:</w:t>
      </w:r>
      <w:hyperlink r:id="rId104">
        <w:r>
          <w:rPr>
            <w:rStyle w:val="Hyperlink"/>
          </w:rPr>
          <w:t xml:space="preserve">10.1111/ele.12765</w:t>
        </w:r>
      </w:hyperlink>
    </w:p>
    <w:bookmarkEnd w:id="105"/>
    <w:bookmarkStart w:id="107"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6">
        <w:r>
          <w:rPr>
            <w:rStyle w:val="Hyperlink"/>
          </w:rPr>
          <w:t xml:space="preserve">10.1016/j.agrformet.2017.08.007</w:t>
        </w:r>
      </w:hyperlink>
    </w:p>
    <w:bookmarkEnd w:id="107"/>
    <w:bookmarkStart w:id="109"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8">
        <w:r>
          <w:rPr>
            <w:rStyle w:val="Hyperlink"/>
          </w:rPr>
          <w:t xml:space="preserve">10.1111/gcb.14120</w:t>
        </w:r>
      </w:hyperlink>
    </w:p>
    <w:bookmarkEnd w:id="109"/>
    <w:bookmarkStart w:id="111"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10">
        <w:r>
          <w:rPr>
            <w:rStyle w:val="Hyperlink"/>
          </w:rPr>
          <w:t xml:space="preserve">10.5194/cp-9-1481-2013</w:t>
        </w:r>
      </w:hyperlink>
    </w:p>
    <w:bookmarkEnd w:id="111"/>
    <w:bookmarkStart w:id="113"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2">
        <w:r>
          <w:rPr>
            <w:rStyle w:val="Hyperlink"/>
          </w:rPr>
          <w:t xml:space="preserve">10.1016/j.agrformet.2017.07.015</w:t>
        </w:r>
      </w:hyperlink>
    </w:p>
    <w:bookmarkEnd w:id="113"/>
    <w:bookmarkStart w:id="115"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4">
        <w:r>
          <w:rPr>
            <w:rStyle w:val="Hyperlink"/>
          </w:rPr>
          <w:t xml:space="preserve">10.1007/s00442-013-2846-x</w:t>
        </w:r>
      </w:hyperlink>
    </w:p>
    <w:bookmarkEnd w:id="115"/>
    <w:bookmarkStart w:id="117"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6">
        <w:r>
          <w:rPr>
            <w:rStyle w:val="Hyperlink"/>
          </w:rPr>
          <w:t xml:space="preserve">10.1111/nph.16866</w:t>
        </w:r>
      </w:hyperlink>
    </w:p>
    <w:bookmarkEnd w:id="117"/>
    <w:bookmarkEnd w:id="1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hyperlink" Id="rId86" Target="http://www.blackwell-synergy.com/doi/abs/10.1111/j.1461-0248.2006.00904.x" TargetMode="External" /><Relationship Type="http://schemas.openxmlformats.org/officeDocument/2006/relationships/hyperlink" Id="rId98" Target="https://doi.org/10.1002/2016JG003528" TargetMode="External" /><Relationship Type="http://schemas.openxmlformats.org/officeDocument/2006/relationships/hyperlink" Id="rId69" Target="https://doi.org/10.1002/joc.3711" TargetMode="External" /><Relationship Type="http://schemas.openxmlformats.org/officeDocument/2006/relationships/hyperlink" Id="rId114" Target="https://doi.org/10.1007/s00442-013-2846-x" TargetMode="External" /><Relationship Type="http://schemas.openxmlformats.org/officeDocument/2006/relationships/hyperlink" Id="rId44" Target="https://doi.org/10.1007/s00442-017-3879-3" TargetMode="External" /><Relationship Type="http://schemas.openxmlformats.org/officeDocument/2006/relationships/hyperlink" Id="rId81" Target="https://doi.org/10.1007/s10584-016-1720-3" TargetMode="External" /><Relationship Type="http://schemas.openxmlformats.org/officeDocument/2006/relationships/hyperlink" Id="rId112" Target="https://doi.org/10.1016/j.agrformet.2017.07.015" TargetMode="External" /><Relationship Type="http://schemas.openxmlformats.org/officeDocument/2006/relationships/hyperlink" Id="rId106" Target="https://doi.org/10.1016/j.agrformet.2017.08.007" TargetMode="External" /><Relationship Type="http://schemas.openxmlformats.org/officeDocument/2006/relationships/hyperlink" Id="rId94" Target="https://doi.org/10.1016/j.dendro.2020.125678" TargetMode="External" /><Relationship Type="http://schemas.openxmlformats.org/officeDocument/2006/relationships/hyperlink" Id="rId52" Target="https://doi.org/10.1017/S0266467406003312" TargetMode="External" /><Relationship Type="http://schemas.openxmlformats.org/officeDocument/2006/relationships/hyperlink" Id="rId100" Target="https://doi.org/10.1038/nature12914" TargetMode="External" /><Relationship Type="http://schemas.openxmlformats.org/officeDocument/2006/relationships/hyperlink" Id="rId96" Target="https://doi.org/10.1038/ngeo2313" TargetMode="External" /><Relationship Type="http://schemas.openxmlformats.org/officeDocument/2006/relationships/hyperlink" Id="rId55" Target="https://doi.org/10.1038/nplants.2015.139" TargetMode="External" /><Relationship Type="http://schemas.openxmlformats.org/officeDocument/2006/relationships/hyperlink" Id="rId75" Target="https://doi.org/10.1038/s41467-018-07800-y" TargetMode="External" /><Relationship Type="http://schemas.openxmlformats.org/officeDocument/2006/relationships/hyperlink" Id="rId71" Target="https://doi.org/10.1038/s41597-020-0453-3" TargetMode="External" /><Relationship Type="http://schemas.openxmlformats.org/officeDocument/2006/relationships/hyperlink" Id="rId50" Target="https://doi.org/10.1111/1365-2435.12470" TargetMode="External" /><Relationship Type="http://schemas.openxmlformats.org/officeDocument/2006/relationships/hyperlink" Id="rId92" Target="https://doi.org/10.1111/2041-210X.12590" TargetMode="External" /><Relationship Type="http://schemas.openxmlformats.org/officeDocument/2006/relationships/hyperlink" Id="rId61" Target="https://doi.org/10.1111/ele.12650" TargetMode="External" /><Relationship Type="http://schemas.openxmlformats.org/officeDocument/2006/relationships/hyperlink" Id="rId104" Target="https://doi.org/10.1111/ele.12765" TargetMode="External" /><Relationship Type="http://schemas.openxmlformats.org/officeDocument/2006/relationships/hyperlink" Id="rId48" Target="https://doi.org/10.1111/gcb.12712" TargetMode="External" /><Relationship Type="http://schemas.openxmlformats.org/officeDocument/2006/relationships/hyperlink" Id="rId90" Target="https://doi.org/10.1111/gcb.12826" TargetMode="External" /><Relationship Type="http://schemas.openxmlformats.org/officeDocument/2006/relationships/hyperlink" Id="rId63" Target="https://doi.org/10.1111/gcb.13208" TargetMode="External" /><Relationship Type="http://schemas.openxmlformats.org/officeDocument/2006/relationships/hyperlink" Id="rId59" Target="https://doi.org/10.1111/gcb.13535" TargetMode="External" /><Relationship Type="http://schemas.openxmlformats.org/officeDocument/2006/relationships/hyperlink" Id="rId108" Target="https://doi.org/10.1111/gcb.14120" TargetMode="External" /><Relationship Type="http://schemas.openxmlformats.org/officeDocument/2006/relationships/hyperlink" Id="rId79" Target="https://doi.org/10.1111/gcb.14273" TargetMode="External" /><Relationship Type="http://schemas.openxmlformats.org/officeDocument/2006/relationships/hyperlink" Id="rId77" Target="https://doi.org/10.1111/nph.15668" TargetMode="External" /><Relationship Type="http://schemas.openxmlformats.org/officeDocument/2006/relationships/hyperlink" Id="rId73" Target="https://doi.org/10.1111/nph.15906" TargetMode="External" /><Relationship Type="http://schemas.openxmlformats.org/officeDocument/2006/relationships/hyperlink" Id="rId116" Target="https://doi.org/10.1111/nph.16866" TargetMode="External" /><Relationship Type="http://schemas.openxmlformats.org/officeDocument/2006/relationships/hyperlink" Id="rId102" Target="https://doi.org/10.1126/science.aaw7578" TargetMode="External" /><Relationship Type="http://schemas.openxmlformats.org/officeDocument/2006/relationships/hyperlink" Id="rId83" Target="https://doi.org/10.1126/science.aaz9463" TargetMode="External" /><Relationship Type="http://schemas.openxmlformats.org/officeDocument/2006/relationships/hyperlink" Id="rId65" Target="https://doi.org/10.1175/JCLI3800.1" TargetMode="External" /><Relationship Type="http://schemas.openxmlformats.org/officeDocument/2006/relationships/hyperlink" Id="rId57" Target="https://doi.org/10.1890/03-9000" TargetMode="External" /><Relationship Type="http://schemas.openxmlformats.org/officeDocument/2006/relationships/hyperlink" Id="rId67" Target="https://doi.org/10.2307/1937545" TargetMode="External" /><Relationship Type="http://schemas.openxmlformats.org/officeDocument/2006/relationships/hyperlink" Id="rId88" Target="https://doi.org/10.25573/data.10042502.v3" TargetMode="External" /><Relationship Type="http://schemas.openxmlformats.org/officeDocument/2006/relationships/hyperlink" Id="rId110" Target="https://doi.org/10.5194/cp-9-1481-2013" TargetMode="External" /><Relationship Type="http://schemas.openxmlformats.org/officeDocument/2006/relationships/hyperlink" Id="rId46" Target="https://doi.org/10.5281/ZENODO.3958216" TargetMode="External" /><Relationship Type="http://schemas.openxmlformats.org/officeDocument/2006/relationships/hyperlink" Id="rId39"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6" Target="https://github.com/EcoClimLab/ForestGEO-climate-sensitivity/issues/66" TargetMode="External" /><Relationship Type="http://schemas.openxmlformats.org/officeDocument/2006/relationships/hyperlink" Id="rId40"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6" Target="http://www.blackwell-synergy.com/doi/abs/10.1111/j.1461-0248.2006.00904.x" TargetMode="External" /><Relationship Type="http://schemas.openxmlformats.org/officeDocument/2006/relationships/hyperlink" Id="rId98" Target="https://doi.org/10.1002/2016JG003528" TargetMode="External" /><Relationship Type="http://schemas.openxmlformats.org/officeDocument/2006/relationships/hyperlink" Id="rId69" Target="https://doi.org/10.1002/joc.3711" TargetMode="External" /><Relationship Type="http://schemas.openxmlformats.org/officeDocument/2006/relationships/hyperlink" Id="rId114" Target="https://doi.org/10.1007/s00442-013-2846-x" TargetMode="External" /><Relationship Type="http://schemas.openxmlformats.org/officeDocument/2006/relationships/hyperlink" Id="rId44" Target="https://doi.org/10.1007/s00442-017-3879-3" TargetMode="External" /><Relationship Type="http://schemas.openxmlformats.org/officeDocument/2006/relationships/hyperlink" Id="rId81" Target="https://doi.org/10.1007/s10584-016-1720-3" TargetMode="External" /><Relationship Type="http://schemas.openxmlformats.org/officeDocument/2006/relationships/hyperlink" Id="rId112" Target="https://doi.org/10.1016/j.agrformet.2017.07.015" TargetMode="External" /><Relationship Type="http://schemas.openxmlformats.org/officeDocument/2006/relationships/hyperlink" Id="rId106" Target="https://doi.org/10.1016/j.agrformet.2017.08.007" TargetMode="External" /><Relationship Type="http://schemas.openxmlformats.org/officeDocument/2006/relationships/hyperlink" Id="rId94" Target="https://doi.org/10.1016/j.dendro.2020.125678" TargetMode="External" /><Relationship Type="http://schemas.openxmlformats.org/officeDocument/2006/relationships/hyperlink" Id="rId52" Target="https://doi.org/10.1017/S0266467406003312" TargetMode="External" /><Relationship Type="http://schemas.openxmlformats.org/officeDocument/2006/relationships/hyperlink" Id="rId100" Target="https://doi.org/10.1038/nature12914" TargetMode="External" /><Relationship Type="http://schemas.openxmlformats.org/officeDocument/2006/relationships/hyperlink" Id="rId96" Target="https://doi.org/10.1038/ngeo2313" TargetMode="External" /><Relationship Type="http://schemas.openxmlformats.org/officeDocument/2006/relationships/hyperlink" Id="rId55" Target="https://doi.org/10.1038/nplants.2015.139" TargetMode="External" /><Relationship Type="http://schemas.openxmlformats.org/officeDocument/2006/relationships/hyperlink" Id="rId75" Target="https://doi.org/10.1038/s41467-018-07800-y" TargetMode="External" /><Relationship Type="http://schemas.openxmlformats.org/officeDocument/2006/relationships/hyperlink" Id="rId71" Target="https://doi.org/10.1038/s41597-020-0453-3" TargetMode="External" /><Relationship Type="http://schemas.openxmlformats.org/officeDocument/2006/relationships/hyperlink" Id="rId50" Target="https://doi.org/10.1111/1365-2435.12470" TargetMode="External" /><Relationship Type="http://schemas.openxmlformats.org/officeDocument/2006/relationships/hyperlink" Id="rId92" Target="https://doi.org/10.1111/2041-210X.12590" TargetMode="External" /><Relationship Type="http://schemas.openxmlformats.org/officeDocument/2006/relationships/hyperlink" Id="rId61" Target="https://doi.org/10.1111/ele.12650" TargetMode="External" /><Relationship Type="http://schemas.openxmlformats.org/officeDocument/2006/relationships/hyperlink" Id="rId104" Target="https://doi.org/10.1111/ele.12765" TargetMode="External" /><Relationship Type="http://schemas.openxmlformats.org/officeDocument/2006/relationships/hyperlink" Id="rId48" Target="https://doi.org/10.1111/gcb.12712" TargetMode="External" /><Relationship Type="http://schemas.openxmlformats.org/officeDocument/2006/relationships/hyperlink" Id="rId90" Target="https://doi.org/10.1111/gcb.12826" TargetMode="External" /><Relationship Type="http://schemas.openxmlformats.org/officeDocument/2006/relationships/hyperlink" Id="rId63" Target="https://doi.org/10.1111/gcb.13208" TargetMode="External" /><Relationship Type="http://schemas.openxmlformats.org/officeDocument/2006/relationships/hyperlink" Id="rId59" Target="https://doi.org/10.1111/gcb.13535" TargetMode="External" /><Relationship Type="http://schemas.openxmlformats.org/officeDocument/2006/relationships/hyperlink" Id="rId108" Target="https://doi.org/10.1111/gcb.14120" TargetMode="External" /><Relationship Type="http://schemas.openxmlformats.org/officeDocument/2006/relationships/hyperlink" Id="rId79" Target="https://doi.org/10.1111/gcb.14273" TargetMode="External" /><Relationship Type="http://schemas.openxmlformats.org/officeDocument/2006/relationships/hyperlink" Id="rId77" Target="https://doi.org/10.1111/nph.15668" TargetMode="External" /><Relationship Type="http://schemas.openxmlformats.org/officeDocument/2006/relationships/hyperlink" Id="rId73" Target="https://doi.org/10.1111/nph.15906" TargetMode="External" /><Relationship Type="http://schemas.openxmlformats.org/officeDocument/2006/relationships/hyperlink" Id="rId116" Target="https://doi.org/10.1111/nph.16866" TargetMode="External" /><Relationship Type="http://schemas.openxmlformats.org/officeDocument/2006/relationships/hyperlink" Id="rId102" Target="https://doi.org/10.1126/science.aaw7578" TargetMode="External" /><Relationship Type="http://schemas.openxmlformats.org/officeDocument/2006/relationships/hyperlink" Id="rId83" Target="https://doi.org/10.1126/science.aaz9463" TargetMode="External" /><Relationship Type="http://schemas.openxmlformats.org/officeDocument/2006/relationships/hyperlink" Id="rId65" Target="https://doi.org/10.1175/JCLI3800.1" TargetMode="External" /><Relationship Type="http://schemas.openxmlformats.org/officeDocument/2006/relationships/hyperlink" Id="rId57" Target="https://doi.org/10.1890/03-9000" TargetMode="External" /><Relationship Type="http://schemas.openxmlformats.org/officeDocument/2006/relationships/hyperlink" Id="rId67" Target="https://doi.org/10.2307/1937545" TargetMode="External" /><Relationship Type="http://schemas.openxmlformats.org/officeDocument/2006/relationships/hyperlink" Id="rId88" Target="https://doi.org/10.25573/data.10042502.v3" TargetMode="External" /><Relationship Type="http://schemas.openxmlformats.org/officeDocument/2006/relationships/hyperlink" Id="rId110" Target="https://doi.org/10.5194/cp-9-1481-2013" TargetMode="External" /><Relationship Type="http://schemas.openxmlformats.org/officeDocument/2006/relationships/hyperlink" Id="rId46" Target="https://doi.org/10.5281/ZENODO.3958216" TargetMode="External" /><Relationship Type="http://schemas.openxmlformats.org/officeDocument/2006/relationships/hyperlink" Id="rId39"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6" Target="https://github.com/EcoClimLab/ForestGEO-climate-sensitivity/issues/66" TargetMode="External" /><Relationship Type="http://schemas.openxmlformats.org/officeDocument/2006/relationships/hyperlink" Id="rId40"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2020-08-26T15:09:28Z</dcterms:created>
  <dcterms:modified xsi:type="dcterms:W3CDTF">2020-08-26T15:09:28Z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