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467473"/>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467473"/>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 random intercept for each tree, and</w:t>
      </w:r>
      <w:r>
        <w:t xml:space="preserve"> </w:t>
      </w:r>
      <w:r>
        <w:rPr>
          <w:i/>
        </w:rPr>
        <w:t xml:space="preserve">a temporal autocorrelation matrix</w:t>
      </w:r>
      <w:r>
        <w:t xml:space="preserv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Additive and interactive effects of climate and DBH</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HIS IS STILL CONFUSING– add months prior in (a), maybe put box around months identified by climwin)"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(THIS IS STILL CONFUSING– add months prior in (a), maybe put box around months identified by climwin)</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 (),</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 S4). All of these variables had weak effects and mixed responses among species in the final models (Fig. 3).</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Tesuque).</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Little Tesuque), with the most common pattern (#%) being a decelerating increase.</w:t>
      </w:r>
    </w:p>
    <w:p>
      <w:pPr>
        <w:pStyle w:val="BodyText"/>
      </w:pPr>
      <w:r>
        <w:t xml:space="preserve">Temperature responses were included in the best model at all sites</w:t>
      </w:r>
      <w:r>
        <w:t xml:space="preserve"> </w:t>
      </w:r>
      <w:r>
        <w:rPr>
          <w:i/>
        </w:rPr>
        <w:t xml:space="preserve">(but BCI?</w:t>
      </w:r>
      <w:r>
        <w:rPr>
          <w:i/>
        </w:rPr>
        <w:t xml:space="preserve"> </w:t>
      </w:r>
      <w:hyperlink r:id="rId35">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 of the time, and significantly better than first-order linear model #% of the time.</w:t>
      </w:r>
      <w:r>
        <w:t xml:space="preserve"> </w:t>
      </w:r>
      <w:r>
        <w:t xml:space="preserve">The non-linearity was rarely pronounced…</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6"/>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 5).</w:t>
      </w:r>
    </w:p>
    <w:p>
      <w:pPr>
        <w:pStyle w:val="BodyText"/>
      </w:pPr>
      <w:r>
        <w:t xml:space="preserve">**The relative importance of</w:t>
      </w:r>
      <w:r>
        <w:t xml:space="preserve"> </w:t>
      </w:r>
      <m:oMath>
        <m:r>
          <m:t>D</m:t>
        </m:r>
        <m:r>
          <m:t>B</m:t>
        </m:r>
        <m:r>
          <m:t>H</m:t>
        </m:r>
      </m:oMath>
      <w:r>
        <w:t xml:space="preserve"> </w:t>
      </w:r>
      <w:r>
        <w:t xml:space="preserve">and climate shifted across growth metrics and climates (Figs. 5, S#_#).** (</w:t>
      </w:r>
      <w:r>
        <w:rPr>
          <w:i/>
        </w:rPr>
        <w:t xml:space="preserve">It will be easier to fill this in once we complete</w:t>
      </w:r>
      <w:r>
        <w:rPr>
          <w:i/>
        </w:rPr>
        <w:t xml:space="preserve"> </w:t>
      </w:r>
      <w:hyperlink r:id="rId37">
        <w:r>
          <w:rPr>
            <w:rStyle w:val="Hyperlink"/>
            <w:i/>
          </w:rPr>
          <w:t xml:space="preserve">ISSUE #66 in ForestGEO-climate-sensitivity</w:t>
        </w:r>
      </w:hyperlink>
      <w: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 5).</w:t>
      </w:r>
      <w:r>
        <w:t xml:space="preserve"> </w:t>
      </w:r>
      <w:r>
        <w:t xml:space="preserve">However, there were exceptions (e.g., at Little Tesuque; Fig. 5).</w:t>
      </w:r>
      <w:r>
        <w:t xml:space="preserve"> </w:t>
      </w:r>
      <w:r>
        <w:t xml:space="preserve">The relative importance of climate was modest at sites including SCBI, …, and stronger at sites including Little Tesuque, … (Figs 5, S#-S#).</w:t>
      </w:r>
    </w:p>
    <w:p>
      <w:pPr>
        <w:pStyle w:val="CaptionedFigure"/>
      </w:pPr>
      <w:r>
        <w:drawing>
          <wp:inline>
            <wp:extent cx="5334000" cy="2989454"/>
            <wp:effectExtent b="0" l="0" r="0" t="0"/>
            <wp:docPr descr="Figure 5 | Comparison of full top models for each growth metric (\Delta r, BAI, \Delta AGB) at sites where climatic controls are modest (SCBI, left panel) and strong (Little Tesuque, right panel).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full_model_comparison.png" id="0" name="Picture"/>
                    <pic:cNvPicPr>
                      <a:picLocks noChangeArrowheads="1" noChangeAspect="1"/>
                    </pic:cNvPicPr>
                  </pic:nvPicPr>
                  <pic:blipFill>
                    <a:blip r:embed="rId38"/>
                    <a:stretch>
                      <a:fillRect/>
                    </a:stretch>
                  </pic:blipFill>
                  <pic:spPr bwMode="auto">
                    <a:xfrm>
                      <a:off x="0" y="0"/>
                      <a:ext cx="5334000" cy="2989454"/>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modest (SCBI, left panel) and strong (Little Tesuque, right panel).</w:t>
      </w:r>
      <w:r>
        <w:t xml:space="preserve"> </w:t>
      </w:r>
      <w:r>
        <w:t xml:space="preserve">For each species, relationships are plotted if included in top model.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w:t>
      </w:r>
      <w:r>
        <w:rPr>
          <w:b/>
        </w:rPr>
        <w:t xml:space="preserve">???</w:t>
      </w:r>
      <w:r>
        <w:t xml:space="preserve">)</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This analysis was funded by a Smithsonian Scholarly Studies grant to KAT, SM, HCM, and CP.</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7"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7">
        <w:r>
          <w:rPr>
            <w:rStyle w:val="Hyperlink"/>
          </w:rPr>
          <w:t xml:space="preserve">10.5281/ZENODO.3958216</w:t>
        </w:r>
      </w:hyperlink>
    </w:p>
    <w:bookmarkEnd w:id="48"/>
    <w:bookmarkStart w:id="50"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9">
        <w:r>
          <w:rPr>
            <w:rStyle w:val="Hyperlink"/>
          </w:rPr>
          <w:t xml:space="preserve">10.1111/gcb.12712</w:t>
        </w:r>
      </w:hyperlink>
    </w:p>
    <w:bookmarkEnd w:id="50"/>
    <w:bookmarkStart w:id="52"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1">
        <w:r>
          <w:rPr>
            <w:rStyle w:val="Hyperlink"/>
          </w:rPr>
          <w:t xml:space="preserve">10.1111/1365-2435.12470</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0">
        <w:r>
          <w:rPr>
            <w:rStyle w:val="Hyperlink"/>
          </w:rPr>
          <w:t xml:space="preserve">10.1111/gcb.13535</w:t>
        </w:r>
      </w:hyperlink>
    </w:p>
    <w:bookmarkEnd w:id="61"/>
    <w:bookmarkStart w:id="63"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2">
        <w:r>
          <w:rPr>
            <w:rStyle w:val="Hyperlink"/>
          </w:rPr>
          <w:t xml:space="preserve">10.1111/ele.12650</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5">
        <w:r>
          <w:rPr>
            <w:rStyle w:val="Hyperlink"/>
          </w:rPr>
          <w:t xml:space="preserve">10.1038/ngeo2313</w:t>
        </w:r>
      </w:hyperlink>
    </w:p>
    <w:bookmarkEnd w:id="96"/>
    <w:bookmarkStart w:id="98"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7">
        <w:r>
          <w:rPr>
            <w:rStyle w:val="Hyperlink"/>
          </w:rPr>
          <w:t xml:space="preserve">10.1002/2016JG003528</w:t>
        </w:r>
      </w:hyperlink>
    </w:p>
    <w:bookmarkEnd w:id="98"/>
    <w:bookmarkStart w:id="100"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9">
        <w:r>
          <w:rPr>
            <w:rStyle w:val="Hyperlink"/>
          </w:rPr>
          <w:t xml:space="preserve">10.1038/nature12914</w:t>
        </w:r>
      </w:hyperlink>
    </w:p>
    <w:bookmarkEnd w:id="100"/>
    <w:bookmarkStart w:id="102"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1">
        <w:r>
          <w:rPr>
            <w:rStyle w:val="Hyperlink"/>
          </w:rPr>
          <w:t xml:space="preserve">10.1126/science.aaw7578</w:t>
        </w:r>
      </w:hyperlink>
    </w:p>
    <w:bookmarkEnd w:id="102"/>
    <w:bookmarkStart w:id="104"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3">
        <w:r>
          <w:rPr>
            <w:rStyle w:val="Hyperlink"/>
          </w:rPr>
          <w:t xml:space="preserve">10.1111/ele.12765</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53"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2020-08-23T21:22:57Z</dcterms:created>
  <dcterms:modified xsi:type="dcterms:W3CDTF">2020-08-23T21:22:57Z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