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8.png" ContentType="image/png"/>
  <Override PartName="/word/media/rId37.png" ContentType="image/png"/>
  <Override PartName="/word/media/rId31.png" ContentType="image/png"/>
  <Override PartName="/word/media/rId40.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w:t>
      </w:r>
    </w:p>
    <w:p>
      <w:pPr>
        <w:pStyle w:val="BodyText"/>
      </w:pPr>
      <w:hyperlink r:id="rId20">
        <w:r>
          <w:rPr>
            <w:rStyle w:val="Hyperlink"/>
          </w:rPr>
          <w:t xml:space="preserve">Kristina J. Anderson-Teixeira</w:t>
        </w:r>
        <w:r>
          <w:rPr>
            <w:vertAlign w:val="superscript"/>
            <w:rStyle w:val="Hyperlink"/>
          </w:rPr>
          <w:t xml:space="preserve">1,2</w:t>
        </w:r>
        <w:r>
          <w:rPr>
            <w:rStyle w:val="Hyperlink"/>
          </w:rPr>
          <w:t xml:space="preserve">*</w:t>
        </w:r>
      </w:hyperlink>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r>
        <w:t xml:space="preserve">Camille Piponiot</w:t>
      </w:r>
      <w:r>
        <w:rPr>
          <w:vertAlign w:val="superscript"/>
        </w:rPr>
        <w:t xml:space="preserve">1,2</w:t>
      </w:r>
      <w:r>
        <w:t xml:space="preserve">,</w:t>
      </w:r>
      <w:r>
        <w:t xml:space="preserve"> </w:t>
      </w:r>
      <w:r>
        <w:t xml:space="preserve">Ross Alexander,</w:t>
      </w:r>
      <w:r>
        <w:t xml:space="preserve"> </w:t>
      </w:r>
      <w:r>
        <w:t xml:space="preserve">Craig D. Allen,</w:t>
      </w:r>
      <w:r>
        <w:t xml:space="preserve"> </w:t>
      </w:r>
      <w:r>
        <w:t xml:space="preserve">Raquel Alfaro-Sánchez,</w:t>
      </w:r>
      <w:r>
        <w:t xml:space="preserve"> </w:t>
      </w:r>
      <w:r>
        <w:t xml:space="preserve">Tala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Paolo Cherubini,</w:t>
      </w:r>
      <w:r>
        <w:t xml:space="preserve"> </w:t>
      </w:r>
      <w:r>
        <w:t xml:space="preserve">Justin Cooper,</w:t>
      </w:r>
      <w:r>
        <w:t xml:space="preserve"> </w:t>
      </w:r>
      <w:r>
        <w:t xml:space="preserve">Stuart Davies</w:t>
      </w:r>
      <w:r>
        <w:rPr>
          <w:vertAlign w:val="superscript"/>
        </w:rPr>
        <w:t xml:space="preserve">2</w:t>
      </w:r>
      <w:r>
        <w:t xml:space="preserve">,</w:t>
      </w:r>
      <w:r>
        <w:t xml:space="preserve"> </w:t>
      </w:r>
      <w:r>
        <w:t xml:space="preserve">Ryan Helcoski</w:t>
      </w:r>
      <w:r>
        <w:rPr>
          <w:vertAlign w:val="superscript"/>
        </w:rPr>
        <w:t xml:space="preserve">1</w:t>
      </w:r>
      <w:r>
        <w:t xml:space="preserve">,</w:t>
      </w:r>
      <w:r>
        <w:t xml:space="preserve"> </w:t>
      </w:r>
      <w:hyperlink r:id="rId21">
        <w:r>
          <w:rPr>
            <w:rStyle w:val="Hyperlink"/>
          </w:rPr>
          <w:t xml:space="preserve">Jakub Kašpar</w:t>
        </w:r>
        <w:r>
          <w:rPr>
            <w:vertAlign w:val="superscript"/>
            <w:rStyle w:val="Hyperlink"/>
          </w:rPr>
          <w:t xml:space="preserve">cz</w:t>
        </w:r>
      </w:hyperlink>
      <w:r>
        <w:t xml:space="preserve">,</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rPr>
          <w:vertAlign w:val="superscript"/>
        </w:rPr>
        <w:t xml:space="preserve">2</w:t>
      </w:r>
      <w:r>
        <w:t xml:space="preserve">,</w:t>
      </w:r>
      <w:r>
        <w:t xml:space="preserve"> </w:t>
      </w:r>
      <w:r>
        <w:t xml:space="preserve">Helene Muller-Landau</w:t>
      </w:r>
      <w:r>
        <w:rPr>
          <w:vertAlign w:val="superscript"/>
        </w:rPr>
        <w:t xml:space="preserve">2</w:t>
      </w:r>
      <w:r>
        <w:t xml:space="preserve">,</w:t>
      </w:r>
      <w:r>
        <w:t xml:space="preserve"> </w:t>
      </w:r>
      <w:r>
        <w:t xml:space="preserve">Sabrina Russo,</w:t>
      </w:r>
      <w:r>
        <w:t xml:space="preserve"> </w:t>
      </w:r>
      <w:hyperlink r:id="rId22">
        <w:r>
          <w:rPr>
            <w:rStyle w:val="Hyperlink"/>
          </w:rPr>
          <w:t xml:space="preserve">Pavel Šamonil</w:t>
        </w:r>
        <w:r>
          <w:rPr>
            <w:vertAlign w:val="superscript"/>
            <w:rStyle w:val="Hyperlink"/>
          </w:rPr>
          <w:t xml:space="preserve">cz</w:t>
        </w:r>
      </w:hyperlink>
      <w:r>
        <w:t xml:space="preserve">,</w:t>
      </w:r>
      <w:r>
        <w:t xml:space="preserve"> </w:t>
      </w:r>
      <w:r>
        <w:t xml:space="preserve">Anastasia Sniderhan,</w:t>
      </w:r>
      <w:r>
        <w:t xml:space="preserve"> </w:t>
      </w:r>
      <w:r>
        <w:t xml:space="preserve">Alan J. Tepley</w:t>
      </w:r>
      <w:r>
        <w:rPr>
          <w:vertAlign w:val="superscript"/>
        </w:rPr>
        <w:t xml:space="preserve">1,at</w:t>
      </w:r>
      <w:r>
        <w:t xml:space="preserve">,</w:t>
      </w:r>
      <w:r>
        <w:t xml:space="preserve"> </w:t>
      </w:r>
      <w:hyperlink r:id="rId23">
        <w:r>
          <w:rPr>
            <w:rStyle w:val="Hyperlink"/>
          </w:rPr>
          <w:t xml:space="preserve">Ivana Vašíčková</w:t>
        </w:r>
        <w:r>
          <w:rPr>
            <w:vertAlign w:val="superscript"/>
            <w:rStyle w:val="Hyperlink"/>
          </w:rPr>
          <w:t xml:space="preserve">cz</w:t>
        </w:r>
      </w:hyperlink>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numPr>
          <w:numId w:val="1001"/>
          <w:ilvl w:val="0"/>
        </w:numPr>
      </w:pPr>
      <w:r>
        <w:t xml:space="preserve">The Morton Arboretum, Lisle, Illinois, USA</w:t>
      </w:r>
    </w:p>
    <w:p>
      <w:pPr>
        <w:numPr>
          <w:numId w:val="1001"/>
          <w:ilvl w:val="0"/>
        </w:numPr>
      </w:pPr>
      <w:r>
        <w:t xml:space="preserve">Harvard Forest, Petersham, MA 01366, USA</w:t>
      </w:r>
    </w:p>
    <w:p>
      <w:pPr>
        <w:pStyle w:val="FirstParagraph"/>
      </w:pPr>
      <w:r>
        <w:t xml:space="preserve">at. Canadian Forest Service, Northern Forestry Centre, Edmonton, Alberta, Canada</w:t>
      </w:r>
    </w:p>
    <w:p>
      <w:pPr>
        <w:pStyle w:val="BodyText"/>
      </w:pPr>
      <w:r>
        <w:t xml:space="preserve">cz. Department of Forest Ecology, The Silva Tarouca Research Institute for Landscape and Ornamental Gardening, Lidická 25/27, 602 00 Brno, Czech Republic</w:t>
      </w:r>
    </w:p>
    <w:p>
      <w:pPr>
        <w:pStyle w:val="BodyText"/>
      </w:pPr>
      <w:r>
        <w:t xml:space="preserve">*corresponding author:</w:t>
      </w:r>
      <w:r>
        <w:t xml:space="preserve"> </w:t>
      </w:r>
      <w:hyperlink r:id="rId24">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pPr>
        <w:pStyle w:val="BodyText"/>
      </w:pPr>
      <w:r>
        <w:rPr>
          <w:i/>
        </w:rPr>
        <w:t xml:space="preserve">NOTE TO COAUTHORS: The text is still pretty rough, so please don’t worry about word-smithing. However, I’d appreciate input on the content, and important references (especially</w:t>
      </w:r>
      <w:r>
        <w:rPr>
          <w:i/>
        </w:rPr>
        <w:t xml:space="preserve"> </w:t>
      </w:r>
      <w:r>
        <w:rPr>
          <w:i/>
        </w:rPr>
        <w:t xml:space="preserve">“</w:t>
      </w:r>
      <w:r>
        <w:rPr>
          <w:i/>
        </w:rPr>
        <w:t xml:space="preserve">DENDRO REFS</w:t>
      </w:r>
      <w:r>
        <w:rPr>
          <w:i/>
        </w:rPr>
        <w:t xml:space="preserve">”</w:t>
      </w:r>
      <w:r>
        <w:rPr>
          <w:i/>
        </w:rPr>
        <w:t xml:space="preserve">, as most of you know that literature better than I do).</w:t>
      </w:r>
    </w:p>
    <w:p>
      <w:pPr>
        <w:pStyle w:val="BodyText"/>
      </w:pPr>
      <w:r>
        <w:rPr>
          <w:i/>
        </w:rPr>
        <w:t xml:space="preserve">Target journal is MEE. We are already over the word limit, so I’d appreciate advice on what should be cut/moved to appendix.</w:t>
      </w:r>
    </w:p>
    <w:p>
      <w:r>
        <w:br w:type="page"/>
      </w:r>
    </w:p>
    <w:p>
      <w:pPr>
        <w:pStyle w:val="Heading3"/>
      </w:pPr>
      <w:bookmarkStart w:id="25" w:name="abstract"/>
      <w:r>
        <w:t xml:space="preserve">Abstract</w:t>
      </w:r>
      <w:bookmarkEnd w:id="25"/>
    </w:p>
    <w:p>
      <w:pPr>
        <w:pStyle w:val="FirstParagraph"/>
      </w:pPr>
      <w:r>
        <w:rPr>
          <w:i/>
        </w:rPr>
        <w:t xml:space="preserve">NOTE TO COAUTHORS: I’d appreciate feedback on what you consider to be the most important results and conclusions to highlight in the abstract.</w:t>
      </w:r>
    </w:p>
    <w:p>
      <w:pPr>
        <w:numPr>
          <w:numId w:val="1002"/>
          <w:ilvl w:val="0"/>
        </w:numPr>
      </w:pPr>
      <w:r>
        <w:t xml:space="preserve">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pPr>
        <w:numPr>
          <w:numId w:val="1002"/>
          <w:ilvl w:val="0"/>
        </w:numPr>
      </w:pPr>
      <w:r>
        <w:t xml:space="preserve">Here, we develop a new method to simultaneously model non-linear effects of objectively determined principle climate drivers and tree diameter (</w:t>
      </w:r>
      <m:oMath>
        <m:r>
          <m:t>D</m:t>
        </m:r>
        <m:r>
          <m:t>B</m:t>
        </m:r>
        <m:r>
          <m:t>H</m:t>
        </m:r>
      </m:oMath>
      <w:r>
        <w:t xml:space="preserve">).</w:t>
      </w:r>
      <w:r>
        <w:t xml:space="preserve"> </w:t>
      </w:r>
      <w:r>
        <w:t xml:space="preserve">Specifically, we first identify the most important climate drivers and their appropriate time window of influence using the</w:t>
      </w:r>
      <w:r>
        <w:t xml:space="preserve"> </w:t>
      </w:r>
      <w:r>
        <w:rPr>
          <w:i/>
        </w:rPr>
        <w:t xml:space="preserve">climwin</w:t>
      </w:r>
      <w:r>
        <w:t xml:space="preserve"> </w:t>
      </w:r>
      <w:r>
        <w:t xml:space="preserve">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w:t>
      </w:r>
      <w:r>
        <w:t xml:space="preserve"> </w:t>
      </w:r>
      <w:r>
        <w:rPr>
          <w:i/>
        </w:rPr>
        <w:t xml:space="preserve">#</w:t>
      </w:r>
      <w:r>
        <w:t xml:space="preserve"> </w:t>
      </w:r>
      <w:r>
        <w:t xml:space="preserve">trees representing</w:t>
      </w:r>
      <w:r>
        <w:t xml:space="preserve"> </w:t>
      </w:r>
      <w:r>
        <w:rPr>
          <w:i/>
        </w:rPr>
        <w:t xml:space="preserve">~40</w:t>
      </w:r>
      <w:r>
        <w:t xml:space="preserve"> </w:t>
      </w:r>
      <w:r>
        <w:t xml:space="preserve">species at ten 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w:t>
      </w:r>
      <w:r>
        <w:t xml:space="preserve"> </w:t>
      </w:r>
      <m:oMath>
        <m:r>
          <m:t>D</m:t>
        </m:r>
        <m:r>
          <m:t>B</m:t>
        </m:r>
        <m:r>
          <m:t>H</m:t>
        </m:r>
      </m:oMath>
      <w:r>
        <w:t xml:space="preserve">. The relative importance of</w:t>
      </w:r>
      <w:r>
        <w:t xml:space="preserve"> </w:t>
      </w:r>
      <m:oMath>
        <m:r>
          <m:t>D</m:t>
        </m:r>
        <m:r>
          <m:t>B</m:t>
        </m:r>
        <m:r>
          <m:t>H</m:t>
        </m:r>
      </m:oMath>
      <w:r>
        <w:t xml:space="preserve"> </w:t>
      </w:r>
      <w:r>
        <w:t xml:space="preserve">versus climate varied across sites, and interactions between</w:t>
      </w:r>
      <w:r>
        <w:t xml:space="preserve"> </w:t>
      </w:r>
      <m:oMath>
        <m:r>
          <m:t>D</m:t>
        </m:r>
        <m:r>
          <m:t>B</m:t>
        </m:r>
        <m:r>
          <m:t>H</m:t>
        </m:r>
      </m:oMath>
      <w:r>
        <w:t xml:space="preserve"> </w:t>
      </w:r>
      <w:r>
        <w:t xml:space="preserve">and climate were prevalent (</w:t>
      </w:r>
      <w:r>
        <w:rPr>
          <w:i/>
        </w:rPr>
        <w:t xml:space="preserve">~50%</w:t>
      </w:r>
      <w:r>
        <w:t xml:space="preserve"> </w:t>
      </w:r>
      <w:r>
        <w:t xml:space="preserve">of cases tested).</w:t>
      </w:r>
    </w:p>
    <w:p>
      <w:pPr>
        <w:numPr>
          <w:numId w:val="1002"/>
          <w:ilvl w:val="0"/>
        </w:numPr>
      </w:pPr>
      <w:r>
        <w:t xml:space="preserve">Our method provides a rigorous analytical framework for objectively identifying the most important climate drivers of tree growth and combining them with</w:t>
      </w:r>
      <w:r>
        <w:t xml:space="preserve"> </w:t>
      </w:r>
      <m:oMath>
        <m:r>
          <m:t>D</m:t>
        </m:r>
        <m:r>
          <m:t>B</m:t>
        </m:r>
        <m:r>
          <m:t>H</m:t>
        </m:r>
      </m:oMath>
      <w:r>
        <w:t xml:space="preserve"> </w:t>
      </w:r>
      <w:r>
        <w:t xml:space="preserve">in nonlinear models.</w:t>
      </w:r>
      <w:r>
        <w:t xml:space="preserve"> </w:t>
      </w:r>
      <w:r>
        <w:t xml:space="preserve">The need for such an approach is highlighted by our findings that nonlinear growth responses to climate variables are common, that growth rates vary nonlinearly with</w:t>
      </w:r>
      <w:r>
        <w:t xml:space="preserve"> </w:t>
      </w:r>
      <m:oMath>
        <m:r>
          <m:t>D</m:t>
        </m:r>
        <m:r>
          <m:t>B</m:t>
        </m:r>
        <m:r>
          <m:t>H</m:t>
        </m:r>
      </m:oMath>
      <w:r>
        <w:t xml:space="preserve">, and that significant</w:t>
      </w:r>
      <w:r>
        <w:t xml:space="preserve"> </w:t>
      </w:r>
      <m:oMath>
        <m:r>
          <m:t>D</m:t>
        </m:r>
        <m:r>
          <m:t>B</m:t>
        </m:r>
        <m:r>
          <m:t>H</m:t>
        </m:r>
      </m:oMath>
      <w:r>
        <w:t xml:space="preserve"> </w:t>
      </w:r>
      <w:r>
        <w:t xml:space="preserve">- climate interactions are common.</w:t>
      </w:r>
      <w:r>
        <w:t xml:space="preserve"> </w:t>
      </w:r>
      <w:r>
        <w:t xml:space="preserve">These findings imply that</w:t>
      </w:r>
      <w:r>
        <w:t xml:space="preserve"> </w:t>
      </w:r>
      <m:oMath>
        <m:r>
          <m:t>D</m:t>
        </m:r>
        <m:r>
          <m:t>B</m:t>
        </m:r>
        <m:r>
          <m:t>H</m:t>
        </m:r>
      </m:oMath>
      <w:r>
        <w:t xml:space="preserve"> </w:t>
      </w:r>
      <w:r>
        <w:t xml:space="preserve">should be accounted for in analyses seeking to quantify the impacts of climate and other environmental drivers on tree growth.</w:t>
      </w:r>
      <w:r>
        <w:t xml:space="preserve"> </w:t>
      </w:r>
      <w:r>
        <w:t xml:space="preserve">By providing a framework for such analyses, our approach opens the door for using tree-rings to improve our understanding of forest responses to climate change.</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6" w:name="introduction"/>
      <w:r>
        <w:t xml:space="preserve">Introduction</w:t>
      </w:r>
      <w:bookmarkEnd w:id="26"/>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w:t>
      </w:r>
      <m:oMath>
        <m:r>
          <m:t>A</m:t>
        </m:r>
        <m:r>
          <m:t>N</m:t>
        </m:r>
        <m:r>
          <m:t>P</m:t>
        </m:r>
        <m:sSub>
          <m:e>
            <m:r>
              <m:t>P</m:t>
            </m:r>
          </m:e>
          <m:sub>
            <m:r>
              <m:t>w</m:t>
            </m:r>
            <m:r>
              <m:t>o</m:t>
            </m:r>
            <m:r>
              <m:t>o</m:t>
            </m:r>
            <m:r>
              <m:t>d</m:t>
            </m:r>
            <m:r>
              <m:t>y</m:t>
            </m:r>
          </m:sub>
        </m:sSub>
      </m:oMath>
      <w:r>
        <w:t xml:space="preserve">; 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This information is critical to predicting forest responses to climate change,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variables–most commonly temperature and precipitation–over the current year and, typically, previous year (e.g., DENDRO_REFS).</w:t>
      </w:r>
      <w:r>
        <w:t xml:space="preserve"> </w:t>
      </w:r>
      <w:r>
        <w:t xml:space="preserve">While appropriate for identifying the strongest signals for purposes such as historical climate reconstructions (e.g., DENDRO_REFS) and for describing how each month’s climate affects tree growth or productivity</w:t>
      </w:r>
      <w:r>
        <w:t xml:space="preserve"> </w:t>
      </w:r>
      <w:r>
        <w:t xml:space="preserve">(e.g., Helcoski et al., 2019)</w:t>
      </w:r>
      <w:r>
        <w:t xml:space="preserve">, this approach falls short of objectively identifying the most important climate drivers and their time windows of influence, which is needed for multivariate models of annual tree growth and forest productivity</w:t>
      </w:r>
      <w:r>
        <w:t xml:space="preserve"> </w:t>
      </w:r>
      <w:r>
        <w:t xml:space="preserve">(e.g., Teets et al., 2018)</w:t>
      </w:r>
      <w:r>
        <w:t xml:space="preserve">.</w:t>
      </w:r>
      <w:r>
        <w:t xml:space="preserve"> </w:t>
      </w:r>
      <w:r>
        <w:t xml:space="preserve">Further, tree-ring studies generally do not consider additive or interactive effects of climate variables on annual growth</w:t>
      </w:r>
      <w:r>
        <w:t xml:space="preserve"> </w:t>
      </w:r>
      <w:r>
        <w:t xml:space="preserve">(DENDRO_REFS; but see 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(e.g.,TREE_LEVEL_REFS; Banbury Morgan et al., n.d.)</w:t>
      </w:r>
      <w:r>
        <w:t xml:space="preserve">.</w:t>
      </w:r>
      <w:r>
        <w:t xml:space="preserve"> </w:t>
      </w:r>
      <w:r>
        <w:t xml:space="preserve">Thus, to model tree growth responses to climate, we need an objective approach to systematically evaluate numerous potential climate variables and time windows in order to select principle climate drivers appropriate for inclusion in multivariate models.</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dendrochronological studies allowing for nonlinear or threshold responses of tree growth to climate are rare</w:t>
      </w:r>
      <w:r>
        <w:t xml:space="preserve"> </w:t>
      </w:r>
      <w:r>
        <w:t xml:space="preserve">(Tolwinski-Ward, Anchukaitis, &amp; Evans, 2013; Tumajer et al., 2017)</w:t>
      </w:r>
      <w:r>
        <w:t xml:space="preserve">, and we therefore know little about what, if any, nonlinearities occur in tree growth responses to interannual variation in climate.</w:t>
      </w:r>
    </w:p>
    <w:p>
      <w:pPr>
        <w:pStyle w:val="BodyText"/>
      </w:pPr>
      <w:r>
        <w:rPr>
          <w:b/>
        </w:rPr>
        <w:t xml:space="preserve">Tree size (most commonly diameter breast height,</w:t>
      </w:r>
      <w:r>
        <w:rPr>
          <w:b/>
        </w:rPr>
        <w:t xml:space="preserve"> </w:t>
      </w:r>
      <m:oMath>
        <m:r>
          <m:t>D</m:t>
        </m:r>
        <m:r>
          <m:t>B</m:t>
        </m:r>
        <m:r>
          <m:t>H</m:t>
        </m:r>
      </m:oMath>
      <w:r>
        <w:rPr>
          <w:b/>
        </w:rPr>
        <w:t xml:space="preserve">) is among the most important variables affecting tree growth rate</w:t>
      </w:r>
      <w:r>
        <w:rPr>
          <w:b/>
        </w:rPr>
        <w:t xml:space="preserve"> </w:t>
      </w:r>
      <w:r>
        <w:rPr>
          <w:b/>
        </w:rPr>
        <w:t xml:space="preserve">(e.g., Muller-Landau et al., 2006; Foster et al., 2016)</w:t>
      </w:r>
      <w:r>
        <w:rPr>
          <w:b/>
        </w:rPr>
        <w:t xml:space="preserve"> </w:t>
      </w:r>
      <w:r>
        <w:rPr>
          <w:b/>
        </w:rPr>
        <w:t xml:space="preserve">and its climate sensitivity</w:t>
      </w:r>
      <w:r>
        <w:rPr>
          <w:b/>
        </w:rPr>
        <w:t xml:space="preserve"> </w:t>
      </w:r>
      <w:r>
        <w:rPr>
          <w:b/>
        </w:rPr>
        <w:t xml:space="preserve">(e.g., Bennett, McDowell, Allen, &amp; Anderson-Teixeira, 2015; McGregor et al., n.d.)</w:t>
      </w:r>
      <w:r>
        <w:rPr>
          <w:b/>
        </w:rPr>
        <w:t xml:space="preserve">, yet traditional methods do not characterize its effect or its potential interactions with climate.</w:t>
      </w:r>
      <w:r>
        <w:t xml:space="preserve"> </w:t>
      </w:r>
      <w:r>
        <w:t xml:space="preserve">For dendrological studies aimed at deciphering climate signals,</w:t>
      </w:r>
      <w:r>
        <w:t xml:space="preserve"> </w:t>
      </w:r>
      <m:oMath>
        <m:r>
          <m:t>D</m:t>
        </m:r>
        <m:r>
          <m:t>B</m:t>
        </m:r>
        <m:r>
          <m:t>H</m:t>
        </m:r>
      </m:oMath>
      <w:r>
        <w:t xml:space="preserve"> </w:t>
      </w:r>
      <w:r>
        <w:t xml:space="preserve">is not typically a variable of interest, and its influence is removed through detrending (DENDRO_REFS).</w:t>
      </w:r>
      <w:r>
        <w:t xml:space="preserve"> </w:t>
      </w:r>
      <w:r>
        <w:t xml:space="preserve">While convenient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w</m:t>
            </m:r>
            <m:r>
              <m:t>o</m:t>
            </m:r>
            <m:r>
              <m:t>o</m:t>
            </m:r>
            <m:r>
              <m:t>d</m:t>
            </m:r>
            <m:r>
              <m:t>y</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et al., 2015; McGregor et al., n.d.)</w:t>
      </w:r>
      <w:r>
        <w:t xml:space="preserve">, and smaller trees can be more sensitive to temperature (</w:t>
      </w:r>
      <w:r>
        <w:rPr>
          <w:i/>
        </w:rPr>
        <w:t xml:space="preserve">Rollinson et al. in review</w:t>
      </w:r>
      <w:r>
        <w:t xml:space="preserve">).</w:t>
      </w:r>
      <w:r>
        <w:t xml:space="preserve"> </w:t>
      </w:r>
      <w:r>
        <w:t xml:space="preserve">However, the removal of</w:t>
      </w:r>
      <w:r>
        <w:t xml:space="preserve"> </w:t>
      </w:r>
      <m:oMath>
        <m:r>
          <m:t>D</m:t>
        </m:r>
        <m:r>
          <m:t>B</m:t>
        </m:r>
        <m:r>
          <m:t>H</m:t>
        </m:r>
      </m:oMath>
      <w:r>
        <w:t xml:space="preserve"> </w:t>
      </w:r>
      <w:r>
        <w:t xml:space="preserve">signals via detrending makes it impossible to account for such size differences in climate sensitivity.</w:t>
      </w:r>
      <w:r>
        <w:t xml:space="preserve"> </w:t>
      </w:r>
      <w:r>
        <w:t xml:space="preserve">To use tree-rings to predict tree growth and</w:t>
      </w:r>
      <w:r>
        <w:t xml:space="preserve"> </w:t>
      </w:r>
      <m:oMath>
        <m:r>
          <m:t>A</m:t>
        </m:r>
        <m:r>
          <m:t>N</m:t>
        </m:r>
        <m:r>
          <m:t>P</m:t>
        </m:r>
        <m:sSub>
          <m:e>
            <m:r>
              <m:t>P</m:t>
            </m:r>
          </m:e>
          <m:sub>
            <m:r>
              <m:t>w</m:t>
            </m:r>
            <m:r>
              <m:t>o</m:t>
            </m:r>
            <m:r>
              <m:t>o</m:t>
            </m:r>
            <m:r>
              <m:t>d</m:t>
            </m:r>
            <m:r>
              <m:t>y</m:t>
            </m:r>
          </m:sub>
        </m:sSub>
      </m:oMath>
      <w:r>
        <w:t xml:space="preserve">, we need models that include</w:t>
      </w:r>
      <w:r>
        <w:t xml:space="preserve"> </w:t>
      </w:r>
      <m:oMath>
        <m:r>
          <m:t>D</m:t>
        </m:r>
        <m:r>
          <m:t>B</m:t>
        </m:r>
        <m:r>
          <m:t>H</m:t>
        </m:r>
      </m:oMath>
      <w:r>
        <w:t xml:space="preserve"> </w:t>
      </w:r>
      <w:r>
        <w:t xml:space="preserve">and its potential climate interactions.</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w:t>
      </w:r>
      <w:r>
        <w:t xml:space="preserve"> </w:t>
      </w:r>
      <m:oMath>
        <m:r>
          <m:t>D</m:t>
        </m:r>
        <m:r>
          <m:t>B</m:t>
        </m:r>
        <m:r>
          <m:t>H</m:t>
        </m:r>
      </m:oMath>
      <w:r>
        <w:t xml:space="preserve">?</w:t>
      </w:r>
      <w:r>
        <w:t xml:space="preserve"> </w:t>
      </w:r>
      <w:r>
        <w:t xml:space="preserve">(4) How do climate drivers and</w:t>
      </w:r>
      <w:r>
        <w:t xml:space="preserve"> </w:t>
      </w:r>
      <m:oMath>
        <m:r>
          <m:t>D</m:t>
        </m:r>
        <m:r>
          <m:t>B</m:t>
        </m:r>
        <m:r>
          <m:t>H</m:t>
        </m:r>
      </m:oMath>
      <w:r>
        <w:t xml:space="preserve"> </w:t>
      </w:r>
      <w:r>
        <w:t xml:space="preserve">additively and interactively shape growth?</w:t>
      </w:r>
    </w:p>
    <w:p>
      <w:pPr>
        <w:pStyle w:val="Heading3"/>
      </w:pPr>
      <w:bookmarkStart w:id="27" w:name="materials-and-methods"/>
      <w:r>
        <w:t xml:space="preserve">Materials and Methods</w:t>
      </w:r>
      <w:bookmarkEnd w:id="27"/>
    </w:p>
    <w:p>
      <w:pPr>
        <w:pStyle w:val="Heading4"/>
      </w:pPr>
      <w:bookmarkStart w:id="28" w:name="data-sources-and-preparation"/>
      <w:r>
        <w:t xml:space="preserve">Data sources and preparation</w:t>
      </w:r>
      <w:bookmarkEnd w:id="28"/>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diversity of data sources, we ensured that our approach was able to handle challenges presented by varying methodologies and forest types.</w:t>
      </w:r>
    </w:p>
    <w:p>
      <w:pPr>
        <w:pStyle w:val="BodyText"/>
      </w:pPr>
      <w:r>
        <w:rPr>
          <w:b/>
        </w:rPr>
        <w:t xml:space="preserve">Table 1 | Sites included in this analysis</w:t>
      </w:r>
      <w:r>
        <w:t xml:space="preserve">. Here and throughout, sites are ordered by latitude.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334000" cy="3034239"/>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9"/>
                    <a:stretch>
                      <a:fillRect/>
                    </a:stretch>
                  </pic:blipFill>
                  <pic:spPr bwMode="auto">
                    <a:xfrm>
                      <a:off x="0" y="0"/>
                      <a:ext cx="5334000" cy="3034239"/>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From among the full set of</w:t>
      </w:r>
      <w:r>
        <w:t xml:space="preserve"> </w:t>
      </w:r>
      <w:r>
        <w:rPr>
          <w:i/>
        </w:rPr>
        <w:t xml:space="preserve">#</w:t>
      </w:r>
      <w:r>
        <w:t xml:space="preserve"> </w:t>
      </w:r>
      <w:r>
        <w:t xml:space="preserve">original records, we excluded cores for which we detected errors (e.g., labeling inconsistencies, obvious dating errors) that could not be resolved before finalizing the analysis (n=</w:t>
      </w:r>
      <w:r>
        <w:rPr>
          <w:i/>
        </w:rPr>
        <w:t xml:space="preserve">#</w:t>
      </w:r>
      <w:r>
        <w:t xml:space="preserve">).</w:t>
      </w:r>
      <w:r>
        <w:t xml:space="preserve"> </w:t>
      </w:r>
      <w:r>
        <w:t xml:space="preserve">We also excluded records that had to be excluded due to insufficient sample size or anomalous growth patterns, including</w:t>
      </w:r>
      <w:r>
        <w:t xml:space="preserve"> </w:t>
      </w:r>
      <w:r>
        <w:t xml:space="preserve">(1) species with &lt;7 cores,</w:t>
      </w:r>
      <w:r>
        <w:t xml:space="preserve"> </w:t>
      </w:r>
      <w:r>
        <w:t xml:space="preserve">(2) cores with &lt;30 years of record,</w:t>
      </w:r>
      <w:r>
        <w:t xml:space="preserve"> </w:t>
      </w:r>
      <w:r>
        <w:t xml:space="preserve">(3) contiguous portions of cores containing large outliers (</w:t>
      </w:r>
      <m:oMath>
        <m:r>
          <m:t>Δ</m:t>
        </m:r>
        <m:r>
          <m:t>r</m:t>
        </m:r>
      </m:oMath>
      <w:r>
        <w:t xml:space="preserve"> </w:t>
      </w:r>
      <w:r>
        <w:t xml:space="preserve">&gt; mean plus 5 x SD of</w:t>
      </w:r>
      <w:r>
        <w:t xml:space="preserve"> </w:t>
      </w:r>
      <m:oMath>
        <m:r>
          <m:t>Δ</m:t>
        </m:r>
        <m:r>
          <m:t>r</m:t>
        </m:r>
      </m:oMath>
      <w:r>
        <w:t xml:space="preserve"> </w:t>
      </w:r>
      <w:r>
        <w:t xml:space="preserve">for the entire core),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and (3)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w:t>
      </w:r>
      <w:r>
        <w:t xml:space="preserve"> </w:t>
      </w:r>
      <w:r>
        <w:rPr>
          <w:i/>
        </w:rPr>
        <w:t xml:space="preserve">#</w:t>
      </w:r>
      <w:r>
        <w:t xml:space="preserve"> </w:t>
      </w:r>
      <w:r>
        <w:t xml:space="preserve">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Tables S2,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 R packages</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rPr>
          <w:i/>
        </w:rPr>
        <w:t xml:space="preserve">Variables considered here included average daily minimum, maximum, and mean temperatures (</w:t>
      </w:r>
      <m:oMath>
        <m:sSub>
          <m:e>
            <m:r>
              <m:t>T</m:t>
            </m:r>
          </m:e>
          <m:sub>
            <m:r>
              <m:t>m</m:t>
            </m:r>
            <m:r>
              <m:t>i</m:t>
            </m:r>
            <m:r>
              <m:t>n</m:t>
            </m:r>
          </m:sub>
        </m:sSub>
      </m:oMath>
      <w:r>
        <w:rPr>
          <w:i/>
        </w:rPr>
        <w:t xml:space="preserve"> </w:t>
      </w:r>
      <w:r>
        <w:rPr>
          <w:i/>
        </w:rPr>
        <w:t xml:space="preserve">/ currently</w:t>
      </w:r>
      <w:r>
        <w:rPr>
          <w:i/>
        </w:rPr>
        <w:t xml:space="preserve"> </w:t>
      </w:r>
      <w:r>
        <w:rPr>
          <w:i/>
        </w:rPr>
        <w:t xml:space="preserve">“</w:t>
      </w:r>
      <w:r>
        <w:rPr>
          <w:i/>
        </w:rPr>
        <w:t xml:space="preserve">TMN</w:t>
      </w:r>
      <w:r>
        <w:rPr>
          <w:i/>
        </w:rPr>
        <w:t xml:space="preserve">”</w:t>
      </w:r>
      <w:r>
        <w:rPr>
          <w:i/>
        </w:rPr>
        <w:t xml:space="preserve">,</w:t>
      </w:r>
      <w:r>
        <w:rPr>
          <w:i/>
        </w:rPr>
        <w:t xml:space="preserve"> </w:t>
      </w:r>
      <m:oMath>
        <m:sSub>
          <m:e>
            <m:r>
              <m:t>T</m:t>
            </m:r>
          </m:e>
          <m:sub>
            <m:r>
              <m:t>m</m:t>
            </m:r>
            <m:r>
              <m:t>a</m:t>
            </m:r>
            <m:r>
              <m:t>x</m:t>
            </m:r>
          </m:sub>
        </m:sSub>
      </m:oMath>
      <w:r>
        <w:rPr>
          <w:i/>
        </w:rPr>
        <w:t xml:space="preserve"> </w:t>
      </w:r>
      <w:r>
        <w:rPr>
          <w:i/>
        </w:rPr>
        <w:t xml:space="preserve">/ currently</w:t>
      </w:r>
      <w:r>
        <w:rPr>
          <w:i/>
        </w:rPr>
        <w:t xml:space="preserve"> </w:t>
      </w:r>
      <w:r>
        <w:rPr>
          <w:i/>
        </w:rPr>
        <w:t xml:space="preserve">“</w:t>
      </w:r>
      <w:r>
        <w:rPr>
          <w:i/>
        </w:rPr>
        <w:t xml:space="preserve">TMX</w:t>
      </w:r>
      <w:r>
        <w:rPr>
          <w:i/>
        </w:rPr>
        <w:t xml:space="preserve">”</w:t>
      </w:r>
      <w:r>
        <w:rPr>
          <w:i/>
        </w:rPr>
        <w:t xml:space="preserve">,</w:t>
      </w:r>
      <w:r>
        <w:rPr>
          <w:i/>
        </w:rPr>
        <w:t xml:space="preserve"> </w:t>
      </w:r>
      <m:oMath>
        <m:sSub>
          <m:e>
            <m:r>
              <m:t>T</m:t>
            </m:r>
          </m:e>
          <m:sub>
            <m:r>
              <m:t>m</m:t>
            </m:r>
            <m:r>
              <m:t>e</m:t>
            </m:r>
            <m:r>
              <m:t>a</m:t>
            </m:r>
            <m:r>
              <m:t>n</m:t>
            </m:r>
          </m:sub>
        </m:sSub>
      </m:oMath>
      <w:r>
        <w:rPr>
          <w:i/>
        </w:rPr>
        <w:t xml:space="preserve">/ / currently</w:t>
      </w:r>
      <w:r>
        <w:rPr>
          <w:i/>
        </w:rPr>
        <w:t xml:space="preserve"> </w:t>
      </w:r>
      <w:r>
        <w:rPr>
          <w:i/>
        </w:rPr>
        <w:t xml:space="preserve">“</w:t>
      </w:r>
      <w:r>
        <w:rPr>
          <w:i/>
        </w:rPr>
        <w:t xml:space="preserve">TMP</w:t>
      </w:r>
      <w:r>
        <w:rPr>
          <w:i/>
        </w:rPr>
        <w:t xml:space="preserve">”</w:t>
      </w:r>
      <w:r>
        <w:rPr>
          <w:i/>
        </w:rPr>
        <w:t xml:space="preserve">, respectively); potential evapotranspiration (</w:t>
      </w:r>
      <m:oMath>
        <m:r>
          <m:t>P</m:t>
        </m:r>
        <m:r>
          <m:t>E</m:t>
        </m:r>
        <m:r>
          <m:t>T</m:t>
        </m:r>
      </m:oMath>
      <w:r>
        <w:rPr>
          <w:i/>
        </w:rPr>
        <w:t xml:space="preserve">); precipitation (</w:t>
      </w:r>
      <m:oMath>
        <m:r>
          <m:t>P</m:t>
        </m:r>
        <m:r>
          <m:t>P</m:t>
        </m:r>
        <m:r>
          <m:t>T</m:t>
        </m:r>
      </m:oMath>
      <w:r>
        <w:rPr>
          <w:i/>
        </w:rPr>
        <w:t xml:space="preserve">/ currently</w:t>
      </w:r>
      <w:r>
        <w:rPr>
          <w:i/>
        </w:rPr>
        <w:t xml:space="preserve"> </w:t>
      </w:r>
      <w:r>
        <w:rPr>
          <w:i/>
        </w:rPr>
        <w:t xml:space="preserve">“</w:t>
      </w:r>
      <w:r>
        <w:rPr>
          <w:i/>
        </w:rPr>
        <w:t xml:space="preserve">PRE</w:t>
      </w:r>
      <w:r>
        <w:rPr>
          <w:i/>
        </w:rPr>
        <w:t xml:space="preserve">”</w:t>
      </w:r>
      <w:r>
        <w:rPr>
          <w:i/>
        </w:rPr>
        <w:t xml:space="preserve">); and precipitation day frequency (</w:t>
      </w:r>
      <m:oMath>
        <m:r>
          <m:t>P</m:t>
        </m:r>
        <m:r>
          <m:t>D</m:t>
        </m:r>
        <m:r>
          <m:t>F</m:t>
        </m:r>
      </m:oMath>
      <w:r>
        <w:rPr>
          <w:i/>
        </w:rPr>
        <w:t xml:space="preserve">/ currently</w:t>
      </w:r>
      <w:r>
        <w:rPr>
          <w:i/>
        </w:rPr>
        <w:t xml:space="preserve"> </w:t>
      </w:r>
      <w:r>
        <w:rPr>
          <w:i/>
        </w:rPr>
        <w:t xml:space="preserve">“</w:t>
      </w:r>
      <w:r>
        <w:rPr>
          <w:i/>
        </w:rPr>
        <w:t xml:space="preserve">WET</w:t>
      </w:r>
      <w:r>
        <w:rPr>
          <w:i/>
        </w:rPr>
        <w:t xml:space="preserve">”</w:t>
      </w:r>
      <w:r>
        <w:rPr>
          <w:i/>
        </w:rPr>
        <w:t xml:space="preserve">).</w:t>
      </w:r>
      <w:r>
        <w:t xml:space="preserve"> </w:t>
      </w:r>
      <w:r>
        <w:t xml:space="preserve">For BCI, we calculated monthly</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30" w:name="analysis-methods"/>
      <w:r>
        <w:t xml:space="preserve">Analysis methods</w:t>
      </w:r>
      <w:bookmarkEnd w:id="30"/>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w:t>
      </w:r>
      <w:r>
        <w:t xml:space="preserve"> </w:t>
      </w:r>
      <w:r>
        <w:rPr>
          <w:b/>
        </w:rPr>
        <w:t xml:space="preserve">1</w:t>
      </w:r>
      <w:r>
        <w:t xml:space="preserve">). The analysis was run separately for each site and each response variable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334000" cy="3381283"/>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1"/>
                    <a:stretch>
                      <a:fillRect/>
                    </a:stretch>
                  </pic:blipFill>
                  <pic:spPr bwMode="auto">
                    <a:xfrm>
                      <a:off x="0" y="0"/>
                      <a:ext cx="5334000" cy="3381283"/>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rPr>
          <w:b/>
        </w:rPr>
        <w:t xml:space="preserve">We used the</w:t>
      </w:r>
      <w:r>
        <w:rPr>
          <w:b/>
        </w:rPr>
        <w:t xml:space="preserve"> </w:t>
      </w:r>
      <w:r>
        <w:rPr>
          <w:i/>
          <w:b/>
        </w:rPr>
        <w:t xml:space="preserve">climwin</w:t>
      </w:r>
      <w:r>
        <w:rPr>
          <w:b/>
        </w:rPr>
        <w:t xml:space="preserve"> </w:t>
      </w:r>
      <w:r>
        <w:rPr>
          <w:b/>
        </w:rPr>
        <w:t xml:space="preserve">package in R</w:t>
      </w:r>
      <w:r>
        <w:rPr>
          <w:b/>
        </w:rPr>
        <w:t xml:space="preserve"> </w:t>
      </w:r>
      <w:r>
        <w:rPr>
          <w:b/>
        </w:rPr>
        <w:t xml:space="preserve">(Pol et al., 2016)</w:t>
      </w:r>
      <w:r>
        <w:rPr>
          <w:b/>
        </w:rPr>
        <w:t xml:space="preserve"> </w:t>
      </w:r>
      <w:r>
        <w:rPr>
          <w:b/>
        </w:rPr>
        <w:t xml:space="preserve">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w:t>
      </w:r>
      <w:r>
        <w:t xml:space="preserve">For this, we detrended the response variable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additive model (GAM) to fit a spline to individual growth records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from each core, thereby producing residuals.</w:t>
      </w:r>
      <w:r>
        <w:t xml:space="preserve"> </w:t>
      </w:r>
      <w:r>
        <w:t xml:space="preserve">We then used</w:t>
      </w:r>
      <w:r>
        <w:t xml:space="preserve"> </w:t>
      </w:r>
      <w:r>
        <w:rPr>
          <w:i/>
        </w:rPr>
        <w:t xml:space="preserve">climwin</w:t>
      </w:r>
      <w:r>
        <w:t xml:space="preserve"> </w:t>
      </w:r>
      <w:r>
        <w:t xml:space="preserve">to identify the climate variables most strongly correlated to the residuals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specifying quadratic fits to allow for potential nonlinearities in the climate response.</w:t>
      </w:r>
      <w:r>
        <w:t xml:space="preserve"> </w:t>
      </w:r>
      <w:r>
        <w:t xml:space="preserve">Within</w:t>
      </w:r>
      <w:r>
        <w:t xml:space="preserve"> </w:t>
      </w:r>
      <w:r>
        <w:rPr>
          <w:i/>
        </w:rPr>
        <w:t xml:space="preserve">climwin</w:t>
      </w:r>
      <w:r>
        <w:t xml:space="preserve">, we specified a mixed effects model using species and core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32">
        <w:r>
          <w:rPr>
            <w:rStyle w:val="Hyperlink"/>
            <w:b/>
          </w:rPr>
          <w:t xml:space="preserve">ISSUE #51 in ForestGEO-climate-sensitivity</w:t>
        </w:r>
      </w:hyperlink>
      <w:r>
        <w:t xml:space="preserve">)</w:t>
      </w:r>
      <w:r>
        <w:t xml:space="preserve"> </w:t>
      </w:r>
      <w:r>
        <w:rPr>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(Pol et al., 2016)</w:t>
      </w:r>
      <w:r>
        <w:t xml:space="preserve">.</w:t>
      </w:r>
      <w:r>
        <w:t xml:space="preserve"> </w:t>
      </w:r>
      <w:r>
        <w:t xml:space="preserve">For each group of candidate climate variables, we move forward with the best variable over the time window identified by</w:t>
      </w:r>
      <w:r>
        <w:t xml:space="preserve"> </w:t>
      </w:r>
      <w:r>
        <w:rPr>
          <w:i/>
        </w:rPr>
        <w:t xml:space="preserve">climwin</w:t>
      </w:r>
      <w:r>
        <w:t xml:space="preserve"> </w:t>
      </w:r>
      <w:r>
        <w:t xml:space="preserve">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33">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t xml:space="preserve">We verified that this process identified similar climate variable-month combinations as what would be identified using traditional methods for individual species, as detailed in Appendix S2. (</w:t>
      </w:r>
      <w:hyperlink r:id="rId34">
        <w:r>
          <w:rPr>
            <w:rStyle w:val="Hyperlink"/>
            <w:b/>
          </w:rPr>
          <w:t xml:space="preserve">ISSUE #35 in ForestGEO-climate-sensitivity</w:t>
        </w:r>
      </w:hyperlink>
      <w:r>
        <w:t xml:space="preserve">)</w:t>
      </w:r>
    </w:p>
    <w:p>
      <w:pPr>
        <w:pStyle w:val="BodyText"/>
      </w:pPr>
      <w:r>
        <w:rPr>
          <w:i/>
        </w:rPr>
        <w:t xml:space="preserve">Combining drivers in GLS model</w:t>
      </w:r>
    </w:p>
    <w:p>
      <w:pPr>
        <w:pStyle w:val="BodyText"/>
      </w:pPr>
      <w:r>
        <w:t xml:space="preserve">Having identified candidate climate drivers in temperature and precipitation variable groups, we next combined climate variables (all models) and</w:t>
      </w:r>
      <w:r>
        <w:t xml:space="preserve"> </w:t>
      </w:r>
      <m:oMath>
        <m:r>
          <m:t>D</m:t>
        </m:r>
        <m:r>
          <m:t>B</m:t>
        </m:r>
        <m:r>
          <m:t>H</m:t>
        </m:r>
      </m:oMath>
      <w:r>
        <w:t xml:space="preserve"> </w:t>
      </w:r>
      <w:r>
        <w:t xml:space="preserve">(models with</w:t>
      </w:r>
      <w:r>
        <w:t xml:space="preserve"> </w:t>
      </w:r>
      <m:oMath>
        <m:r>
          <m:t>D</m:t>
        </m:r>
        <m:r>
          <m:t>B</m:t>
        </m:r>
        <m:r>
          <m:t>H</m:t>
        </m:r>
      </m:oMath>
      <w:r>
        <w:t xml:space="preserve"> </w:t>
      </w:r>
      <w:r>
        <w:t xml:space="preserve">and its climate interactions) in a generalized least squares (GLS) model (Fig.</w:t>
      </w:r>
      <w:r>
        <w:t xml:space="preserve"> </w:t>
      </w:r>
      <w:r>
        <w:rPr>
          <w:b/>
        </w:rPr>
        <w:t xml:space="preserve">1</w:t>
      </w:r>
      <w:r>
        <w:t xml:space="preserve">).</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(none required removal).</w:t>
      </w:r>
      <w:r>
        <w:t xml:space="preserve"> </w:t>
      </w:r>
      <w:r>
        <w:t xml:space="preserve">Within the GLS models, our response variables were</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Rather than detrending these variables to produce residuals, the temporal autocorrelation of individual tree’s growth was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independently, we ran every combination of the candidate climate variables and</w:t>
      </w:r>
      <w:r>
        <w:t xml:space="preserve"> </w:t>
      </w:r>
      <m:oMath>
        <m:r>
          <m:t>D</m:t>
        </m:r>
        <m:r>
          <m:t>B</m:t>
        </m:r>
        <m:r>
          <m:t>H</m:t>
        </m:r>
      </m:oMath>
      <w:r>
        <w:t xml:space="preserve">, including both first- and second-order terms of polynomial for each.</w:t>
      </w:r>
      <w:r>
        <w:t xml:space="preserve"> </w:t>
      </w:r>
      <w:r>
        <w:t xml:space="preserve">For models including interactive effects of climate and</w:t>
      </w:r>
      <w:r>
        <w:t xml:space="preserve"> </w:t>
      </w:r>
      <m:oMath>
        <m:r>
          <m:t>D</m:t>
        </m:r>
        <m:r>
          <m:t>B</m:t>
        </m:r>
        <m:r>
          <m:t>H</m:t>
        </m:r>
      </m:oMath>
      <w:r>
        <w:t xml:space="preserve">, we included only first-order linear terms for both</w:t>
      </w:r>
      <w:r>
        <w:t xml:space="preserve"> </w:t>
      </w:r>
      <m:oMath>
        <m:r>
          <m:t>D</m:t>
        </m:r>
        <m:r>
          <m:t>B</m:t>
        </m:r>
        <m:r>
          <m:t>H</m:t>
        </m:r>
      </m:oMath>
      <w:r>
        <w:t xml:space="preserve"> </w:t>
      </w:r>
      <w:r>
        <w:t xml:space="preserve">and climate variables. (</w:t>
      </w:r>
      <w:hyperlink r:id="rId35">
        <w:r>
          <w:rPr>
            <w:rStyle w:val="Hyperlink"/>
            <w:i/>
          </w:rPr>
          <w:t xml:space="preserve">ISSUE #42 in ForestGEO-climate-sensitivity</w:t>
        </w:r>
      </w:hyperlink>
      <w:r>
        <w:t xml:space="preserve">)</w:t>
      </w:r>
      <w:r>
        <w:t xml:space="preserve"> </w:t>
      </w:r>
      <w:r>
        <w:t xml:space="preserve">Within each of three categories of models run (climate only,</w:t>
      </w:r>
      <w:r>
        <w:t xml:space="preserve"> </w:t>
      </w:r>
      <m:oMath>
        <m:r>
          <m:t>D</m:t>
        </m:r>
        <m:r>
          <m:t>B</m:t>
        </m:r>
        <m:r>
          <m:t>H</m:t>
        </m:r>
      </m:oMath>
      <w:r>
        <w:t xml:space="preserve">+climate,</w:t>
      </w:r>
      <w:r>
        <w:t xml:space="preserve"> </w:t>
      </w:r>
      <m:oMath>
        <m:r>
          <m:t>D</m:t>
        </m:r>
        <m:r>
          <m:t>B</m:t>
        </m:r>
        <m:r>
          <m:t>H</m:t>
        </m:r>
      </m:oMath>
      <w:r>
        <w:t xml:space="preserve"> </w:t>
      </w:r>
      <w:r>
        <w:t xml:space="preserve">x climate), we selected as the top model that with the lowest AIC.</w:t>
      </w:r>
    </w:p>
    <w:p>
      <w:pPr>
        <w:pStyle w:val="BodyText"/>
      </w:pPr>
      <w:r>
        <w:t xml:space="preserve">The top model was used to visualize the effects of each variables while the others are kept constant at the median in the various figures of this manuscript.</w:t>
      </w:r>
      <w:r>
        <w:t xml:space="preserve"> </w:t>
      </w:r>
      <w:r>
        <w:t xml:space="preserve">For these visualizing tools, we also fetched the t-test’s p-value for each term of the model and represented the significance using different line types.</w:t>
      </w:r>
      <w:r>
        <w:t xml:space="preserve"> </w:t>
      </w:r>
      <w:r>
        <w:t xml:space="preserve">Model predictions represented were back-transformed to show the effect on the original scale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BodyText"/>
      </w:pPr>
      <w:r>
        <w:rPr>
          <w:i/>
        </w:rPr>
        <w:t xml:space="preserve">Data and code availability</w:t>
      </w:r>
    </w:p>
    <w:p>
      <w:pPr>
        <w:pStyle w:val="BodyText"/>
      </w:pPr>
      <w:r>
        <w:rPr>
          <w:i/>
        </w:rPr>
        <w:t xml:space="preserve">Data</w:t>
      </w:r>
      <w:r>
        <w:t xml:space="preserve">, code, and full results are available via the project repository in GitHub (github.com/EcoClimLab/ForestGEO-climate-sensitivity) and archived in Zenodo (DOI: TBD) .</w:t>
      </w:r>
      <w:r>
        <w:t xml:space="preserve"> </w:t>
      </w:r>
      <w:r>
        <w:t xml:space="preserve">Data for # of the sites are archived in the The DendroEcological Network (DEN) database</w:t>
      </w:r>
      <w:r>
        <w:t xml:space="preserve"> </w:t>
      </w:r>
      <w:r>
        <w:t xml:space="preserve">(Rayback et al., 2020)</w:t>
      </w:r>
      <w:r>
        <w:t xml:space="preserve">.</w:t>
      </w:r>
    </w:p>
    <w:p>
      <w:pPr>
        <w:pStyle w:val="Heading3"/>
      </w:pPr>
      <w:bookmarkStart w:id="36" w:name="results"/>
      <w:r>
        <w:t xml:space="preserve">Results</w:t>
      </w:r>
      <w:bookmarkEnd w:id="36"/>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S1</w:t>
      </w:r>
      <w:r>
        <w:rPr>
          <w:b/>
        </w:rPr>
        <w:t xml:space="preserve">; Table S5; Appendix S2), but with the advantage that</w:t>
      </w:r>
      <w:r>
        <w:rPr>
          <w:b/>
        </w:rPr>
        <w:t xml:space="preserve"> </w:t>
      </w:r>
      <w:r>
        <w:rPr>
          <w:i/>
          <w:b/>
        </w:rPr>
        <w:t xml:space="preserve">climwin</w:t>
      </w:r>
      <w:r>
        <w:rPr>
          <w:b/>
        </w:rPr>
        <w:t xml:space="preserve"> </w:t>
      </w:r>
      <w:r>
        <w:rPr>
          <w:b/>
        </w:rPr>
        <w:t xml:space="preserve">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(PRE) was identified as the top variable most frequently (n=</w:t>
      </w:r>
      <w:r>
        <w:rPr>
          <w:i/>
        </w:rPr>
        <w:t xml:space="preserve">6 of 9</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m:oMath>
        <m:r>
          <m:t>≤</m:t>
        </m:r>
      </m:oMath>
      <w:r>
        <w:t xml:space="preserve">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Žofín),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26670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w:t>
      </w:r>
      <m:oMath>
        <m:r>
          <m:t>P</m:t>
        </m:r>
        <m:r>
          <m:t>E</m:t>
        </m:r>
        <m:r>
          <m:t>T</m:t>
        </m:r>
      </m:oMath>
      <w:r>
        <w:t xml:space="preserve">). Panel (</w:t>
      </w:r>
      <w:r>
        <w:rPr>
          <w:b/>
        </w:rPr>
        <w:t xml:space="preserve">a</w:t>
      </w:r>
      <w:r>
        <w:t xml:space="preserve">) shows a matrix of Pearson correlations between ring-width index and monthly climate variables. Black rectangle represents the period selected by</w:t>
      </w:r>
      <w:r>
        <w:t xml:space="preserve"> </w:t>
      </w:r>
      <w:r>
        <w:rPr>
          <w:i/>
        </w:rPr>
        <w:t xml:space="preserve">climwin</w:t>
      </w:r>
      <w:r>
        <w:t xml:space="preserve"> </w:t>
      </w:r>
      <w:r>
        <w:t xml:space="preserve">as the most influential window.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of variables that had only weak effects and mixed responses among species in the final models (temperature variable group at BCI, precipitation variable group at HF; Figs.</w:t>
      </w:r>
      <w:r>
        <w:t xml:space="preserve"> </w:t>
      </w:r>
      <w:r>
        <w:rPr>
          <w:b/>
        </w:rPr>
        <w:t xml:space="preserve">3, S5, S11</w:t>
      </w:r>
      <w:r>
        <w:t xml:space="preserve">),</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CaptionedFigure"/>
      </w:pPr>
      <w:r>
        <w:drawing>
          <wp:inline>
            <wp:extent cx="5334000" cy="6667499"/>
            <wp:effectExtent b="0" l="0" r="0" t="0"/>
            <wp:docPr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ificant,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8"/>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of</w:t>
      </w:r>
      <w:r>
        <w:rPr>
          <w:b/>
        </w:rPr>
        <w:t xml:space="preserve"> </w:t>
      </w:r>
      <m:oMath>
        <m:r>
          <m:t>Δ</m:t>
        </m:r>
        <m:r>
          <m:t>r</m:t>
        </m:r>
      </m:oMath>
      <w:r>
        <w:rPr>
          <w:b/>
        </w:rPr>
        <w:t xml:space="preserve"> </w:t>
      </w:r>
      <w:r>
        <w:rPr>
          <w:b/>
        </w:rPr>
        <w:t xml:space="preserve">to climwin-selected variables in precipitation and temperature variable groups.</w:t>
      </w:r>
      <w:r>
        <w:t xml:space="preserve"> </w:t>
      </w:r>
      <w:r>
        <w:t xml:space="preserve">For each species (color-coded as in Fig. 4), relationships are plotted if included in top model. Best-fit polynomials are plotted with solid lines when both first- and second-order terms are significant,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3">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Žofín)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334000" cy="6667499"/>
            <wp:effectExtent b="0" l="0" r="0" t="0"/>
            <wp:docPr descr="Figure 4 | Growth sensitivity to DBH: (a) \Delta r, (b) BAI, (c) \Delta AGB. Relationships for species are plotted when included in the top model. Best-fit polynomials are plotted with solid lines when both first- and second-order terms are significant,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9"/>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plotted when included in the top model. Best-fit polynomials are plotted with solid lines when both first- and second-order terms are significant, DASHED lines when only one term is significant, and dotted lines when neither is significant. Transparent ribbons indicate 95% confidence intervals.</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Δ</m:t>
        </m:r>
        <m:r>
          <m:t>r</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334000" cy="4267200"/>
            <wp:effectExtent b="0" l="0" r="0" t="0"/>
            <wp:docPr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S6).</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S6).</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5">
        <w:r>
          <w:rPr>
            <w:rStyle w:val="Hyperlink"/>
            <w:i/>
          </w:rPr>
          <w:t xml:space="preserve">ISSUE #42 in ForestGEO-climate-sensitivity</w:t>
        </w:r>
      </w:hyperlink>
      <w:r>
        <w:t xml:space="preserve">)</w:t>
      </w:r>
    </w:p>
    <w:p>
      <w:pPr>
        <w:pStyle w:val="Heading3"/>
      </w:pPr>
      <w:bookmarkStart w:id="41" w:name="discussion"/>
      <w:r>
        <w:t xml:space="preserve">Discussion</w:t>
      </w:r>
      <w:bookmarkEnd w:id="41"/>
    </w:p>
    <w:p>
      <w:pPr>
        <w:pStyle w:val="FirstParagraph"/>
      </w:pPr>
      <w:r>
        <w:rPr>
          <w:i/>
        </w:rPr>
        <w:t xml:space="preserve">NOTE TO COAUTHORS: The discussion in particular is still very rough. I’d appreciate feedback on what points to emphasize here.</w:t>
      </w:r>
    </w:p>
    <w:p>
      <w:pPr>
        <w:pStyle w:val="BodyText"/>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numId w:val="1003"/>
          <w:ilvl w:val="0"/>
        </w:numPr>
      </w:pPr>
      <w:r>
        <w:t xml:space="preserve">trees tend to be sensitive to water over longer time scales (makes sense– lags caused by soil moisture storage)</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prevalent and should not be overlooked</w:t>
      </w:r>
    </w:p>
    <w:p>
      <w:pPr>
        <w:numPr>
          <w:numId w:val="1003"/>
          <w:ilvl w:val="0"/>
        </w:numPr>
      </w:pPr>
      <w:r>
        <w:t xml:space="preserve">nonlinear effects are prevalent</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Žofín)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Sheil et al. 2017</w:t>
      </w:r>
      <w:r>
        <w:rPr>
          <w:i/>
        </w:rPr>
        <w:t xml:space="preserve"> </w:t>
      </w:r>
      <w:hyperlink r:id="rId42">
        <w:r>
          <w:rPr>
            <w:rStyle w:val="Hyperlink"/>
            <w:i/>
          </w:rPr>
          <w:t xml:space="preserve">Clark et al. 2007?</w:t>
        </w:r>
      </w:hyperlink>
      <w:r>
        <w:rPr>
          <w:i/>
        </w:rPr>
        <w:t xml:space="preserve">;</w:t>
      </w:r>
      <w:r>
        <w:rPr>
          <w:i/>
        </w:rPr>
        <w:t xml:space="preserve"> </w:t>
      </w:r>
      <w:hyperlink r:id="rId43">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sulfur dioxide (SO</w:t>
      </w:r>
      <w:r>
        <w:rPr>
          <w:vertAlign w:val="subscript"/>
          <w:b/>
        </w:rPr>
        <w:t xml:space="preserve">2</w:t>
      </w:r>
      <w:r>
        <w:rPr>
          <w:b/>
        </w:rPr>
        <w:t xml:space="preserve">) and nitrogen oxides (NO</w:t>
      </w:r>
      <w:r>
        <w:rPr>
          <w:vertAlign w:val="subscript"/>
          <w:b/>
        </w:rPr>
        <w:t xml:space="preserve">x</w:t>
      </w:r>
      <w:r>
        <w:rPr>
          <w:b/>
        </w:rPr>
        <w:t xml:space="preserve">)</w:t>
      </w:r>
      <w:r>
        <w:rPr>
          <w:b/>
        </w:rPr>
        <w:t xml:space="preserve"> </w:t>
      </w:r>
      <w:r>
        <w:rPr>
          <w:b/>
        </w:rPr>
        <w:t xml:space="preserve">(e.g., Mathias &amp; Thomas, 2018)</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w:t>
      </w:r>
      <w:r>
        <w:t xml:space="preserve"> </w:t>
      </w:r>
      <w:r>
        <w:rPr>
          <w:b/>
        </w:rPr>
        <w:t xml:space="preserve">4</w:t>
      </w:r>
      <w:r>
        <w:t xml:space="preserve">) imply that two of the most commonly used growth-trend detection methods, conservative detrending and basal area correction</w:t>
      </w:r>
      <w:r>
        <w:t xml:space="preserve"> </w:t>
      </w:r>
      <w:r>
        <w:t xml:space="preserve">(see Peters, Groenendijk, Vlam, &amp; Zuidema, 2015)</w:t>
      </w:r>
      <w:r>
        <w:t xml:space="preserve">, 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pattern–an increase to a peak at intermediate sizes, followed by decrease–would imply that the basal area correction is most commonly biased towards finding positive trends for smaller trees and negative trends for larger trees.</w:t>
      </w:r>
      <w:r>
        <w:t xml:space="preserve"> </w:t>
      </w:r>
      <w:r>
        <w:t xml:space="preserve">It is therefore not surprising that tree-ring studies examining the impact of rising CO</w:t>
      </w:r>
      <w:r>
        <w:rPr>
          <w:vertAlign w:val="subscript"/>
        </w:rPr>
        <w:t xml:space="preserve">2</w:t>
      </w:r>
      <w:r>
        <w:t xml:space="preserve"> </w:t>
      </w:r>
      <w:r>
        <w:t xml:space="preserve">on long-term growth growth trends reach inconsistent conclusions</w:t>
      </w:r>
      <w:r>
        <w:t xml:space="preserve"> </w:t>
      </w:r>
      <w:r>
        <w:t xml:space="preserve">(Walker et al., n.d.)</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n.d.)</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rPr>
          <w:i/>
        </w:rPr>
        <w:t xml:space="preserve">(Indeed, this is probably one factor contributing to the non-stationarity of climate signals in tree-ring records</w:t>
      </w:r>
      <w:r>
        <w:rPr>
          <w:i/>
        </w:rPr>
        <w:t xml:space="preserve"> </w:t>
      </w:r>
      <w:r>
        <w:rPr>
          <w:i/>
        </w:rPr>
        <w:t xml:space="preserve">(Wilmking et al., 2020)</w:t>
      </w:r>
      <w:r>
        <w:rPr>
          <w:i/>
        </w:rPr>
        <w:t xml:space="preserve">.)</w:t>
      </w:r>
      <w:r>
        <w:t xml:space="preserve"> </w:t>
      </w:r>
      <w:r>
        <w:rPr>
          <w:i/>
        </w:rPr>
        <w:t xml:space="preserve">( Interactive effects of DBH and climate may suggest significant impact of different sampling strategy on results per individual site. – e.g., stronger drought signal if just large trees are sampled. This is consistent with the dendro tradition of sampling canopy trees for strongest drought signals; however, our results suggest that temperature signals may be stronger in young trees. )</w:t>
      </w:r>
      <w:r>
        <w:t xml:space="preserve"> </w:t>
      </w:r>
      <w:r>
        <w:rPr>
          <w:i/>
        </w:rPr>
        <w:t xml:space="preserve">(height vs exposure/ social status of trees)</w:t>
      </w:r>
    </w:p>
    <w:p>
      <w:pPr>
        <w:pStyle w:val="BodyText"/>
      </w:pPr>
      <w:r>
        <w:rPr>
          <w:i/>
        </w:rPr>
        <w:t xml:space="preserve">Recommendations</w:t>
      </w:r>
    </w:p>
    <w:p>
      <w:pPr>
        <w:pStyle w:val="BodyText"/>
      </w:pPr>
      <w:r>
        <w:t xml:space="preserve">Need to record/ preserve DBH. 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t xml:space="preserve">Also need to record canopy positions.</w:t>
      </w:r>
    </w:p>
    <w:p>
      <w:pPr>
        <w:pStyle w:val="BodyText"/>
      </w:pPr>
      <w:r>
        <w:t xml:space="preserve">Sampling small trees should be important for disentangling whether non-stationarity of climate signals is a size artifact or driven by something else, may also be better for resolving temperature signals.</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4" w:name="acknowledgements"/>
      <w:r>
        <w:t xml:space="preserve">Acknowledgements</w:t>
      </w:r>
      <w:bookmarkEnd w:id="44"/>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r>
        <w:t xml:space="preserve"> </w:t>
      </w:r>
      <w:r>
        <w:t xml:space="preserve">The participation of PS, JK, and IV from the Czech Republic was supported by the Czech Science Foundation, project No. 19-09427S</w:t>
      </w:r>
    </w:p>
    <w:p>
      <w:pPr>
        <w:pStyle w:val="Heading3"/>
      </w:pPr>
      <w:bookmarkStart w:id="45" w:name="authors-contributions"/>
      <w:r>
        <w:t xml:space="preserve">Authors’ contributions</w:t>
      </w:r>
      <w:bookmarkEnd w:id="45"/>
    </w:p>
    <w:p>
      <w:pPr>
        <w:pStyle w:val="FirstParagraph"/>
      </w:pPr>
      <w:r>
        <w:t xml:space="preserve">KAT, VH, CR, RA, CP conceived the ideas and designed methodology;</w:t>
      </w:r>
      <w:r>
        <w:t xml:space="preserve"> </w:t>
      </w:r>
      <w:r>
        <w:t xml:space="preserve">[most authors] collected the data;</w:t>
      </w:r>
      <w:r>
        <w:t xml:space="preserve"> </w:t>
      </w:r>
      <w:r>
        <w:t xml:space="preserve">VH, BG, EGA,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p>
      <w:pPr>
        <w:pStyle w:val="Heading3"/>
      </w:pPr>
      <w:bookmarkStart w:id="46" w:name="references"/>
      <w:r>
        <w:t xml:space="preserve">References</w:t>
      </w:r>
      <w:bookmarkEnd w:id="46"/>
    </w:p>
    <w:bookmarkStart w:id="130" w:name="refs"/>
    <w:bookmarkStart w:id="48"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7">
        <w:r>
          <w:rPr>
            <w:rStyle w:val="Hyperlink"/>
          </w:rPr>
          <w:t xml:space="preserve">10.1007/s00442-017-3879-3</w:t>
        </w:r>
      </w:hyperlink>
    </w:p>
    <w:bookmarkEnd w:id="48"/>
    <w:bookmarkStart w:id="50"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9">
        <w:r>
          <w:rPr>
            <w:rStyle w:val="Hyperlink"/>
          </w:rPr>
          <w:t xml:space="preserve">10.5281/ZENODO.3958216</w:t>
        </w:r>
      </w:hyperlink>
    </w:p>
    <w:bookmarkEnd w:id="50"/>
    <w:bookmarkStart w:id="52"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51">
        <w:r>
          <w:rPr>
            <w:rStyle w:val="Hyperlink"/>
          </w:rPr>
          <w:t xml:space="preserve">10.1111/gcb.12712</w:t>
        </w:r>
      </w:hyperlink>
    </w:p>
    <w:bookmarkEnd w:id="52"/>
    <w:bookmarkStart w:id="54"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53">
        <w:r>
          <w:rPr>
            <w:rStyle w:val="Hyperlink"/>
          </w:rPr>
          <w:t xml:space="preserve">10.1111/1365-2435.12470</w:t>
        </w:r>
      </w:hyperlink>
    </w:p>
    <w:bookmarkEnd w:id="54"/>
    <w:bookmarkStart w:id="56" w:name="ref-aus_de_ar_tree_2018"/>
    <w:p>
      <w:pPr>
        <w:pStyle w:val="Bibliography"/>
      </w:pPr>
      <w:r>
        <w:t xml:space="preserve">Aus de Ar, R. (2018). Tree Rings of Pinus ponderosa and Juniperus virginiana Show Different Responses to Stand Density and Water Availability in the Nebraska Grasslands.</w:t>
      </w:r>
      <w:r>
        <w:t xml:space="preserve"> </w:t>
      </w:r>
      <w:r>
        <w:rPr>
          <w:i/>
        </w:rPr>
        <w:t xml:space="preserve">The American Midland Naturalist</w:t>
      </w:r>
      <w:r>
        <w:t xml:space="preserve">,</w:t>
      </w:r>
      <w:r>
        <w:t xml:space="preserve"> </w:t>
      </w:r>
      <w:r>
        <w:rPr>
          <w:i/>
        </w:rPr>
        <w:t xml:space="preserve">180</w:t>
      </w:r>
      <w:r>
        <w:t xml:space="preserve">(1), 18. doi:</w:t>
      </w:r>
      <w:hyperlink r:id="rId55">
        <w:r>
          <w:rPr>
            <w:rStyle w:val="Hyperlink"/>
          </w:rPr>
          <w:t xml:space="preserve">10.1674/0003-0031-180.1.18</w:t>
        </w:r>
      </w:hyperlink>
    </w:p>
    <w:bookmarkEnd w:id="56"/>
    <w:bookmarkStart w:id="58"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7">
        <w:r>
          <w:rPr>
            <w:rStyle w:val="Hyperlink"/>
          </w:rPr>
          <w:t xml:space="preserve">10.1017/S0266467406003312</w:t>
        </w:r>
      </w:hyperlink>
    </w:p>
    <w:bookmarkEnd w:id="58"/>
    <w:bookmarkStart w:id="59"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9"/>
    <w:bookmarkStart w:id="61"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60">
        <w:r>
          <w:rPr>
            <w:rStyle w:val="Hyperlink"/>
          </w:rPr>
          <w:t xml:space="preserve">10.1038/nplants.2015.139</w:t>
        </w:r>
      </w:hyperlink>
    </w:p>
    <w:bookmarkEnd w:id="61"/>
    <w:bookmarkStart w:id="63"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62">
        <w:r>
          <w:rPr>
            <w:rStyle w:val="Hyperlink"/>
          </w:rPr>
          <w:t xml:space="preserve">10.1890/03-9000</w:t>
        </w:r>
      </w:hyperlink>
    </w:p>
    <w:bookmarkEnd w:id="63"/>
    <w:bookmarkStart w:id="65" w:name="ref-bumann_assessing_2019"/>
    <w:p>
      <w:pPr>
        <w:pStyle w:val="Bibliography"/>
      </w:pPr>
      <w:r>
        <w:t xml:space="preserve">Bumann, E., Awada, T., Wardlow, B., Hayes, M., Okalebo, J., Helzer, C., … Cherubini, P. (2019). Assessing responses of</w:t>
      </w:r>
      <w:r>
        <w:t xml:space="preserve"> </w:t>
      </w:r>
      <w:r>
        <w:rPr>
          <w:i/>
        </w:rPr>
        <w:t xml:space="preserve">Betula papyrifera</w:t>
      </w:r>
      <w:r>
        <w:t xml:space="preserve"> </w:t>
      </w:r>
      <w:r>
        <w:t xml:space="preserve">to climate variability in a remnant population along the Niobrara River Valley in Nebraska, U.S.A., Through dendroecological and remote-sensing techniques.</w:t>
      </w:r>
      <w:r>
        <w:t xml:space="preserve"> </w:t>
      </w:r>
      <w:r>
        <w:rPr>
          <w:i/>
        </w:rPr>
        <w:t xml:space="preserve">Canadian Journal of Forest Research</w:t>
      </w:r>
      <w:r>
        <w:t xml:space="preserve">,</w:t>
      </w:r>
      <w:r>
        <w:t xml:space="preserve"> </w:t>
      </w:r>
      <w:r>
        <w:rPr>
          <w:i/>
        </w:rPr>
        <w:t xml:space="preserve">49</w:t>
      </w:r>
      <w:r>
        <w:t xml:space="preserve">(5), 423–433. doi:</w:t>
      </w:r>
      <w:hyperlink r:id="rId64">
        <w:r>
          <w:rPr>
            <w:rStyle w:val="Hyperlink"/>
          </w:rPr>
          <w:t xml:space="preserve">10.1139/cjfr-2018-0206</w:t>
        </w:r>
      </w:hyperlink>
    </w:p>
    <w:bookmarkEnd w:id="65"/>
    <w:bookmarkStart w:id="67"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66">
        <w:r>
          <w:rPr>
            <w:rStyle w:val="Hyperlink"/>
          </w:rPr>
          <w:t xml:space="preserve">10.1111/gcb.13535</w:t>
        </w:r>
      </w:hyperlink>
    </w:p>
    <w:bookmarkEnd w:id="67"/>
    <w:bookmarkStart w:id="69"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8">
        <w:r>
          <w:rPr>
            <w:rStyle w:val="Hyperlink"/>
          </w:rPr>
          <w:t xml:space="preserve">10.1111/ele.12650</w:t>
        </w:r>
      </w:hyperlink>
    </w:p>
    <w:bookmarkEnd w:id="69"/>
    <w:bookmarkStart w:id="71" w:name="ref-desoto_low_2020"/>
    <w:p>
      <w:pPr>
        <w:pStyle w:val="Bibliography"/>
      </w:pPr>
      <w:r>
        <w:t xml:space="preserve">DeSoto, L., Cailleret, M., Sterck, F., Jansen, S., Kramer, K., Robert, E. M. R., … Martínez-Vilalta, J. (2020). Low growth resilience to drought is related to future mortality risk in trees.</w:t>
      </w:r>
      <w:r>
        <w:t xml:space="preserve"> </w:t>
      </w:r>
      <w:r>
        <w:rPr>
          <w:i/>
        </w:rPr>
        <w:t xml:space="preserve">Nature Communications</w:t>
      </w:r>
      <w:r>
        <w:t xml:space="preserve">,</w:t>
      </w:r>
      <w:r>
        <w:t xml:space="preserve"> </w:t>
      </w:r>
      <w:r>
        <w:rPr>
          <w:i/>
        </w:rPr>
        <w:t xml:space="preserve">11</w:t>
      </w:r>
      <w:r>
        <w:t xml:space="preserve">(1). doi:</w:t>
      </w:r>
      <w:hyperlink r:id="rId70">
        <w:r>
          <w:rPr>
            <w:rStyle w:val="Hyperlink"/>
          </w:rPr>
          <w:t xml:space="preserve">10.1038/s41467-020-14300-5</w:t>
        </w:r>
      </w:hyperlink>
    </w:p>
    <w:bookmarkEnd w:id="71"/>
    <w:bookmarkStart w:id="73"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72">
        <w:r>
          <w:rPr>
            <w:rStyle w:val="Hyperlink"/>
          </w:rPr>
          <w:t xml:space="preserve">10.1111/gcb.13208</w:t>
        </w:r>
      </w:hyperlink>
    </w:p>
    <w:bookmarkEnd w:id="73"/>
    <w:bookmarkStart w:id="75"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74">
        <w:r>
          <w:rPr>
            <w:rStyle w:val="Hyperlink"/>
          </w:rPr>
          <w:t xml:space="preserve">10.1175/JCLI3800.1</w:t>
        </w:r>
      </w:hyperlink>
    </w:p>
    <w:bookmarkEnd w:id="75"/>
    <w:bookmarkStart w:id="77"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76">
        <w:r>
          <w:rPr>
            <w:rStyle w:val="Hyperlink"/>
          </w:rPr>
          <w:t xml:space="preserve">10.2307/1937545</w:t>
        </w:r>
      </w:hyperlink>
    </w:p>
    <w:bookmarkEnd w:id="77"/>
    <w:bookmarkStart w:id="79"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78">
        <w:r>
          <w:rPr>
            <w:rStyle w:val="Hyperlink"/>
          </w:rPr>
          <w:t xml:space="preserve">10.1002/joc.3711</w:t>
        </w:r>
      </w:hyperlink>
    </w:p>
    <w:bookmarkEnd w:id="79"/>
    <w:bookmarkStart w:id="81"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80">
        <w:r>
          <w:rPr>
            <w:rStyle w:val="Hyperlink"/>
          </w:rPr>
          <w:t xml:space="preserve">10.1038/s41597-020-0453-3</w:t>
        </w:r>
      </w:hyperlink>
    </w:p>
    <w:bookmarkEnd w:id="81"/>
    <w:bookmarkStart w:id="83"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82">
        <w:r>
          <w:rPr>
            <w:rStyle w:val="Hyperlink"/>
          </w:rPr>
          <w:t xml:space="preserve">10.1111/nph.15906</w:t>
        </w:r>
      </w:hyperlink>
    </w:p>
    <w:bookmarkEnd w:id="83"/>
    <w:bookmarkStart w:id="84" w:name="ref-kaspar_species-specific_nodate"/>
    <w:p>
      <w:pPr>
        <w:pStyle w:val="Bibliography"/>
      </w:pPr>
      <w:r>
        <w:t xml:space="preserve">Kašpar, K., Tumajer, J., Vašíčková, I., &amp; Šamonil, P. (n.d.). Species-specific climate-growth interactions determine the future tree species dynamics of the mixed Central European mountain forests.</w:t>
      </w:r>
    </w:p>
    <w:bookmarkEnd w:id="84"/>
    <w:bookmarkStart w:id="86"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85">
        <w:r>
          <w:rPr>
            <w:rStyle w:val="Hyperlink"/>
          </w:rPr>
          <w:t xml:space="preserve">10.1038/s41467-018-07800-y</w:t>
        </w:r>
      </w:hyperlink>
    </w:p>
    <w:bookmarkEnd w:id="86"/>
    <w:bookmarkStart w:id="88"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87">
        <w:r>
          <w:rPr>
            <w:rStyle w:val="Hyperlink"/>
          </w:rPr>
          <w:t xml:space="preserve">10.1111/nph.15668</w:t>
        </w:r>
      </w:hyperlink>
    </w:p>
    <w:bookmarkEnd w:id="88"/>
    <w:bookmarkStart w:id="90"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89">
        <w:r>
          <w:rPr>
            <w:rStyle w:val="Hyperlink"/>
          </w:rPr>
          <w:t xml:space="preserve">10.1111/gcb.14273</w:t>
        </w:r>
      </w:hyperlink>
    </w:p>
    <w:bookmarkEnd w:id="90"/>
    <w:bookmarkStart w:id="92"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91">
        <w:r>
          <w:rPr>
            <w:rStyle w:val="Hyperlink"/>
          </w:rPr>
          <w:t xml:space="preserve">10.1007/s10584-016-1720-3</w:t>
        </w:r>
      </w:hyperlink>
    </w:p>
    <w:bookmarkEnd w:id="92"/>
    <w:bookmarkStart w:id="94"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93">
        <w:r>
          <w:rPr>
            <w:rStyle w:val="Hyperlink"/>
          </w:rPr>
          <w:t xml:space="preserve">10.1126/science.aaz9463</w:t>
        </w:r>
      </w:hyperlink>
    </w:p>
    <w:bookmarkEnd w:id="94"/>
    <w:bookmarkStart w:id="95"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95"/>
    <w:bookmarkStart w:id="97"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96">
        <w:r>
          <w:rPr>
            <w:rStyle w:val="Hyperlink"/>
          </w:rPr>
          <w:t xml:space="preserve">http://www.blackwell-synergy.com/doi/abs/10.1111/j.1461-0248.2006.00904.x</w:t>
        </w:r>
      </w:hyperlink>
    </w:p>
    <w:bookmarkEnd w:id="97"/>
    <w:bookmarkStart w:id="99" w:name="ref-paton_barro_2019"/>
    <w:p>
      <w:pPr>
        <w:pStyle w:val="Bibliography"/>
      </w:pPr>
      <w:r>
        <w:t xml:space="preserve">Paton, S. (2019). Barro Colorado Island, Clearing_Precipitation, manual. doi:</w:t>
      </w:r>
      <w:hyperlink r:id="rId98">
        <w:r>
          <w:rPr>
            <w:rStyle w:val="Hyperlink"/>
          </w:rPr>
          <w:t xml:space="preserve">10.25573/data.10042502.v3</w:t>
        </w:r>
      </w:hyperlink>
    </w:p>
    <w:bookmarkEnd w:id="99"/>
    <w:bookmarkStart w:id="101"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100">
        <w:r>
          <w:rPr>
            <w:rStyle w:val="Hyperlink"/>
          </w:rPr>
          <w:t xml:space="preserve">10.1111/gcb.12826</w:t>
        </w:r>
      </w:hyperlink>
    </w:p>
    <w:bookmarkEnd w:id="101"/>
    <w:bookmarkStart w:id="103"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102">
        <w:r>
          <w:rPr>
            <w:rStyle w:val="Hyperlink"/>
          </w:rPr>
          <w:t xml:space="preserve">10.1111/2041-210X.12590</w:t>
        </w:r>
      </w:hyperlink>
    </w:p>
    <w:bookmarkEnd w:id="103"/>
    <w:bookmarkStart w:id="105"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104">
        <w:r>
          <w:rPr>
            <w:rStyle w:val="Hyperlink"/>
          </w:rPr>
          <w:t xml:space="preserve">10.1016/j.dendro.2020.125678</w:t>
        </w:r>
      </w:hyperlink>
    </w:p>
    <w:bookmarkEnd w:id="105"/>
    <w:bookmarkStart w:id="107"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106">
        <w:r>
          <w:rPr>
            <w:rStyle w:val="Hyperlink"/>
          </w:rPr>
          <w:t xml:space="preserve">10.1111/2041-210X.12753</w:t>
        </w:r>
      </w:hyperlink>
    </w:p>
    <w:bookmarkEnd w:id="107"/>
    <w:bookmarkStart w:id="109"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108">
        <w:r>
          <w:rPr>
            <w:rStyle w:val="Hyperlink"/>
          </w:rPr>
          <w:t xml:space="preserve">10.1002/2016JG003528</w:t>
        </w:r>
      </w:hyperlink>
    </w:p>
    <w:bookmarkEnd w:id="109"/>
    <w:bookmarkStart w:id="111"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110">
        <w:r>
          <w:rPr>
            <w:rStyle w:val="Hyperlink"/>
          </w:rPr>
          <w:t xml:space="preserve">10.1038/nature12914</w:t>
        </w:r>
      </w:hyperlink>
    </w:p>
    <w:bookmarkEnd w:id="111"/>
    <w:bookmarkStart w:id="113"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12">
        <w:r>
          <w:rPr>
            <w:rStyle w:val="Hyperlink"/>
          </w:rPr>
          <w:t xml:space="preserve">10.1126/science.aaw7578</w:t>
        </w:r>
      </w:hyperlink>
    </w:p>
    <w:bookmarkEnd w:id="113"/>
    <w:bookmarkStart w:id="115" w:name="ref-samonil_individual-based_2013"/>
    <w:p>
      <w:pPr>
        <w:pStyle w:val="Bibliography"/>
      </w:pPr>
      <w:r>
        <w:t xml:space="preserve">Šamonil, P., Doleželová, P., Vašíčková, I., Adam, D., Valtera, M., Král, K., … Šebková, B. (2013). Individual-based approach to the detection of disturbance history through spatial scales in a natural beech-dominated forest.</w:t>
      </w:r>
      <w:r>
        <w:t xml:space="preserve"> </w:t>
      </w:r>
      <w:r>
        <w:rPr>
          <w:i/>
        </w:rPr>
        <w:t xml:space="preserve">Journal of Vegetation Science</w:t>
      </w:r>
      <w:r>
        <w:t xml:space="preserve">,</w:t>
      </w:r>
      <w:r>
        <w:t xml:space="preserve"> </w:t>
      </w:r>
      <w:r>
        <w:rPr>
          <w:i/>
        </w:rPr>
        <w:t xml:space="preserve">24</w:t>
      </w:r>
      <w:r>
        <w:t xml:space="preserve">(6), 1167–1184. doi:</w:t>
      </w:r>
      <w:hyperlink r:id="rId114">
        <w:r>
          <w:rPr>
            <w:rStyle w:val="Hyperlink"/>
          </w:rPr>
          <w:t xml:space="preserve">10.1111/jvs.12025</w:t>
        </w:r>
      </w:hyperlink>
    </w:p>
    <w:bookmarkEnd w:id="115"/>
    <w:bookmarkStart w:id="117"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16">
        <w:r>
          <w:rPr>
            <w:rStyle w:val="Hyperlink"/>
          </w:rPr>
          <w:t xml:space="preserve">10.1016/j.agrformet.2017.08.007</w:t>
        </w:r>
      </w:hyperlink>
    </w:p>
    <w:bookmarkEnd w:id="117"/>
    <w:bookmarkStart w:id="119"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18">
        <w:r>
          <w:rPr>
            <w:rStyle w:val="Hyperlink"/>
          </w:rPr>
          <w:t xml:space="preserve">10.1111/gcb.14120</w:t>
        </w:r>
      </w:hyperlink>
    </w:p>
    <w:bookmarkEnd w:id="119"/>
    <w:bookmarkStart w:id="121"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20">
        <w:r>
          <w:rPr>
            <w:rStyle w:val="Hyperlink"/>
          </w:rPr>
          <w:t xml:space="preserve">10.5194/cp-9-1481-2013</w:t>
        </w:r>
      </w:hyperlink>
    </w:p>
    <w:bookmarkEnd w:id="121"/>
    <w:bookmarkStart w:id="123"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22">
        <w:r>
          <w:rPr>
            <w:rStyle w:val="Hyperlink"/>
          </w:rPr>
          <w:t xml:space="preserve">10.1016/j.agrformet.2017.07.015</w:t>
        </w:r>
      </w:hyperlink>
    </w:p>
    <w:bookmarkEnd w:id="123"/>
    <w:bookmarkStart w:id="125"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24">
        <w:r>
          <w:rPr>
            <w:rStyle w:val="Hyperlink"/>
          </w:rPr>
          <w:t xml:space="preserve">10.1007/s00442-013-2846-x</w:t>
        </w:r>
      </w:hyperlink>
    </w:p>
    <w:bookmarkEnd w:id="125"/>
    <w:bookmarkStart w:id="127"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26">
        <w:r>
          <w:rPr>
            <w:rStyle w:val="Hyperlink"/>
          </w:rPr>
          <w:t xml:space="preserve">10.1111/nph.16866</w:t>
        </w:r>
      </w:hyperlink>
    </w:p>
    <w:bookmarkEnd w:id="127"/>
    <w:bookmarkStart w:id="129" w:name="ref-wilmking_global_2020"/>
    <w:p>
      <w:pPr>
        <w:pStyle w:val="Bibliography"/>
      </w:pPr>
      <w:r>
        <w:t xml:space="preserve">Wilmking, M., Maaten‐Theunissen, M. van der, Maaten, E. van der, Scharnweber, T., Buras, A., Biermann, C., … Trouillier, M. (2020). Global assessment of relationships between climate and tree growth.</w:t>
      </w:r>
      <w:r>
        <w:t xml:space="preserve"> </w:t>
      </w:r>
      <w:r>
        <w:rPr>
          <w:i/>
        </w:rPr>
        <w:t xml:space="preserve">Global Change Biology</w:t>
      </w:r>
      <w:r>
        <w:t xml:space="preserve">,</w:t>
      </w:r>
      <w:r>
        <w:t xml:space="preserve"> </w:t>
      </w:r>
      <w:r>
        <w:rPr>
          <w:i/>
        </w:rPr>
        <w:t xml:space="preserve">26</w:t>
      </w:r>
      <w:r>
        <w:t xml:space="preserve">(6), 3212–3220. doi:</w:t>
      </w:r>
      <w:hyperlink r:id="rId128">
        <w:r>
          <w:rPr>
            <w:rStyle w:val="Hyperlink"/>
          </w:rPr>
          <w:t xml:space="preserve">10.1111/gcb.15057</w:t>
        </w:r>
      </w:hyperlink>
    </w:p>
    <w:bookmarkEnd w:id="129"/>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29" Target="media/rId29.png" /><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96" Target="http://www.blackwell-synergy.com/doi/abs/10.1111/j.1461-0248.2006.00904.x" TargetMode="External" /><Relationship Type="http://schemas.openxmlformats.org/officeDocument/2006/relationships/hyperlink" Id="rId108" Target="https://doi.org/10.1002/2016JG003528" TargetMode="External" /><Relationship Type="http://schemas.openxmlformats.org/officeDocument/2006/relationships/hyperlink" Id="rId78" Target="https://doi.org/10.1002/joc.3711" TargetMode="External" /><Relationship Type="http://schemas.openxmlformats.org/officeDocument/2006/relationships/hyperlink" Id="rId124" Target="https://doi.org/10.1007/s00442-013-2846-x" TargetMode="External" /><Relationship Type="http://schemas.openxmlformats.org/officeDocument/2006/relationships/hyperlink" Id="rId47" Target="https://doi.org/10.1007/s00442-017-3879-3" TargetMode="External" /><Relationship Type="http://schemas.openxmlformats.org/officeDocument/2006/relationships/hyperlink" Id="rId91" Target="https://doi.org/10.1007/s10584-016-1720-3" TargetMode="External" /><Relationship Type="http://schemas.openxmlformats.org/officeDocument/2006/relationships/hyperlink" Id="rId122" Target="https://doi.org/10.1016/j.agrformet.2017.07.015" TargetMode="External" /><Relationship Type="http://schemas.openxmlformats.org/officeDocument/2006/relationships/hyperlink" Id="rId116" Target="https://doi.org/10.1016/j.agrformet.2017.08.007" TargetMode="External" /><Relationship Type="http://schemas.openxmlformats.org/officeDocument/2006/relationships/hyperlink" Id="rId104" Target="https://doi.org/10.1016/j.dendro.2020.125678" TargetMode="External" /><Relationship Type="http://schemas.openxmlformats.org/officeDocument/2006/relationships/hyperlink" Id="rId57" Target="https://doi.org/10.1017/S0266467406003312" TargetMode="External" /><Relationship Type="http://schemas.openxmlformats.org/officeDocument/2006/relationships/hyperlink" Id="rId110" Target="https://doi.org/10.1038/nature12914" TargetMode="External" /><Relationship Type="http://schemas.openxmlformats.org/officeDocument/2006/relationships/hyperlink" Id="rId60" Target="https://doi.org/10.1038/nplants.2015.139" TargetMode="External" /><Relationship Type="http://schemas.openxmlformats.org/officeDocument/2006/relationships/hyperlink" Id="rId85" Target="https://doi.org/10.1038/s41467-018-07800-y" TargetMode="External" /><Relationship Type="http://schemas.openxmlformats.org/officeDocument/2006/relationships/hyperlink" Id="rId70" Target="https://doi.org/10.1038/s41467-020-14300-5" TargetMode="External" /><Relationship Type="http://schemas.openxmlformats.org/officeDocument/2006/relationships/hyperlink" Id="rId80" Target="https://doi.org/10.1038/s41597-020-0453-3" TargetMode="External" /><Relationship Type="http://schemas.openxmlformats.org/officeDocument/2006/relationships/hyperlink" Id="rId53" Target="https://doi.org/10.1111/1365-2435.12470" TargetMode="External" /><Relationship Type="http://schemas.openxmlformats.org/officeDocument/2006/relationships/hyperlink" Id="rId102" Target="https://doi.org/10.1111/2041-210X.12590" TargetMode="External" /><Relationship Type="http://schemas.openxmlformats.org/officeDocument/2006/relationships/hyperlink" Id="rId106" Target="https://doi.org/10.1111/2041-210X.12753" TargetMode="External" /><Relationship Type="http://schemas.openxmlformats.org/officeDocument/2006/relationships/hyperlink" Id="rId68" Target="https://doi.org/10.1111/ele.12650" TargetMode="External" /><Relationship Type="http://schemas.openxmlformats.org/officeDocument/2006/relationships/hyperlink" Id="rId51" Target="https://doi.org/10.1111/gcb.12712" TargetMode="External" /><Relationship Type="http://schemas.openxmlformats.org/officeDocument/2006/relationships/hyperlink" Id="rId100" Target="https://doi.org/10.1111/gcb.12826" TargetMode="External" /><Relationship Type="http://schemas.openxmlformats.org/officeDocument/2006/relationships/hyperlink" Id="rId72" Target="https://doi.org/10.1111/gcb.13208" TargetMode="External" /><Relationship Type="http://schemas.openxmlformats.org/officeDocument/2006/relationships/hyperlink" Id="rId66" Target="https://doi.org/10.1111/gcb.13535" TargetMode="External" /><Relationship Type="http://schemas.openxmlformats.org/officeDocument/2006/relationships/hyperlink" Id="rId118" Target="https://doi.org/10.1111/gcb.14120" TargetMode="External" /><Relationship Type="http://schemas.openxmlformats.org/officeDocument/2006/relationships/hyperlink" Id="rId89" Target="https://doi.org/10.1111/gcb.14273" TargetMode="External" /><Relationship Type="http://schemas.openxmlformats.org/officeDocument/2006/relationships/hyperlink" Id="rId128" Target="https://doi.org/10.1111/gcb.15057" TargetMode="External" /><Relationship Type="http://schemas.openxmlformats.org/officeDocument/2006/relationships/hyperlink" Id="rId114" Target="https://doi.org/10.1111/jvs.12025" TargetMode="External" /><Relationship Type="http://schemas.openxmlformats.org/officeDocument/2006/relationships/hyperlink" Id="rId87" Target="https://doi.org/10.1111/nph.15668" TargetMode="External" /><Relationship Type="http://schemas.openxmlformats.org/officeDocument/2006/relationships/hyperlink" Id="rId82" Target="https://doi.org/10.1111/nph.15906" TargetMode="External" /><Relationship Type="http://schemas.openxmlformats.org/officeDocument/2006/relationships/hyperlink" Id="rId126" Target="https://doi.org/10.1111/nph.16866" TargetMode="External" /><Relationship Type="http://schemas.openxmlformats.org/officeDocument/2006/relationships/hyperlink" Id="rId112" Target="https://doi.org/10.1126/science.aaw7578" TargetMode="External" /><Relationship Type="http://schemas.openxmlformats.org/officeDocument/2006/relationships/hyperlink" Id="rId93" Target="https://doi.org/10.1126/science.aaz9463" TargetMode="External" /><Relationship Type="http://schemas.openxmlformats.org/officeDocument/2006/relationships/hyperlink" Id="rId64" Target="https://doi.org/10.1139/cjfr-2018-0206" TargetMode="External" /><Relationship Type="http://schemas.openxmlformats.org/officeDocument/2006/relationships/hyperlink" Id="rId74" Target="https://doi.org/10.1175/JCLI3800.1" TargetMode="External" /><Relationship Type="http://schemas.openxmlformats.org/officeDocument/2006/relationships/hyperlink" Id="rId55" Target="https://doi.org/10.1674/0003-0031-180.1.18" TargetMode="External" /><Relationship Type="http://schemas.openxmlformats.org/officeDocument/2006/relationships/hyperlink" Id="rId62" Target="https://doi.org/10.1890/03-9000" TargetMode="External" /><Relationship Type="http://schemas.openxmlformats.org/officeDocument/2006/relationships/hyperlink" Id="rId76" Target="https://doi.org/10.2307/1937545" TargetMode="External" /><Relationship Type="http://schemas.openxmlformats.org/officeDocument/2006/relationships/hyperlink" Id="rId98" Target="https://doi.org/10.25573/data.10042502.v3" TargetMode="External" /><Relationship Type="http://schemas.openxmlformats.org/officeDocument/2006/relationships/hyperlink" Id="rId120" Target="https://doi.org/10.5194/cp-9-1481-2013" TargetMode="External" /><Relationship Type="http://schemas.openxmlformats.org/officeDocument/2006/relationships/hyperlink" Id="rId49" Target="https://doi.org/10.5281/ZENODO.3958216" TargetMode="External" /><Relationship Type="http://schemas.openxmlformats.org/officeDocument/2006/relationships/hyperlink" Id="rId42" Target="https://esajournals-onlinelibrary-wiley-com.smithsonian.idm.oclc.org/doi/epdf/10.1890/06-1039.1" TargetMode="External" /><Relationship Type="http://schemas.openxmlformats.org/officeDocument/2006/relationships/hyperlink" Id="rId33" Target="https://github.com/EcoClimLab/ForestGEO-climate-sensitivity/issues/25" TargetMode="External" /><Relationship Type="http://schemas.openxmlformats.org/officeDocument/2006/relationships/hyperlink" Id="rId34" Target="https://github.com/EcoClimLab/ForestGEO-climate-sensitivity/issues/35" TargetMode="External" /><Relationship Type="http://schemas.openxmlformats.org/officeDocument/2006/relationships/hyperlink" Id="rId35" Target="https://github.com/EcoClimLab/ForestGEO-climate-sensitivity/issues/42" TargetMode="External" /><Relationship Type="http://schemas.openxmlformats.org/officeDocument/2006/relationships/hyperlink" Id="rId32" Target="https://github.com/EcoClimLab/ForestGEO-climate-sensitivity/issues/51" TargetMode="External" /><Relationship Type="http://schemas.openxmlformats.org/officeDocument/2006/relationships/hyperlink" Id="rId43" Target="https://onlinelibrary-wiley-com.smithsonian.idm.oclc.org/doi/abs/10.1002/env.2324" TargetMode="External" /><Relationship Type="http://schemas.openxmlformats.org/officeDocument/2006/relationships/hyperlink" Id="rId24"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96" Target="http://www.blackwell-synergy.com/doi/abs/10.1111/j.1461-0248.2006.00904.x" TargetMode="External" /><Relationship Type="http://schemas.openxmlformats.org/officeDocument/2006/relationships/hyperlink" Id="rId108" Target="https://doi.org/10.1002/2016JG003528" TargetMode="External" /><Relationship Type="http://schemas.openxmlformats.org/officeDocument/2006/relationships/hyperlink" Id="rId78" Target="https://doi.org/10.1002/joc.3711" TargetMode="External" /><Relationship Type="http://schemas.openxmlformats.org/officeDocument/2006/relationships/hyperlink" Id="rId124" Target="https://doi.org/10.1007/s00442-013-2846-x" TargetMode="External" /><Relationship Type="http://schemas.openxmlformats.org/officeDocument/2006/relationships/hyperlink" Id="rId47" Target="https://doi.org/10.1007/s00442-017-3879-3" TargetMode="External" /><Relationship Type="http://schemas.openxmlformats.org/officeDocument/2006/relationships/hyperlink" Id="rId91" Target="https://doi.org/10.1007/s10584-016-1720-3" TargetMode="External" /><Relationship Type="http://schemas.openxmlformats.org/officeDocument/2006/relationships/hyperlink" Id="rId122" Target="https://doi.org/10.1016/j.agrformet.2017.07.015" TargetMode="External" /><Relationship Type="http://schemas.openxmlformats.org/officeDocument/2006/relationships/hyperlink" Id="rId116" Target="https://doi.org/10.1016/j.agrformet.2017.08.007" TargetMode="External" /><Relationship Type="http://schemas.openxmlformats.org/officeDocument/2006/relationships/hyperlink" Id="rId104" Target="https://doi.org/10.1016/j.dendro.2020.125678" TargetMode="External" /><Relationship Type="http://schemas.openxmlformats.org/officeDocument/2006/relationships/hyperlink" Id="rId57" Target="https://doi.org/10.1017/S0266467406003312" TargetMode="External" /><Relationship Type="http://schemas.openxmlformats.org/officeDocument/2006/relationships/hyperlink" Id="rId110" Target="https://doi.org/10.1038/nature12914" TargetMode="External" /><Relationship Type="http://schemas.openxmlformats.org/officeDocument/2006/relationships/hyperlink" Id="rId60" Target="https://doi.org/10.1038/nplants.2015.139" TargetMode="External" /><Relationship Type="http://schemas.openxmlformats.org/officeDocument/2006/relationships/hyperlink" Id="rId85" Target="https://doi.org/10.1038/s41467-018-07800-y" TargetMode="External" /><Relationship Type="http://schemas.openxmlformats.org/officeDocument/2006/relationships/hyperlink" Id="rId70" Target="https://doi.org/10.1038/s41467-020-14300-5" TargetMode="External" /><Relationship Type="http://schemas.openxmlformats.org/officeDocument/2006/relationships/hyperlink" Id="rId80" Target="https://doi.org/10.1038/s41597-020-0453-3" TargetMode="External" /><Relationship Type="http://schemas.openxmlformats.org/officeDocument/2006/relationships/hyperlink" Id="rId53" Target="https://doi.org/10.1111/1365-2435.12470" TargetMode="External" /><Relationship Type="http://schemas.openxmlformats.org/officeDocument/2006/relationships/hyperlink" Id="rId102" Target="https://doi.org/10.1111/2041-210X.12590" TargetMode="External" /><Relationship Type="http://schemas.openxmlformats.org/officeDocument/2006/relationships/hyperlink" Id="rId106" Target="https://doi.org/10.1111/2041-210X.12753" TargetMode="External" /><Relationship Type="http://schemas.openxmlformats.org/officeDocument/2006/relationships/hyperlink" Id="rId68" Target="https://doi.org/10.1111/ele.12650" TargetMode="External" /><Relationship Type="http://schemas.openxmlformats.org/officeDocument/2006/relationships/hyperlink" Id="rId51" Target="https://doi.org/10.1111/gcb.12712" TargetMode="External" /><Relationship Type="http://schemas.openxmlformats.org/officeDocument/2006/relationships/hyperlink" Id="rId100" Target="https://doi.org/10.1111/gcb.12826" TargetMode="External" /><Relationship Type="http://schemas.openxmlformats.org/officeDocument/2006/relationships/hyperlink" Id="rId72" Target="https://doi.org/10.1111/gcb.13208" TargetMode="External" /><Relationship Type="http://schemas.openxmlformats.org/officeDocument/2006/relationships/hyperlink" Id="rId66" Target="https://doi.org/10.1111/gcb.13535" TargetMode="External" /><Relationship Type="http://schemas.openxmlformats.org/officeDocument/2006/relationships/hyperlink" Id="rId118" Target="https://doi.org/10.1111/gcb.14120" TargetMode="External" /><Relationship Type="http://schemas.openxmlformats.org/officeDocument/2006/relationships/hyperlink" Id="rId89" Target="https://doi.org/10.1111/gcb.14273" TargetMode="External" /><Relationship Type="http://schemas.openxmlformats.org/officeDocument/2006/relationships/hyperlink" Id="rId128" Target="https://doi.org/10.1111/gcb.15057" TargetMode="External" /><Relationship Type="http://schemas.openxmlformats.org/officeDocument/2006/relationships/hyperlink" Id="rId114" Target="https://doi.org/10.1111/jvs.12025" TargetMode="External" /><Relationship Type="http://schemas.openxmlformats.org/officeDocument/2006/relationships/hyperlink" Id="rId87" Target="https://doi.org/10.1111/nph.15668" TargetMode="External" /><Relationship Type="http://schemas.openxmlformats.org/officeDocument/2006/relationships/hyperlink" Id="rId82" Target="https://doi.org/10.1111/nph.15906" TargetMode="External" /><Relationship Type="http://schemas.openxmlformats.org/officeDocument/2006/relationships/hyperlink" Id="rId126" Target="https://doi.org/10.1111/nph.16866" TargetMode="External" /><Relationship Type="http://schemas.openxmlformats.org/officeDocument/2006/relationships/hyperlink" Id="rId112" Target="https://doi.org/10.1126/science.aaw7578" TargetMode="External" /><Relationship Type="http://schemas.openxmlformats.org/officeDocument/2006/relationships/hyperlink" Id="rId93" Target="https://doi.org/10.1126/science.aaz9463" TargetMode="External" /><Relationship Type="http://schemas.openxmlformats.org/officeDocument/2006/relationships/hyperlink" Id="rId64" Target="https://doi.org/10.1139/cjfr-2018-0206" TargetMode="External" /><Relationship Type="http://schemas.openxmlformats.org/officeDocument/2006/relationships/hyperlink" Id="rId74" Target="https://doi.org/10.1175/JCLI3800.1" TargetMode="External" /><Relationship Type="http://schemas.openxmlformats.org/officeDocument/2006/relationships/hyperlink" Id="rId55" Target="https://doi.org/10.1674/0003-0031-180.1.18" TargetMode="External" /><Relationship Type="http://schemas.openxmlformats.org/officeDocument/2006/relationships/hyperlink" Id="rId62" Target="https://doi.org/10.1890/03-9000" TargetMode="External" /><Relationship Type="http://schemas.openxmlformats.org/officeDocument/2006/relationships/hyperlink" Id="rId76" Target="https://doi.org/10.2307/1937545" TargetMode="External" /><Relationship Type="http://schemas.openxmlformats.org/officeDocument/2006/relationships/hyperlink" Id="rId98" Target="https://doi.org/10.25573/data.10042502.v3" TargetMode="External" /><Relationship Type="http://schemas.openxmlformats.org/officeDocument/2006/relationships/hyperlink" Id="rId120" Target="https://doi.org/10.5194/cp-9-1481-2013" TargetMode="External" /><Relationship Type="http://schemas.openxmlformats.org/officeDocument/2006/relationships/hyperlink" Id="rId49" Target="https://doi.org/10.5281/ZENODO.3958216" TargetMode="External" /><Relationship Type="http://schemas.openxmlformats.org/officeDocument/2006/relationships/hyperlink" Id="rId42" Target="https://esajournals-onlinelibrary-wiley-com.smithsonian.idm.oclc.org/doi/epdf/10.1890/06-1039.1" TargetMode="External" /><Relationship Type="http://schemas.openxmlformats.org/officeDocument/2006/relationships/hyperlink" Id="rId33" Target="https://github.com/EcoClimLab/ForestGEO-climate-sensitivity/issues/25" TargetMode="External" /><Relationship Type="http://schemas.openxmlformats.org/officeDocument/2006/relationships/hyperlink" Id="rId34" Target="https://github.com/EcoClimLab/ForestGEO-climate-sensitivity/issues/35" TargetMode="External" /><Relationship Type="http://schemas.openxmlformats.org/officeDocument/2006/relationships/hyperlink" Id="rId35" Target="https://github.com/EcoClimLab/ForestGEO-climate-sensitivity/issues/42" TargetMode="External" /><Relationship Type="http://schemas.openxmlformats.org/officeDocument/2006/relationships/hyperlink" Id="rId32" Target="https://github.com/EcoClimLab/ForestGEO-climate-sensitivity/issues/51" TargetMode="External" /><Relationship Type="http://schemas.openxmlformats.org/officeDocument/2006/relationships/hyperlink" Id="rId43" Target="https://onlinelibrary-wiley-com.smithsonian.idm.oclc.org/doi/abs/10.1002/env.2324" TargetMode="External" /><Relationship Type="http://schemas.openxmlformats.org/officeDocument/2006/relationships/hyperlink" Id="rId24"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2020-09-11T11:00:55Z</dcterms:created>
  <dcterms:modified xsi:type="dcterms:W3CDTF">2020-09-11T11:00:55Z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@alfaro-sanchez_growth_2017; @helcoski_growing_2019; @aus_de_ar_tree_2018; @bumann_assessing_2019; @samonil_individual-based_2013; @kaspar_species-specific_nodate</vt:lpwstr>
  </property>
  <property fmtid="{D5CDD505-2E9C-101B-9397-08002B2CF9AE}" pid="5" name="output">
    <vt:lpwstr>word_document</vt:lpwstr>
  </property>
</Properties>
</file>