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1" w:name="abstract"/>
      <w:r>
        <w:t xml:space="preserve">Abstract</w:t>
      </w:r>
      <w:bookmarkEnd w:id="21"/>
    </w:p>
    <w:p>
      <w:pPr>
        <w:pStyle w:val="FirstParagraph"/>
      </w:pPr>
      <w:r>
        <w:rPr>
          <w:i/>
        </w:rPr>
        <w:t xml:space="preserve">NOTE TO COAUTHORS: I’d appreciate feedback on what you consider to be the most important results and conclusions to highlight in the abstract. I think we have many interesting findings with important implications.</w:t>
      </w:r>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because they aggregate growth records of multiple trees into residual chronologies. This has limited the potential to use tree-rings to understand forest productivity and its response to climate change.</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rigorous analytical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How do climate drivers 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K. J.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variety of data sources, we ensured that our approach was able to handle a variety of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660349"/>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60349"/>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parts of records before or after (whichever was shorter) any year where</w:t>
      </w:r>
      <w:r>
        <w:t xml:space="preserve"> </w:t>
      </w:r>
      <m:oMath>
        <m:r>
          <m:t>Δ</m:t>
        </m:r>
        <m:r>
          <m:t>r</m:t>
        </m:r>
      </m:oMath>
      <w:r>
        <w:t xml:space="preserve"> </w:t>
      </w:r>
      <w:r>
        <w:t xml:space="preserve">exceeded the mean plus five times the standard deviation of</w:t>
      </w:r>
      <w:r>
        <w:t xml:space="preserve"> </w:t>
      </w:r>
      <m:oMath>
        <m:r>
          <m:t>Δ</m:t>
        </m:r>
        <m:r>
          <m:t>r</m:t>
        </m:r>
      </m:oMath>
      <w:r>
        <w:t xml:space="preserve"> </w:t>
      </w:r>
      <w:r>
        <w:t xml:space="preserve">for the entire core, along with a 5-year buffer in the opposite direction</w:t>
      </w:r>
      <w:r>
        <w:t xml:space="preserve"> </w:t>
      </w:r>
      <w:r>
        <w:rPr>
          <w:i/>
        </w:rPr>
        <w:t xml:space="preserve">(this part needs rewording)</w:t>
      </w:r>
      <w:r>
        <w:t xml:space="preserv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8">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29">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0">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1">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BodyText"/>
      </w:pPr>
      <w:r>
        <w:t xml:space="preserve">The top model was used to visualize the effects of each variables while the others are kept constant at the median in the various figures of this manuscript.</w:t>
      </w:r>
      <w:r>
        <w:t xml:space="preserve"> </w:t>
      </w:r>
      <w:r>
        <w:t xml:space="preserve">For these visualizing tools, we also fetched the t-test’s p-value for each term of the model and represented the significance using different line types.</w:t>
      </w:r>
      <w:r>
        <w:t xml:space="preserve"> </w:t>
      </w:r>
      <w:r>
        <w:t xml:space="preserve">Model predictions represented were back-transformed to show the effect on the original scale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BodyText"/>
      </w:pPr>
      <w:r>
        <w:rPr>
          <w:i/>
        </w:rPr>
        <w:t xml:space="preserve">Data and code availability</w:t>
      </w:r>
    </w:p>
    <w:p>
      <w:pPr>
        <w:pStyle w:val="BodyText"/>
      </w:pPr>
      <w:r>
        <w:rPr>
          <w:i/>
        </w:rPr>
        <w:t xml:space="preserve">Data</w:t>
      </w:r>
      <w:r>
        <w:t xml:space="preserve">, 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CURRENTLY DOTTED/ TO BE DASHED) lines when only one term is signficant, and (CURRENTLY DASHED/ TO BE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(CURRENTLY DOTTED/ TO BE DASHED) lines when only one term is signficant, and (CURRENTLY DASHED/ TO BE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29">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Lines indicate a the optimal 3-knot spline fit, and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Lines indicate a the optimal 3-knot spline fit, and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S5).</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S5).</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2" w:name="references"/>
      <w:r>
        <w:t xml:space="preserve">References</w:t>
      </w:r>
      <w:bookmarkEnd w:id="42"/>
    </w:p>
    <w:bookmarkStart w:id="119"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3"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3"/>
    <w:bookmarkStart w:id="55"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4">
        <w:r>
          <w:rPr>
            <w:rStyle w:val="Hyperlink"/>
          </w:rPr>
          <w:t xml:space="preserve">10.1038/nplants.2015.139</w:t>
        </w:r>
      </w:hyperlink>
    </w:p>
    <w:bookmarkEnd w:id="55"/>
    <w:bookmarkStart w:id="57"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6">
        <w:r>
          <w:rPr>
            <w:rStyle w:val="Hyperlink"/>
          </w:rPr>
          <w:t xml:space="preserve">10.1890/03-9000</w:t>
        </w:r>
      </w:hyperlink>
    </w:p>
    <w:bookmarkEnd w:id="57"/>
    <w:bookmarkStart w:id="59"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8">
        <w:r>
          <w:rPr>
            <w:rStyle w:val="Hyperlink"/>
          </w:rPr>
          <w:t xml:space="preserve">10.1111/gcb.13535</w:t>
        </w:r>
      </w:hyperlink>
    </w:p>
    <w:bookmarkEnd w:id="59"/>
    <w:bookmarkStart w:id="61"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0">
        <w:r>
          <w:rPr>
            <w:rStyle w:val="Hyperlink"/>
          </w:rPr>
          <w:t xml:space="preserve">10.1111/ele.12650</w:t>
        </w:r>
      </w:hyperlink>
    </w:p>
    <w:bookmarkEnd w:id="61"/>
    <w:bookmarkStart w:id="63"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2">
        <w:r>
          <w:rPr>
            <w:rStyle w:val="Hyperlink"/>
          </w:rPr>
          <w:t xml:space="preserve">10.1111/gcb.13208</w:t>
        </w:r>
      </w:hyperlink>
    </w:p>
    <w:bookmarkEnd w:id="63"/>
    <w:bookmarkStart w:id="65"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4">
        <w:r>
          <w:rPr>
            <w:rStyle w:val="Hyperlink"/>
          </w:rPr>
          <w:t xml:space="preserve">10.1175/JCLI3800.1</w:t>
        </w:r>
      </w:hyperlink>
    </w:p>
    <w:bookmarkEnd w:id="65"/>
    <w:bookmarkStart w:id="67"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6">
        <w:r>
          <w:rPr>
            <w:rStyle w:val="Hyperlink"/>
          </w:rPr>
          <w:t xml:space="preserve">10.2307/1937545</w:t>
        </w:r>
      </w:hyperlink>
    </w:p>
    <w:bookmarkEnd w:id="67"/>
    <w:bookmarkStart w:id="69"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8">
        <w:r>
          <w:rPr>
            <w:rStyle w:val="Hyperlink"/>
          </w:rPr>
          <w:t xml:space="preserve">10.1002/joc.3711</w:t>
        </w:r>
      </w:hyperlink>
    </w:p>
    <w:bookmarkEnd w:id="69"/>
    <w:bookmarkStart w:id="71"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0">
        <w:r>
          <w:rPr>
            <w:rStyle w:val="Hyperlink"/>
          </w:rPr>
          <w:t xml:space="preserve">10.1038/s41597-020-0453-3</w:t>
        </w:r>
      </w:hyperlink>
    </w:p>
    <w:bookmarkEnd w:id="71"/>
    <w:bookmarkStart w:id="73"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2">
        <w:r>
          <w:rPr>
            <w:rStyle w:val="Hyperlink"/>
          </w:rPr>
          <w:t xml:space="preserve">10.1111/nph.15906</w:t>
        </w:r>
      </w:hyperlink>
    </w:p>
    <w:bookmarkEnd w:id="73"/>
    <w:bookmarkStart w:id="75"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4">
        <w:r>
          <w:rPr>
            <w:rStyle w:val="Hyperlink"/>
          </w:rPr>
          <w:t xml:space="preserve">10.1038/s41467-018-07800-y</w:t>
        </w:r>
      </w:hyperlink>
    </w:p>
    <w:bookmarkEnd w:id="75"/>
    <w:bookmarkStart w:id="77"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6">
        <w:r>
          <w:rPr>
            <w:rStyle w:val="Hyperlink"/>
          </w:rPr>
          <w:t xml:space="preserve">10.1111/nph.15668</w:t>
        </w:r>
      </w:hyperlink>
    </w:p>
    <w:bookmarkEnd w:id="77"/>
    <w:bookmarkStart w:id="79"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8">
        <w:r>
          <w:rPr>
            <w:rStyle w:val="Hyperlink"/>
          </w:rPr>
          <w:t xml:space="preserve">10.1111/gcb.14273</w:t>
        </w:r>
      </w:hyperlink>
    </w:p>
    <w:bookmarkEnd w:id="79"/>
    <w:bookmarkStart w:id="81"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0">
        <w:r>
          <w:rPr>
            <w:rStyle w:val="Hyperlink"/>
          </w:rPr>
          <w:t xml:space="preserve">10.1007/s10584-016-1720-3</w:t>
        </w:r>
      </w:hyperlink>
    </w:p>
    <w:bookmarkEnd w:id="81"/>
    <w:bookmarkStart w:id="83"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2">
        <w:r>
          <w:rPr>
            <w:rStyle w:val="Hyperlink"/>
          </w:rPr>
          <w:t xml:space="preserve">10.1126/science.aaz9463</w:t>
        </w:r>
      </w:hyperlink>
    </w:p>
    <w:bookmarkEnd w:id="83"/>
    <w:bookmarkStart w:id="84"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4"/>
    <w:bookmarkStart w:id="86"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5">
        <w:r>
          <w:rPr>
            <w:rStyle w:val="Hyperlink"/>
          </w:rPr>
          <w:t xml:space="preserve">http://www.blackwell-synergy.com/doi/abs/10.1111/j.1461-0248.2006.00904.x</w:t>
        </w:r>
      </w:hyperlink>
    </w:p>
    <w:bookmarkEnd w:id="86"/>
    <w:bookmarkStart w:id="88" w:name="ref-paton_barro_2019"/>
    <w:p>
      <w:pPr>
        <w:pStyle w:val="Bibliography"/>
      </w:pPr>
      <w:r>
        <w:t xml:space="preserve">Paton, S. (2019). Barro Colorado Island, Clearing_Precipitation, manual. doi:</w:t>
      </w:r>
      <w:hyperlink r:id="rId87">
        <w:r>
          <w:rPr>
            <w:rStyle w:val="Hyperlink"/>
          </w:rPr>
          <w:t xml:space="preserve">10.25573/data.10042502.v3</w:t>
        </w:r>
      </w:hyperlink>
    </w:p>
    <w:bookmarkEnd w:id="88"/>
    <w:bookmarkStart w:id="90"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9">
        <w:r>
          <w:rPr>
            <w:rStyle w:val="Hyperlink"/>
          </w:rPr>
          <w:t xml:space="preserve">10.1111/gcb.12826</w:t>
        </w:r>
      </w:hyperlink>
    </w:p>
    <w:bookmarkEnd w:id="90"/>
    <w:bookmarkStart w:id="92"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1">
        <w:r>
          <w:rPr>
            <w:rStyle w:val="Hyperlink"/>
          </w:rPr>
          <w:t xml:space="preserve">10.1111/2041-210X.12590</w:t>
        </w:r>
      </w:hyperlink>
    </w:p>
    <w:bookmarkEnd w:id="92"/>
    <w:bookmarkStart w:id="94"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3">
        <w:r>
          <w:rPr>
            <w:rStyle w:val="Hyperlink"/>
          </w:rPr>
          <w:t xml:space="preserve">10.1016/j.dendro.2020.125678</w:t>
        </w:r>
      </w:hyperlink>
    </w:p>
    <w:bookmarkEnd w:id="94"/>
    <w:bookmarkStart w:id="96"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95">
        <w:r>
          <w:rPr>
            <w:rStyle w:val="Hyperlink"/>
          </w:rPr>
          <w:t xml:space="preserve">10.1111/2041-210X.12753</w:t>
        </w:r>
      </w:hyperlink>
    </w:p>
    <w:bookmarkEnd w:id="96"/>
    <w:bookmarkStart w:id="98"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97">
        <w:r>
          <w:rPr>
            <w:rStyle w:val="Hyperlink"/>
          </w:rPr>
          <w:t xml:space="preserve">10.1038/ngeo2313</w:t>
        </w:r>
      </w:hyperlink>
    </w:p>
    <w:bookmarkEnd w:id="98"/>
    <w:bookmarkStart w:id="100"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9">
        <w:r>
          <w:rPr>
            <w:rStyle w:val="Hyperlink"/>
          </w:rPr>
          <w:t xml:space="preserve">10.1002/2016JG003528</w:t>
        </w:r>
      </w:hyperlink>
    </w:p>
    <w:bookmarkEnd w:id="100"/>
    <w:bookmarkStart w:id="102"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1">
        <w:r>
          <w:rPr>
            <w:rStyle w:val="Hyperlink"/>
          </w:rPr>
          <w:t xml:space="preserve">10.1038/nature12914</w:t>
        </w:r>
      </w:hyperlink>
    </w:p>
    <w:bookmarkEnd w:id="102"/>
    <w:bookmarkStart w:id="10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3">
        <w:r>
          <w:rPr>
            <w:rStyle w:val="Hyperlink"/>
          </w:rPr>
          <w:t xml:space="preserve">10.1126/science.aaw7578</w:t>
        </w:r>
      </w:hyperlink>
    </w:p>
    <w:bookmarkEnd w:id="104"/>
    <w:bookmarkStart w:id="106"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105">
        <w:r>
          <w:rPr>
            <w:rStyle w:val="Hyperlink"/>
          </w:rPr>
          <w:t xml:space="preserve">10.1111/ele.12765</w:t>
        </w:r>
      </w:hyperlink>
    </w:p>
    <w:bookmarkEnd w:id="106"/>
    <w:bookmarkStart w:id="108"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7">
        <w:r>
          <w:rPr>
            <w:rStyle w:val="Hyperlink"/>
          </w:rPr>
          <w:t xml:space="preserve">10.1016/j.agrformet.2017.08.007</w:t>
        </w:r>
      </w:hyperlink>
    </w:p>
    <w:bookmarkEnd w:id="108"/>
    <w:bookmarkStart w:id="110"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9">
        <w:r>
          <w:rPr>
            <w:rStyle w:val="Hyperlink"/>
          </w:rPr>
          <w:t xml:space="preserve">10.1111/gcb.14120</w:t>
        </w:r>
      </w:hyperlink>
    </w:p>
    <w:bookmarkEnd w:id="110"/>
    <w:bookmarkStart w:id="112"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11">
        <w:r>
          <w:rPr>
            <w:rStyle w:val="Hyperlink"/>
          </w:rPr>
          <w:t xml:space="preserve">10.5194/cp-9-1481-2013</w:t>
        </w:r>
      </w:hyperlink>
    </w:p>
    <w:bookmarkEnd w:id="112"/>
    <w:bookmarkStart w:id="114"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3">
        <w:r>
          <w:rPr>
            <w:rStyle w:val="Hyperlink"/>
          </w:rPr>
          <w:t xml:space="preserve">10.1016/j.agrformet.2017.07.015</w:t>
        </w:r>
      </w:hyperlink>
    </w:p>
    <w:bookmarkEnd w:id="114"/>
    <w:bookmarkStart w:id="116"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5">
        <w:r>
          <w:rPr>
            <w:rStyle w:val="Hyperlink"/>
          </w:rPr>
          <w:t xml:space="preserve">10.1007/s00442-013-2846-x</w:t>
        </w:r>
      </w:hyperlink>
    </w:p>
    <w:bookmarkEnd w:id="116"/>
    <w:bookmarkStart w:id="118"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7">
        <w:r>
          <w:rPr>
            <w:rStyle w:val="Hyperlink"/>
          </w:rPr>
          <w:t xml:space="preserve">10.1111/nph.16866</w:t>
        </w:r>
      </w:hyperlink>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85"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15"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13" Target="https://doi.org/10.1016/j.agrformet.2017.07.015" TargetMode="External" /><Relationship Type="http://schemas.openxmlformats.org/officeDocument/2006/relationships/hyperlink" Id="rId107" Target="https://doi.org/10.1016/j.agrformet.2017.08.007" TargetMode="External" /><Relationship Type="http://schemas.openxmlformats.org/officeDocument/2006/relationships/hyperlink" Id="rId93"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97"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95"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105"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9"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17"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2" Target="https://doi.org/10.1126/science.aaz9463"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11"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5"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15"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13" Target="https://doi.org/10.1016/j.agrformet.2017.07.015" TargetMode="External" /><Relationship Type="http://schemas.openxmlformats.org/officeDocument/2006/relationships/hyperlink" Id="rId107" Target="https://doi.org/10.1016/j.agrformet.2017.08.007" TargetMode="External" /><Relationship Type="http://schemas.openxmlformats.org/officeDocument/2006/relationships/hyperlink" Id="rId93"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97"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95"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105"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9"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17"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2" Target="https://doi.org/10.1126/science.aaz9463"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11"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2020-08-29T13:28:21Z</dcterms:created>
  <dcterms:modified xsi:type="dcterms:W3CDTF">2020-08-29T13:28:21Z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