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 I think we have many interesting findings with important implications.</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 Walker et al., n.d.)</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t xml:space="preserve">Walker et al. (n.d.)</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t xml:space="preserve"> </w:t>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McDowell, Allen, &amp; Anderson-Teixeira, 2015 ; McGregor et al., n.d.)</w:t>
      </w:r>
      <w:r>
        <w:t xml:space="preserve">.</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How do climate drivers 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K. J.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variety of data sources, we ensured that our approach was able to handle a variety of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The full record for all cores was retained for analysis, with the exception of records that had to be excluded due to insufficient sample size or anomalous growth patterns.</w:t>
      </w:r>
      <w:r>
        <w:t xml:space="preserve"> </w:t>
      </w:r>
      <w:r>
        <w:t xml:space="preserve">Specifically, we excluded</w:t>
      </w:r>
      <w:r>
        <w:t xml:space="preserve"> </w:t>
      </w:r>
      <w:r>
        <w:t xml:space="preserve">(1) species with &lt;7 cores,</w:t>
      </w:r>
      <w:r>
        <w:t xml:space="preserve"> </w:t>
      </w:r>
      <w:r>
        <w:t xml:space="preserve">(2) cores with &lt;30 years of record,</w:t>
      </w:r>
      <w:r>
        <w:t xml:space="preserve"> </w:t>
      </w:r>
      <w:r>
        <w:t xml:space="preserve">(3) parts of records before or after (whichever was shorter) any year where</w:t>
      </w:r>
      <w:r>
        <w:t xml:space="preserve"> </w:t>
      </w:r>
      <m:oMath>
        <m:r>
          <m:t>Δ</m:t>
        </m:r>
        <m:r>
          <m:t>r</m:t>
        </m:r>
      </m:oMath>
      <w:r>
        <w:t xml:space="preserve"> </w:t>
      </w:r>
      <w:r>
        <w:t xml:space="preserve">exceeded the mean plus five times the standard deviation of</w:t>
      </w:r>
      <w:r>
        <w:t xml:space="preserve"> </w:t>
      </w:r>
      <m:oMath>
        <m:r>
          <m:t>Δ</m:t>
        </m:r>
        <m:r>
          <m:t>r</m:t>
        </m:r>
      </m:oMath>
      <w:r>
        <w:t xml:space="preserve"> </w:t>
      </w:r>
      <w:r>
        <w:t xml:space="preserve">for the entire core, along with a 5-year buffer in the opposite direction</w:t>
      </w:r>
      <w:r>
        <w:t xml:space="preserve"> </w:t>
      </w:r>
      <w:r>
        <w:rPr>
          <w:i/>
        </w:rPr>
        <w:t xml:space="preserve">(this part needs rewording)</w:t>
      </w:r>
      <w:r>
        <w:t xml:space="preserv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(CURRENTLY DOTTED/ TO BE DASHED) lines when only one term is signficant, and (CURRENTLY DASHED/ TO BE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Lines indicate a the optimal 3-knot spline fit, and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Lines indicate a the optimal 3-knot spline fit, and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K. J. 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an increase to a peak at intermediate sizes, followed by decrease</w:t>
      </w:r>
      <w:r>
        <w:t xml:space="preserve">–would imply that the basal area correction is most commonly biased towards finding positive trends for smaller trees and negative trends for larger trees.</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19"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1">
        <w:r>
          <w:rPr>
            <w:rStyle w:val="Hyperlink"/>
          </w:rPr>
          <w:t xml:space="preserve">10.1017/S0266467406003312</w:t>
        </w:r>
      </w:hyperlink>
    </w:p>
    <w:bookmarkEnd w:id="52"/>
    <w:bookmarkStart w:id="53"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3"/>
    <w:bookmarkStart w:id="55"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4">
        <w:r>
          <w:rPr>
            <w:rStyle w:val="Hyperlink"/>
          </w:rPr>
          <w:t xml:space="preserve">10.1038/nplants.2015.139</w:t>
        </w:r>
      </w:hyperlink>
    </w:p>
    <w:bookmarkEnd w:id="55"/>
    <w:bookmarkStart w:id="57"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6">
        <w:r>
          <w:rPr>
            <w:rStyle w:val="Hyperlink"/>
          </w:rPr>
          <w:t xml:space="preserve">10.1890/03-9000</w:t>
        </w:r>
      </w:hyperlink>
    </w:p>
    <w:bookmarkEnd w:id="57"/>
    <w:bookmarkStart w:id="59"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8">
        <w:r>
          <w:rPr>
            <w:rStyle w:val="Hyperlink"/>
          </w:rPr>
          <w:t xml:space="preserve">10.1111/gcb.13535</w:t>
        </w:r>
      </w:hyperlink>
    </w:p>
    <w:bookmarkEnd w:id="59"/>
    <w:bookmarkStart w:id="61"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0">
        <w:r>
          <w:rPr>
            <w:rStyle w:val="Hyperlink"/>
          </w:rPr>
          <w:t xml:space="preserve">10.1111/ele.12650</w:t>
        </w:r>
      </w:hyperlink>
    </w:p>
    <w:bookmarkEnd w:id="61"/>
    <w:bookmarkStart w:id="63"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2">
        <w:r>
          <w:rPr>
            <w:rStyle w:val="Hyperlink"/>
          </w:rPr>
          <w:t xml:space="preserve">10.1111/gcb.13208</w:t>
        </w:r>
      </w:hyperlink>
    </w:p>
    <w:bookmarkEnd w:id="63"/>
    <w:bookmarkStart w:id="65"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4">
        <w:r>
          <w:rPr>
            <w:rStyle w:val="Hyperlink"/>
          </w:rPr>
          <w:t xml:space="preserve">10.1175/JCLI3800.1</w:t>
        </w:r>
      </w:hyperlink>
    </w:p>
    <w:bookmarkEnd w:id="65"/>
    <w:bookmarkStart w:id="67"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6">
        <w:r>
          <w:rPr>
            <w:rStyle w:val="Hyperlink"/>
          </w:rPr>
          <w:t xml:space="preserve">10.2307/1937545</w:t>
        </w:r>
      </w:hyperlink>
    </w:p>
    <w:bookmarkEnd w:id="67"/>
    <w:bookmarkStart w:id="69"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8">
        <w:r>
          <w:rPr>
            <w:rStyle w:val="Hyperlink"/>
          </w:rPr>
          <w:t xml:space="preserve">10.1002/joc.3711</w:t>
        </w:r>
      </w:hyperlink>
    </w:p>
    <w:bookmarkEnd w:id="69"/>
    <w:bookmarkStart w:id="71"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0">
        <w:r>
          <w:rPr>
            <w:rStyle w:val="Hyperlink"/>
          </w:rPr>
          <w:t xml:space="preserve">10.1038/s41597-020-0453-3</w:t>
        </w:r>
      </w:hyperlink>
    </w:p>
    <w:bookmarkEnd w:id="71"/>
    <w:bookmarkStart w:id="73"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2">
        <w:r>
          <w:rPr>
            <w:rStyle w:val="Hyperlink"/>
          </w:rPr>
          <w:t xml:space="preserve">10.1111/nph.15906</w:t>
        </w:r>
      </w:hyperlink>
    </w:p>
    <w:bookmarkEnd w:id="73"/>
    <w:bookmarkStart w:id="75"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4">
        <w:r>
          <w:rPr>
            <w:rStyle w:val="Hyperlink"/>
          </w:rPr>
          <w:t xml:space="preserve">10.1038/s41467-018-07800-y</w:t>
        </w:r>
      </w:hyperlink>
    </w:p>
    <w:bookmarkEnd w:id="75"/>
    <w:bookmarkStart w:id="77"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76">
        <w:r>
          <w:rPr>
            <w:rStyle w:val="Hyperlink"/>
          </w:rPr>
          <w:t xml:space="preserve">10.1111/nph.15668</w:t>
        </w:r>
      </w:hyperlink>
    </w:p>
    <w:bookmarkEnd w:id="77"/>
    <w:bookmarkStart w:id="79"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8">
        <w:r>
          <w:rPr>
            <w:rStyle w:val="Hyperlink"/>
          </w:rPr>
          <w:t xml:space="preserve">10.1111/gcb.14273</w:t>
        </w:r>
      </w:hyperlink>
    </w:p>
    <w:bookmarkEnd w:id="79"/>
    <w:bookmarkStart w:id="81"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0">
        <w:r>
          <w:rPr>
            <w:rStyle w:val="Hyperlink"/>
          </w:rPr>
          <w:t xml:space="preserve">10.1007/s10584-016-1720-3</w:t>
        </w:r>
      </w:hyperlink>
    </w:p>
    <w:bookmarkEnd w:id="81"/>
    <w:bookmarkStart w:id="83"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2">
        <w:r>
          <w:rPr>
            <w:rStyle w:val="Hyperlink"/>
          </w:rPr>
          <w:t xml:space="preserve">10.1126/science.aaz9463</w:t>
        </w:r>
      </w:hyperlink>
    </w:p>
    <w:bookmarkEnd w:id="83"/>
    <w:bookmarkStart w:id="84"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84"/>
    <w:bookmarkStart w:id="86"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85">
        <w:r>
          <w:rPr>
            <w:rStyle w:val="Hyperlink"/>
          </w:rPr>
          <w:t xml:space="preserve">http://www.blackwell-synergy.com/doi/abs/10.1111/j.1461-0248.2006.00904.x</w:t>
        </w:r>
      </w:hyperlink>
    </w:p>
    <w:bookmarkEnd w:id="86"/>
    <w:bookmarkStart w:id="88" w:name="ref-paton_barro_2019"/>
    <w:p>
      <w:pPr>
        <w:pStyle w:val="Bibliography"/>
      </w:pPr>
      <w:r>
        <w:t xml:space="preserve">Paton, S. (2019). Barro Colorado Island, Clearing_Precipitation, manual. doi:</w:t>
      </w:r>
      <w:hyperlink r:id="rId87">
        <w:r>
          <w:rPr>
            <w:rStyle w:val="Hyperlink"/>
          </w:rPr>
          <w:t xml:space="preserve">10.25573/data.10042502.v3</w:t>
        </w:r>
      </w:hyperlink>
    </w:p>
    <w:bookmarkEnd w:id="88"/>
    <w:bookmarkStart w:id="90"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9">
        <w:r>
          <w:rPr>
            <w:rStyle w:val="Hyperlink"/>
          </w:rPr>
          <w:t xml:space="preserve">10.1111/gcb.12826</w:t>
        </w:r>
      </w:hyperlink>
    </w:p>
    <w:bookmarkEnd w:id="90"/>
    <w:bookmarkStart w:id="92"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1">
        <w:r>
          <w:rPr>
            <w:rStyle w:val="Hyperlink"/>
          </w:rPr>
          <w:t xml:space="preserve">10.1111/2041-210X.12590</w:t>
        </w:r>
      </w:hyperlink>
    </w:p>
    <w:bookmarkEnd w:id="92"/>
    <w:bookmarkStart w:id="94"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3">
        <w:r>
          <w:rPr>
            <w:rStyle w:val="Hyperlink"/>
          </w:rPr>
          <w:t xml:space="preserve">10.1016/j.dendro.2020.125678</w:t>
        </w:r>
      </w:hyperlink>
    </w:p>
    <w:bookmarkEnd w:id="94"/>
    <w:bookmarkStart w:id="96"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95">
        <w:r>
          <w:rPr>
            <w:rStyle w:val="Hyperlink"/>
          </w:rPr>
          <w:t xml:space="preserve">10.1111/2041-210X.12753</w:t>
        </w:r>
      </w:hyperlink>
    </w:p>
    <w:bookmarkEnd w:id="96"/>
    <w:bookmarkStart w:id="98"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97">
        <w:r>
          <w:rPr>
            <w:rStyle w:val="Hyperlink"/>
          </w:rPr>
          <w:t xml:space="preserve">10.1038/ngeo2313</w:t>
        </w:r>
      </w:hyperlink>
    </w:p>
    <w:bookmarkEnd w:id="98"/>
    <w:bookmarkStart w:id="100"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99">
        <w:r>
          <w:rPr>
            <w:rStyle w:val="Hyperlink"/>
          </w:rPr>
          <w:t xml:space="preserve">10.1002/2016JG003528</w:t>
        </w:r>
      </w:hyperlink>
    </w:p>
    <w:bookmarkEnd w:id="100"/>
    <w:bookmarkStart w:id="102"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1">
        <w:r>
          <w:rPr>
            <w:rStyle w:val="Hyperlink"/>
          </w:rPr>
          <w:t xml:space="preserve">10.1038/nature12914</w:t>
        </w:r>
      </w:hyperlink>
    </w:p>
    <w:bookmarkEnd w:id="102"/>
    <w:bookmarkStart w:id="104"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3">
        <w:r>
          <w:rPr>
            <w:rStyle w:val="Hyperlink"/>
          </w:rPr>
          <w:t xml:space="preserve">10.1126/science.aaw7578</w:t>
        </w:r>
      </w:hyperlink>
    </w:p>
    <w:bookmarkEnd w:id="104"/>
    <w:bookmarkStart w:id="106"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105">
        <w:r>
          <w:rPr>
            <w:rStyle w:val="Hyperlink"/>
          </w:rPr>
          <w:t xml:space="preserve">10.1111/ele.12765</w:t>
        </w:r>
      </w:hyperlink>
    </w:p>
    <w:bookmarkEnd w:id="106"/>
    <w:bookmarkStart w:id="108"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7">
        <w:r>
          <w:rPr>
            <w:rStyle w:val="Hyperlink"/>
          </w:rPr>
          <w:t xml:space="preserve">10.1016/j.agrformet.2017.08.007</w:t>
        </w:r>
      </w:hyperlink>
    </w:p>
    <w:bookmarkEnd w:id="108"/>
    <w:bookmarkStart w:id="110"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09">
        <w:r>
          <w:rPr>
            <w:rStyle w:val="Hyperlink"/>
          </w:rPr>
          <w:t xml:space="preserve">10.1111/gcb.14120</w:t>
        </w:r>
      </w:hyperlink>
    </w:p>
    <w:bookmarkEnd w:id="110"/>
    <w:bookmarkStart w:id="112"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1">
        <w:r>
          <w:rPr>
            <w:rStyle w:val="Hyperlink"/>
          </w:rPr>
          <w:t xml:space="preserve">10.5194/cp-9-1481-2013</w:t>
        </w:r>
      </w:hyperlink>
    </w:p>
    <w:bookmarkEnd w:id="112"/>
    <w:bookmarkStart w:id="114"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3">
        <w:r>
          <w:rPr>
            <w:rStyle w:val="Hyperlink"/>
          </w:rPr>
          <w:t xml:space="preserve">10.1016/j.agrformet.2017.07.015</w:t>
        </w:r>
      </w:hyperlink>
    </w:p>
    <w:bookmarkEnd w:id="114"/>
    <w:bookmarkStart w:id="116"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5">
        <w:r>
          <w:rPr>
            <w:rStyle w:val="Hyperlink"/>
          </w:rPr>
          <w:t xml:space="preserve">10.1007/s00442-013-2846-x</w:t>
        </w:r>
      </w:hyperlink>
    </w:p>
    <w:bookmarkEnd w:id="116"/>
    <w:bookmarkStart w:id="118"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7">
        <w:r>
          <w:rPr>
            <w:rStyle w:val="Hyperlink"/>
          </w:rPr>
          <w:t xml:space="preserve">10.1111/nph.16866</w:t>
        </w:r>
      </w:hyperlink>
    </w:p>
    <w:bookmarkEnd w:id="118"/>
    <w:bookmarkEnd w:id="11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85"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95"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85" Target="http://www.blackwell-synergy.com/doi/abs/10.1111/j.1461-0248.2006.00904.x" TargetMode="External" /><Relationship Type="http://schemas.openxmlformats.org/officeDocument/2006/relationships/hyperlink" Id="rId99" Target="https://doi.org/10.1002/2016JG003528" TargetMode="External" /><Relationship Type="http://schemas.openxmlformats.org/officeDocument/2006/relationships/hyperlink" Id="rId68" Target="https://doi.org/10.1002/joc.3711" TargetMode="External" /><Relationship Type="http://schemas.openxmlformats.org/officeDocument/2006/relationships/hyperlink" Id="rId115"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0" Target="https://doi.org/10.1007/s10584-016-1720-3" TargetMode="External" /><Relationship Type="http://schemas.openxmlformats.org/officeDocument/2006/relationships/hyperlink" Id="rId113" Target="https://doi.org/10.1016/j.agrformet.2017.07.015" TargetMode="External" /><Relationship Type="http://schemas.openxmlformats.org/officeDocument/2006/relationships/hyperlink" Id="rId107" Target="https://doi.org/10.1016/j.agrformet.2017.08.007" TargetMode="External" /><Relationship Type="http://schemas.openxmlformats.org/officeDocument/2006/relationships/hyperlink" Id="rId93" Target="https://doi.org/10.1016/j.dendro.2020.125678" TargetMode="External" /><Relationship Type="http://schemas.openxmlformats.org/officeDocument/2006/relationships/hyperlink" Id="rId51" Target="https://doi.org/10.1017/S0266467406003312" TargetMode="External" /><Relationship Type="http://schemas.openxmlformats.org/officeDocument/2006/relationships/hyperlink" Id="rId101" Target="https://doi.org/10.1038/nature12914" TargetMode="External" /><Relationship Type="http://schemas.openxmlformats.org/officeDocument/2006/relationships/hyperlink" Id="rId97" Target="https://doi.org/10.1038/ngeo2313" TargetMode="External" /><Relationship Type="http://schemas.openxmlformats.org/officeDocument/2006/relationships/hyperlink" Id="rId54" Target="https://doi.org/10.1038/nplants.2015.139" TargetMode="External" /><Relationship Type="http://schemas.openxmlformats.org/officeDocument/2006/relationships/hyperlink" Id="rId74" Target="https://doi.org/10.1038/s41467-018-07800-y" TargetMode="External" /><Relationship Type="http://schemas.openxmlformats.org/officeDocument/2006/relationships/hyperlink" Id="rId70"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1" Target="https://doi.org/10.1111/2041-210X.12590" TargetMode="External" /><Relationship Type="http://schemas.openxmlformats.org/officeDocument/2006/relationships/hyperlink" Id="rId95" Target="https://doi.org/10.1111/2041-210X.12753" TargetMode="External" /><Relationship Type="http://schemas.openxmlformats.org/officeDocument/2006/relationships/hyperlink" Id="rId60" Target="https://doi.org/10.1111/ele.12650" TargetMode="External" /><Relationship Type="http://schemas.openxmlformats.org/officeDocument/2006/relationships/hyperlink" Id="rId105" Target="https://doi.org/10.1111/ele.12765" TargetMode="External" /><Relationship Type="http://schemas.openxmlformats.org/officeDocument/2006/relationships/hyperlink" Id="rId47" Target="https://doi.org/10.1111/gcb.12712" TargetMode="External" /><Relationship Type="http://schemas.openxmlformats.org/officeDocument/2006/relationships/hyperlink" Id="rId89" Target="https://doi.org/10.1111/gcb.12826" TargetMode="External" /><Relationship Type="http://schemas.openxmlformats.org/officeDocument/2006/relationships/hyperlink" Id="rId62" Target="https://doi.org/10.1111/gcb.13208" TargetMode="External" /><Relationship Type="http://schemas.openxmlformats.org/officeDocument/2006/relationships/hyperlink" Id="rId58" Target="https://doi.org/10.1111/gcb.13535" TargetMode="External" /><Relationship Type="http://schemas.openxmlformats.org/officeDocument/2006/relationships/hyperlink" Id="rId109" Target="https://doi.org/10.1111/gcb.14120" TargetMode="External" /><Relationship Type="http://schemas.openxmlformats.org/officeDocument/2006/relationships/hyperlink" Id="rId78" Target="https://doi.org/10.1111/gcb.14273" TargetMode="External" /><Relationship Type="http://schemas.openxmlformats.org/officeDocument/2006/relationships/hyperlink" Id="rId76" Target="https://doi.org/10.1111/nph.15668" TargetMode="External" /><Relationship Type="http://schemas.openxmlformats.org/officeDocument/2006/relationships/hyperlink" Id="rId72" Target="https://doi.org/10.1111/nph.15906" TargetMode="External" /><Relationship Type="http://schemas.openxmlformats.org/officeDocument/2006/relationships/hyperlink" Id="rId117" Target="https://doi.org/10.1111/nph.16866" TargetMode="External" /><Relationship Type="http://schemas.openxmlformats.org/officeDocument/2006/relationships/hyperlink" Id="rId103" Target="https://doi.org/10.1126/science.aaw7578" TargetMode="External" /><Relationship Type="http://schemas.openxmlformats.org/officeDocument/2006/relationships/hyperlink" Id="rId82" Target="https://doi.org/10.1126/science.aaz9463" TargetMode="External" /><Relationship Type="http://schemas.openxmlformats.org/officeDocument/2006/relationships/hyperlink" Id="rId64" Target="https://doi.org/10.1175/JCLI3800.1" TargetMode="External" /><Relationship Type="http://schemas.openxmlformats.org/officeDocument/2006/relationships/hyperlink" Id="rId56" Target="https://doi.org/10.1890/03-9000" TargetMode="External" /><Relationship Type="http://schemas.openxmlformats.org/officeDocument/2006/relationships/hyperlink" Id="rId66" Target="https://doi.org/10.2307/1937545" TargetMode="External" /><Relationship Type="http://schemas.openxmlformats.org/officeDocument/2006/relationships/hyperlink" Id="rId87" Target="https://doi.org/10.25573/data.10042502.v3" TargetMode="External" /><Relationship Type="http://schemas.openxmlformats.org/officeDocument/2006/relationships/hyperlink" Id="rId111"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2020-08-29T17:44:42Z</dcterms:created>
  <dcterms:modified xsi:type="dcterms:W3CDTF">2020-08-29T17:44:42Z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