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 I think we have many interesting findings with important implications.</w:t>
      </w:r>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because they aggregate tree ring records of multiple trees into residual chronologies. This has limited the potential to use tree-rings to understand forest productivity in the current era of rapid climate change.</w:t>
      </w:r>
    </w:p>
    <w:p>
      <w:pPr>
        <w:numPr>
          <w:numId w:val="1002"/>
          <w:ilvl w:val="0"/>
        </w:numPr>
      </w:pPr>
      <w:r>
        <w:t xml:space="preserve">Here, we develop a new method to simultaneously model non-linear effects of objectively determined principle climate drivers and individual tree metrics (e.g., diameter).</w:t>
      </w:r>
      <w:r>
        <w:t xml:space="preserve"> </w:t>
      </w:r>
      <w:r>
        <w:t xml:space="preserve">Specifically, we first identify the most important climate drivers and their appropriate time window of influence using the climwin 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The relative importance of tree diameter versus climate varied across sites, and interactions between diameter and climate variables were prevalent (</w:t>
      </w:r>
      <w:r>
        <w:rPr>
          <w:i/>
        </w:rPr>
        <w:t xml:space="preserve">~50%</w:t>
      </w:r>
      <w:r>
        <w:t xml:space="preserve"> </w:t>
      </w:r>
      <w:r>
        <w:t xml:space="preserve">of cases tested).</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i/>
        </w:rPr>
        <w:t xml:space="preserve">NOTE TO COAUTHORS: Intro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6034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6034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w:t>
      </w:r>
      <w:r>
        <w:t xml:space="preserve">R packages,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 Specifically, we used a generalized additive model (GAM) to fit a spline to individual tree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r>
        <w:t xml:space="preserve"> </w:t>
      </w:r>
      <w:r>
        <w:t xml:space="preserve">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r>
        <w:t xml:space="preserve"> </w:t>
      </w:r>
      <w:r>
        <w:t xml:space="preserve">We veryfied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9">
        <w:r>
          <w:rPr>
            <w:rStyle w:val="Hyperlink"/>
            <w:b/>
          </w:rPr>
          <w:t xml:space="preserve">ISSUE #35 in ForestGEO-climate-sensitivity</w:t>
        </w:r>
      </w:hyperlink>
      <w:r>
        <w:t xml:space="preserve">)</w:t>
      </w:r>
      <w:r>
        <w:t xml:space="preserve"> </w:t>
      </w:r>
      <w:r>
        <w:t xml:space="preserve">We note that whereas our goal was to identify the most significant climate drivers at a site level, identification of the top climate drivers for individual species would be optimized by analyzing each species separately.</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identified in the previous step in a GLS model (Fig.</w:t>
      </w:r>
      <w:r>
        <w:t xml:space="preserve"> </w:t>
      </w:r>
      <w:r>
        <w:rPr>
          <w:b/>
        </w:rPr>
        <w:t xml:space="preserve">1</w:t>
      </w:r>
      <w:r>
        <w:t xml:space="preserve">).</w:t>
      </w:r>
      <w:r>
        <w:t xml:space="preserve"> </w:t>
      </w:r>
      <w:r>
        <w:t xml:space="preserve">For this step, our response variables are not the residuals of detrended</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w:t>
      </w:r>
      <w:r>
        <w:t xml:space="preserve">but instead</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w:t>
      </w:r>
      <w:r>
        <w:t xml:space="preserve">because</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w:t>
      </w:r>
      <w:r>
        <w:t xml:space="preserve">are log-linear. The temporal autocorrelation of individual tree’s growth is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(at each site) independently, we ran every combination of the candidate climate variables and</w:t>
      </w:r>
      <w:r>
        <w:t xml:space="preserve"> </w:t>
      </w:r>
      <m:oMath>
        <m:r>
          <m:t>D</m:t>
        </m:r>
        <m:r>
          <m:t>B</m:t>
        </m:r>
        <m:r>
          <m:t>H</m:t>
        </m:r>
      </m:oMath>
      <w:r>
        <w:t xml:space="preserve"> </w:t>
      </w:r>
      <w:r>
        <w:t xml:space="preserve">(for the subset of cores with successfully reconstructed</w:t>
      </w:r>
      <w:r>
        <w:t xml:space="preserve"> </w:t>
      </w:r>
      <m:oMath>
        <m:r>
          <m:t>D</m:t>
        </m:r>
        <m:r>
          <m:t>B</m:t>
        </m:r>
        <m:r>
          <m:t>H</m:t>
        </m:r>
      </m:oMath>
      <w:r>
        <w:t xml:space="preserve">), including both first- and second-order terms of polynomial for each.</w:t>
      </w:r>
      <w:r>
        <w:t xml:space="preserve"> </w:t>
      </w:r>
      <w:r>
        <w:t xml:space="preserve">We considered the model with lowest AIC as the top model.</w:t>
      </w:r>
      <w:r>
        <w:t xml:space="preserve"> </w:t>
      </w:r>
      <w:r>
        <w:t xml:space="preserve">The top model was used to visualize the effects of each variables while the others are kept constant at the median in the various figures of this manuscript. For these visualizing tools, we also fetched the t-test’s p-value of each term of the model and represented the significance using different line types and the model predictions represented were back-transformed to show the effect on the orginal sclae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(which was none).</w:t>
      </w:r>
    </w:p>
    <w:p>
      <w:pPr>
        <w:pStyle w:val="BodyText"/>
      </w:pPr>
      <w:r>
        <w:rPr>
          <w:i/>
        </w:rPr>
        <w:t xml:space="preserve">(DBH not included in models focused on climate sensitivity.)</w:t>
      </w:r>
    </w:p>
    <w:p>
      <w:pPr>
        <w:pStyle w:val="BodyText"/>
      </w:pPr>
      <w:r>
        <w:rPr>
          <w:i/>
        </w:rPr>
        <w:t xml:space="preserve">Interactive effects of climate and DBH</w:t>
      </w:r>
    </w:p>
    <w:p>
      <w:pPr>
        <w:pStyle w:val="BodyText"/>
      </w:pPr>
      <w:r>
        <w:t xml:space="preserve">We also ran GLS models testing for interactive effects of climate and DBH. For these, we modeled first-order linear relationships between</w:t>
      </w:r>
      <w:r>
        <w:t xml:space="preserve"> </w:t>
      </w:r>
      <m:oMath>
        <m:r>
          <m:t>D</m:t>
        </m:r>
        <m:r>
          <m:t>B</m:t>
        </m:r>
        <m:r>
          <m:t>H</m:t>
        </m:r>
      </m:oMath>
      <w:r>
        <w:t xml:space="preserve"> </w:t>
      </w:r>
      <w:r>
        <w:t xml:space="preserve">and climate variables.</w:t>
      </w:r>
      <w:r>
        <w:t xml:space="preserve"> </w:t>
      </w:r>
      <w:r>
        <w:t xml:space="preserve">(</w:t>
      </w:r>
      <w:r>
        <w:rPr>
          <w:i/>
        </w:rPr>
        <w:t xml:space="preserve">Need to give a better description here. 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w:t>
      </w:r>
      <w:r>
        <w:rPr>
          <w:b/>
        </w:rPr>
        <w:t xml:space="preserve">;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2)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(temperature variable group at BCI, precipitation variable group at HF),</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 All of these variables had weak effects and mixed responses among species in the final models (Fig.</w:t>
      </w:r>
      <w:r>
        <w:t xml:space="preserve"> </w:t>
      </w:r>
      <w:r>
        <w:rPr>
          <w:b/>
        </w:rPr>
        <w:t xml:space="preserve">3</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Lines indicate a the optimal 3-knot spline fit, and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Lines indicate a the optimal 3-knot spline fit, and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r>
        <w:t xml:space="preserve"> </w:t>
      </w:r>
      <w:r>
        <w:t xml:space="preserv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Heading3"/>
      </w:pPr>
      <w:bookmarkStart w:id="42" w:name="references"/>
      <w:r>
        <w:t xml:space="preserve">References</w:t>
      </w:r>
      <w:bookmarkEnd w:id="42"/>
    </w:p>
    <w:bookmarkStart w:id="119"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2">
        <w:r>
          <w:rPr>
            <w:rStyle w:val="Hyperlink"/>
          </w:rPr>
          <w:t xml:space="preserve">10.1111/gcb.13208</w:t>
        </w:r>
      </w:hyperlink>
    </w:p>
    <w:bookmarkEnd w:id="63"/>
    <w:bookmarkStart w:id="6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4">
        <w:r>
          <w:rPr>
            <w:rStyle w:val="Hyperlink"/>
          </w:rPr>
          <w:t xml:space="preserve">10.1175/JCLI3800.1</w:t>
        </w:r>
      </w:hyperlink>
    </w:p>
    <w:bookmarkEnd w:id="65"/>
    <w:bookmarkStart w:id="6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6">
        <w:r>
          <w:rPr>
            <w:rStyle w:val="Hyperlink"/>
          </w:rPr>
          <w:t xml:space="preserve">10.2307/1937545</w:t>
        </w:r>
      </w:hyperlink>
    </w:p>
    <w:bookmarkEnd w:id="67"/>
    <w:bookmarkStart w:id="6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8">
        <w:r>
          <w:rPr>
            <w:rStyle w:val="Hyperlink"/>
          </w:rPr>
          <w:t xml:space="preserve">10.1002/joc.3711</w:t>
        </w:r>
      </w:hyperlink>
    </w:p>
    <w:bookmarkEnd w:id="69"/>
    <w:bookmarkStart w:id="7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0">
        <w:r>
          <w:rPr>
            <w:rStyle w:val="Hyperlink"/>
          </w:rPr>
          <w:t xml:space="preserve">10.1038/s41597-020-0453-3</w:t>
        </w:r>
      </w:hyperlink>
    </w:p>
    <w:bookmarkEnd w:id="71"/>
    <w:bookmarkStart w:id="7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2">
        <w:r>
          <w:rPr>
            <w:rStyle w:val="Hyperlink"/>
          </w:rPr>
          <w:t xml:space="preserve">10.1111/nph.15906</w:t>
        </w:r>
      </w:hyperlink>
    </w:p>
    <w:bookmarkEnd w:id="73"/>
    <w:bookmarkStart w:id="7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4">
        <w:r>
          <w:rPr>
            <w:rStyle w:val="Hyperlink"/>
          </w:rPr>
          <w:t xml:space="preserve">10.1038/s41467-018-07800-y</w:t>
        </w:r>
      </w:hyperlink>
    </w:p>
    <w:bookmarkEnd w:id="75"/>
    <w:bookmarkStart w:id="7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6">
        <w:r>
          <w:rPr>
            <w:rStyle w:val="Hyperlink"/>
          </w:rPr>
          <w:t xml:space="preserve">10.1111/nph.15668</w:t>
        </w:r>
      </w:hyperlink>
    </w:p>
    <w:bookmarkEnd w:id="77"/>
    <w:bookmarkStart w:id="79"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8">
        <w:r>
          <w:rPr>
            <w:rStyle w:val="Hyperlink"/>
          </w:rPr>
          <w:t xml:space="preserve">10.1111/gcb.14273</w:t>
        </w:r>
      </w:hyperlink>
    </w:p>
    <w:bookmarkEnd w:id="79"/>
    <w:bookmarkStart w:id="81"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0">
        <w:r>
          <w:rPr>
            <w:rStyle w:val="Hyperlink"/>
          </w:rPr>
          <w:t xml:space="preserve">10.1007/s10584-016-1720-3</w:t>
        </w:r>
      </w:hyperlink>
    </w:p>
    <w:bookmarkEnd w:id="81"/>
    <w:bookmarkStart w:id="83"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2">
        <w:r>
          <w:rPr>
            <w:rStyle w:val="Hyperlink"/>
          </w:rPr>
          <w:t xml:space="preserve">10.1126/science.aaz9463</w:t>
        </w:r>
      </w:hyperlink>
    </w:p>
    <w:bookmarkEnd w:id="83"/>
    <w:bookmarkStart w:id="84"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6"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5">
        <w:r>
          <w:rPr>
            <w:rStyle w:val="Hyperlink"/>
          </w:rPr>
          <w:t xml:space="preserve">http://www.blackwell-synergy.com/doi/abs/10.1111/j.1461-0248.2006.00904.x</w:t>
        </w:r>
      </w:hyperlink>
    </w:p>
    <w:bookmarkEnd w:id="86"/>
    <w:bookmarkStart w:id="88" w:name="ref-paton_barro_2019"/>
    <w:p>
      <w:pPr>
        <w:pStyle w:val="Bibliography"/>
      </w:pPr>
      <w:r>
        <w:t xml:space="preserve">Paton, S. (2019). Barro Colorado Island, Clearing_Precipitation, manual. doi:</w:t>
      </w:r>
      <w:hyperlink r:id="rId87">
        <w:r>
          <w:rPr>
            <w:rStyle w:val="Hyperlink"/>
          </w:rPr>
          <w:t xml:space="preserve">10.25573/data.10042502.v3</w:t>
        </w:r>
      </w:hyperlink>
    </w:p>
    <w:bookmarkEnd w:id="88"/>
    <w:bookmarkStart w:id="90"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9">
        <w:r>
          <w:rPr>
            <w:rStyle w:val="Hyperlink"/>
          </w:rPr>
          <w:t xml:space="preserve">10.1111/gcb.12826</w:t>
        </w:r>
      </w:hyperlink>
    </w:p>
    <w:bookmarkEnd w:id="90"/>
    <w:bookmarkStart w:id="92"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1">
        <w:r>
          <w:rPr>
            <w:rStyle w:val="Hyperlink"/>
          </w:rPr>
          <w:t xml:space="preserve">10.1111/2041-210X.12590</w:t>
        </w:r>
      </w:hyperlink>
    </w:p>
    <w:bookmarkEnd w:id="92"/>
    <w:bookmarkStart w:id="94"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3">
        <w:r>
          <w:rPr>
            <w:rStyle w:val="Hyperlink"/>
          </w:rPr>
          <w:t xml:space="preserve">10.1016/j.dendro.2020.125678</w:t>
        </w:r>
      </w:hyperlink>
    </w:p>
    <w:bookmarkEnd w:id="94"/>
    <w:bookmarkStart w:id="9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95">
        <w:r>
          <w:rPr>
            <w:rStyle w:val="Hyperlink"/>
          </w:rPr>
          <w:t xml:space="preserve">10.1111/2041-210X.12753</w:t>
        </w:r>
      </w:hyperlink>
    </w:p>
    <w:bookmarkEnd w:id="96"/>
    <w:bookmarkStart w:id="98"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7">
        <w:r>
          <w:rPr>
            <w:rStyle w:val="Hyperlink"/>
          </w:rPr>
          <w:t xml:space="preserve">10.1038/ngeo2313</w:t>
        </w:r>
      </w:hyperlink>
    </w:p>
    <w:bookmarkEnd w:id="98"/>
    <w:bookmarkStart w:id="10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9">
        <w:r>
          <w:rPr>
            <w:rStyle w:val="Hyperlink"/>
          </w:rPr>
          <w:t xml:space="preserve">10.1002/2016JG003528</w:t>
        </w:r>
      </w:hyperlink>
    </w:p>
    <w:bookmarkEnd w:id="100"/>
    <w:bookmarkStart w:id="10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1">
        <w:r>
          <w:rPr>
            <w:rStyle w:val="Hyperlink"/>
          </w:rPr>
          <w:t xml:space="preserve">10.1038/nature12914</w:t>
        </w:r>
      </w:hyperlink>
    </w:p>
    <w:bookmarkEnd w:id="102"/>
    <w:bookmarkStart w:id="10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3">
        <w:r>
          <w:rPr>
            <w:rStyle w:val="Hyperlink"/>
          </w:rPr>
          <w:t xml:space="preserve">10.1126/science.aaw7578</w:t>
        </w:r>
      </w:hyperlink>
    </w:p>
    <w:bookmarkEnd w:id="104"/>
    <w:bookmarkStart w:id="106"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5">
        <w:r>
          <w:rPr>
            <w:rStyle w:val="Hyperlink"/>
          </w:rPr>
          <w:t xml:space="preserve">10.1111/ele.12765</w:t>
        </w:r>
      </w:hyperlink>
    </w:p>
    <w:bookmarkEnd w:id="106"/>
    <w:bookmarkStart w:id="10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7">
        <w:r>
          <w:rPr>
            <w:rStyle w:val="Hyperlink"/>
          </w:rPr>
          <w:t xml:space="preserve">10.1016/j.agrformet.2017.08.007</w:t>
        </w:r>
      </w:hyperlink>
    </w:p>
    <w:bookmarkEnd w:id="108"/>
    <w:bookmarkStart w:id="11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9">
        <w:r>
          <w:rPr>
            <w:rStyle w:val="Hyperlink"/>
          </w:rPr>
          <w:t xml:space="preserve">10.1111/gcb.14120</w:t>
        </w:r>
      </w:hyperlink>
    </w:p>
    <w:bookmarkEnd w:id="110"/>
    <w:bookmarkStart w:id="11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1">
        <w:r>
          <w:rPr>
            <w:rStyle w:val="Hyperlink"/>
          </w:rPr>
          <w:t xml:space="preserve">10.5194/cp-9-1481-2013</w:t>
        </w:r>
      </w:hyperlink>
    </w:p>
    <w:bookmarkEnd w:id="112"/>
    <w:bookmarkStart w:id="11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3">
        <w:r>
          <w:rPr>
            <w:rStyle w:val="Hyperlink"/>
          </w:rPr>
          <w:t xml:space="preserve">10.1016/j.agrformet.2017.07.015</w:t>
        </w:r>
      </w:hyperlink>
    </w:p>
    <w:bookmarkEnd w:id="114"/>
    <w:bookmarkStart w:id="116"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5">
        <w:r>
          <w:rPr>
            <w:rStyle w:val="Hyperlink"/>
          </w:rPr>
          <w:t xml:space="preserve">10.1007/s00442-013-2846-x</w:t>
        </w:r>
      </w:hyperlink>
    </w:p>
    <w:bookmarkEnd w:id="116"/>
    <w:bookmarkStart w:id="118"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7">
        <w:r>
          <w:rPr>
            <w:rStyle w:val="Hyperlink"/>
          </w:rPr>
          <w:t xml:space="preserve">10.1111/nph.16866</w:t>
        </w:r>
      </w:hyperlink>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5"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5"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3" Target="https://doi.org/10.1016/j.agrformet.2017.07.015" TargetMode="External" /><Relationship Type="http://schemas.openxmlformats.org/officeDocument/2006/relationships/hyperlink" Id="rId107"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97"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95"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105"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9"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7"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11"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5"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5"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3" Target="https://doi.org/10.1016/j.agrformet.2017.07.015" TargetMode="External" /><Relationship Type="http://schemas.openxmlformats.org/officeDocument/2006/relationships/hyperlink" Id="rId107"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97"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95"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105"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9"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7"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11"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2020-08-28T16:09:32Z</dcterms:created>
  <dcterms:modified xsi:type="dcterms:W3CDTF">2020-08-28T16:09:32Z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