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8.png" ContentType="image/png"/>
  <Override PartName="/word/media/rId29.png" ContentType="image/png"/>
  <Override PartName="/word/media/rId44.png" ContentType="image/png"/>
  <Override PartName="/word/media/rId27.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rStyle w:val="Hyperlink"/>
            <w:vertAlign w:val="superscript"/>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rPr>
          <w:vertAlign w:val="superscript"/>
        </w:rPr>
        <w:t xml:space="preserve">wl</w:t>
      </w:r>
      <w:r>
        <w:t xml:space="preserve">,</w:t>
      </w:r>
      <w:r>
        <w:t xml:space="preserve"> </w:t>
      </w:r>
      <w:r>
        <w:t xml:space="preserve">Tala Awada,</w:t>
      </w:r>
      <w:r>
        <w:t xml:space="preserve"> </w:t>
      </w:r>
      <w:r>
        <w:t xml:space="preserve">Jennifer Baltzer</w:t>
      </w:r>
      <w:r>
        <w:rPr>
          <w:vertAlign w:val="superscript"/>
        </w:rPr>
        <w:t xml:space="preserve">wl</w:t>
      </w:r>
      <w:r>
        <w:t xml:space="preserve">,</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rStyle w:val="Hyperlink"/>
            <w:vertAlign w:val="superscript"/>
          </w:rPr>
          <w:t xml:space="preserve">cz</w:t>
        </w:r>
      </w:hyperlink>
      <w:r>
        <w:t xml:space="preserve">,</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rStyle w:val="Hyperlink"/>
            <w:vertAlign w:val="superscript"/>
          </w:rPr>
          <w:t xml:space="preserve">cz</w:t>
        </w:r>
      </w:hyperlink>
      <w:r>
        <w:t xml:space="preserve">,</w:t>
      </w:r>
      <w:r>
        <w:t xml:space="preserve"> </w:t>
      </w:r>
      <w:r>
        <w:t xml:space="preserve">Anastasia Sniderhan</w:t>
      </w:r>
      <w:r>
        <w:rPr>
          <w:vertAlign w:val="superscript"/>
        </w:rPr>
        <w:t xml:space="preserve">wl</w:t>
      </w:r>
      <w:r>
        <w:t xml:space="preserve">,</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rStyle w:val="Hyperlink"/>
            <w:vertAlign w:val="superscript"/>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Center for Tropical Forest Science-Forest Global Earth Observatory; Smithsonian Tropical Research Institute; Panama, Republic of Panama</w:t>
      </w:r>
    </w:p>
    <w:p>
      <w:pPr>
        <w:numPr>
          <w:ilvl w:val="0"/>
          <w:numId w:val="1001"/>
        </w:numPr>
      </w:pPr>
      <w:r>
        <w:t xml:space="preserve">The Morton Arboretum, Lisle, Illinois, USA</w:t>
      </w:r>
    </w:p>
    <w:p>
      <w:pPr>
        <w:numPr>
          <w:ilvl w:val="0"/>
          <w:numId w:val="1001"/>
        </w:numPr>
      </w:pPr>
      <w:r>
        <w:t xml:space="preserve">Harvard Forest, Petersham, MA 01366, USA</w:t>
      </w:r>
    </w:p>
    <w:p>
      <w:pPr>
        <w:pStyle w:val="FirstParagraph"/>
      </w:pPr>
      <w:r>
        <w:t xml:space="preserve">wl. Biology Department, Wilfrid Laurier University, 75 University Ave W, Waterloo, ON, N2L 3C5</w:t>
      </w:r>
    </w:p>
    <w:p>
      <w:pPr>
        <w:pStyle w:val="BodyText"/>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bookmarkStart w:id="25" w:name="abstract"/>
    <w:p>
      <w:pPr>
        <w:pStyle w:val="Heading1"/>
      </w:pPr>
      <w:r>
        <w:t xml:space="preserve">Abstract</w:t>
      </w:r>
    </w:p>
    <w:p>
      <w:pPr>
        <w:numPr>
          <w:ilvl w:val="0"/>
          <w:numId w:val="1002"/>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ilvl w:val="0"/>
          <w:numId w:val="1002"/>
        </w:numPr>
      </w:pPr>
      <w:r>
        <w:t xml:space="preserve">Here, we develop a new method to simultaneously model non-linear effects of objectively determined principle climate drivers and reconstructed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ilvl w:val="0"/>
          <w:numId w:val="1002"/>
        </w:numPr>
      </w:pPr>
      <w:r>
        <w:t xml:space="preserve">Our analysis identified similar climate drivers operating over similar time windows to those obtained via traditional methods, but revealed that non-linear responses to climate variables were common. Growth rates–expressed as ring widths, basal area increments, or biomass increments–varied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ilvl w:val="0"/>
          <w:numId w:val="1002"/>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bookmarkEnd w:id="25"/>
    <w:bookmarkStart w:id="26" w:name="introduction"/>
    <w:p>
      <w:pPr>
        <w:pStyle w:val="Heading1"/>
      </w:pPr>
      <w:r>
        <w:t xml:space="preserve">Introduction</w:t>
      </w:r>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w:t>
      </w:r>
      <w:r>
        <w:t xml:space="preserve"> </w:t>
      </w:r>
      <w:r>
        <w:t xml:space="preserve">(Fritts, 1976)</w:t>
      </w:r>
      <w:r>
        <w:t xml:space="preserve"> </w:t>
      </w:r>
      <w:r>
        <w:t xml:space="preserve">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ring-width index chronologies to select climate variables–most commonly temperature, precipitation, or a moisture index (PDSI or SPEI)–over the current year and, typically, previous year</w:t>
      </w:r>
      <w:r>
        <w:t xml:space="preserve"> </w:t>
      </w:r>
      <w:r>
        <w:t xml:space="preserve">(e.g., Fritts, 1976; Zang &amp; Biondi, 2015)</w:t>
      </w:r>
      <w:r>
        <w:t xml:space="preserve">.</w:t>
      </w:r>
      <w:r>
        <w:t xml:space="preserve"> </w:t>
      </w:r>
      <w:r>
        <w:t xml:space="preserve">While appropriate for identifying the strongest correlation between tree growth and an individual climate variable for purposes such as historical climate reconstructions</w:t>
      </w:r>
      <w:r>
        <w:t xml:space="preserve"> </w:t>
      </w:r>
      <w:r>
        <w:t xml:space="preserve">(e.g., Pederson et al., 2013; Maxwell &amp; Harley, 2017)</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(Beedlow, Lee, Tingey, Waschmann, &amp; Burdick, 2013; Foster et al., 2016)</w:t>
      </w:r>
      <w:r>
        <w:t xml:space="preserve">, and forest productivity</w:t>
      </w:r>
      <w:r>
        <w:t xml:space="preserve"> </w:t>
      </w:r>
      <w:r>
        <w:t xml:space="preserve">(e.g., Alexander, Rollinson, Babst, Trouet, &amp; Moore, 2018;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dendrochronological methods focus on linear climate responses and the settings in which these occur, potentially missing widespread nonlinearities within forest settings, which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because non-linearities are very problematic for reconstructing climate variables</w:t>
      </w:r>
      <w:r>
        <w:t xml:space="preserve"> </w:t>
      </w:r>
      <w:r>
        <w:t xml:space="preserve">(Esper &amp; Frank, 2009)</w:t>
      </w:r>
      <w:r>
        <w:t xml:space="preserve">, systems exhibiting these are typically avoided–e.g., by sampling climate-limited forest boundaries, and analysis methods are designed around first-order linear growth-climate relationships</w:t>
      </w:r>
      <w:r>
        <w:t xml:space="preserve"> </w:t>
      </w:r>
      <w:r>
        <w:t xml:space="preserve">(Fritts, 1976</w:t>
      </w:r>
      <w:r>
        <w:t xml:space="preserve"> </w:t>
      </w:r>
      <w:r>
        <w:rPr>
          <w:b/>
        </w:rPr>
        <w:t xml:space="preserve">??</w:t>
      </w:r>
      <w:r>
        <w:t xml:space="preserve">)</w:t>
      </w:r>
      <w:r>
        <w:t xml:space="preserve">.</w:t>
      </w:r>
      <w:r>
        <w:t xml:space="preserve"> </w:t>
      </w:r>
      <w:r>
        <w:t xml:space="preserve">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in the growth responses to interannual variation in climate occur for trees within forest settings.</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2020)</w:t>
      </w:r>
      <w:r>
        <w:rPr>
          <w:b/>
        </w:rPr>
        <w:t xml:space="preserve">, yet traditional methods do not characterize its effect or its potential interactions with climate.</w:t>
      </w:r>
      <w:r>
        <w:t xml:space="preserve"> </w:t>
      </w:r>
      <w:r>
        <w:t xml:space="preserve">For dendrochronological studies aimed at deciphering climate signals,</w:t>
      </w:r>
      <w:r>
        <w:t xml:space="preserve"> </w:t>
      </w:r>
      <m:oMath>
        <m:r>
          <m:t>D</m:t>
        </m:r>
        <m:r>
          <m:t>B</m:t>
        </m:r>
        <m:r>
          <m:t>H</m:t>
        </m:r>
      </m:oMath>
      <w:r>
        <w:t xml:space="preserve"> </w:t>
      </w:r>
      <w:r>
        <w:t xml:space="preserve">is not typically a variable of interest, and its influence is removed through detrending</w:t>
      </w:r>
      <w:r>
        <w:t xml:space="preserve"> </w:t>
      </w:r>
      <w:r>
        <w:t xml:space="preserve">(Cook &amp; Peters, 1997)</w:t>
      </w:r>
      <w:r>
        <w:t xml:space="preserve">.</w:t>
      </w:r>
      <w:r>
        <w:t xml:space="preserve"> </w:t>
      </w:r>
      <w:r>
        <w:t xml:space="preserve">Moreover, many studies constrain sampling to only larger size classes.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R</m:t>
        </m:r>
        <m:r>
          <m:t>W</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be relatively more sensitive to drought</w:t>
      </w:r>
      <w:r>
        <w:t xml:space="preserve"> </w:t>
      </w:r>
      <w:r>
        <w:t xml:space="preserve">(Bennett et al., 2015; Gillerot, Forrester, Bottero, Rigling, &amp; Lévesque, 2020; McGregor et al., 2020)</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w:t>
      </w:r>
      <w:r>
        <w:t xml:space="preserve"> </w:t>
      </w:r>
      <m:oMath>
        <m:r>
          <m:t>A</m:t>
        </m:r>
        <m:r>
          <m:t>N</m:t>
        </m:r>
        <m:r>
          <m:t>P</m:t>
        </m:r>
        <m:sSub>
          <m:e>
            <m:r>
              <m:t>P</m:t>
            </m:r>
          </m:e>
          <m:sub>
            <m:r>
              <m:t>w</m:t>
            </m:r>
            <m:r>
              <m:t>o</m:t>
            </m:r>
            <m:r>
              <m:t>o</m:t>
            </m:r>
            <m:r>
              <m:t>d</m:t>
            </m:r>
            <m:r>
              <m:t>y</m:t>
            </m:r>
          </m:sub>
        </m:sSub>
      </m:oMath>
      <w:r>
        <w:t xml:space="preserve">, and forest dynamics,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and objectively determined principle climate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R</m:t>
        </m:r>
        <m:r>
          <m:t>W</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bookmarkEnd w:id="26"/>
    <w:bookmarkStart w:id="37" w:name="materials-and-methods"/>
    <w:p>
      <w:pPr>
        <w:pStyle w:val="Heading1"/>
      </w:pPr>
      <w:r>
        <w:t xml:space="preserve">Materials and Methods</w:t>
      </w:r>
    </w:p>
    <w:bookmarkStart w:id="28" w:name="data-sources-and-preparation"/>
    <w:p>
      <w:pPr>
        <w:pStyle w:val="Heading2"/>
      </w:pPr>
      <w:r>
        <w:t xml:space="preserve">Data sources and preparation</w:t>
      </w:r>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mean July T.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943600" cy="3164485"/>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7"/>
                    <a:stretch>
                      <a:fillRect/>
                    </a:stretch>
                  </pic:blipFill>
                  <pic:spPr bwMode="auto">
                    <a:xfrm>
                      <a:off x="0" y="0"/>
                      <a:ext cx="5943600" cy="3164485"/>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R</m:t>
        </m:r>
        <m:r>
          <m:t>W</m:t>
        </m:r>
      </m:oMath>
      <w:r>
        <w:t xml:space="preserve"> </w:t>
      </w:r>
      <w:r>
        <w:t xml:space="preserve">&gt; mean plus 5 x SD of</w:t>
      </w:r>
      <w:r>
        <w:t xml:space="preserve"> </w:t>
      </w:r>
      <m:oMath>
        <m:r>
          <m:t>R</m:t>
        </m:r>
        <m:r>
          <m:t>W</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R</m:t>
        </m:r>
        <m:r>
          <m:t>W</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w:t>
      </w:r>
      <w:r>
        <w:t xml:space="preserve"> </w:t>
      </w:r>
      <w:r>
        <w:t xml:space="preserve">(Applequist, 1958; Duncan, 1989)</w:t>
      </w:r>
      <w:r>
        <w:t xml:space="preserve">,</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bookmarkEnd w:id="28"/>
    <w:bookmarkStart w:id="36" w:name="analysis-methods"/>
    <w:p>
      <w:pPr>
        <w:pStyle w:val="Heading2"/>
      </w:pPr>
      <w:r>
        <w:t xml:space="preserve">Analysis methods</w:t>
      </w:r>
    </w:p>
    <w:p>
      <w:pPr>
        <w:pStyle w:val="FirstParagraph"/>
      </w:pPr>
      <w:r>
        <w:t xml:space="preserve">Our analysis consisted of two main steps: (1) identification of the most important climate drivers and the time window over which they operate, and (2) combining</w:t>
      </w:r>
      <w:r>
        <w:t xml:space="preserve"> </w:t>
      </w:r>
      <m:oMath>
        <m:r>
          <m:t>D</m:t>
        </m:r>
        <m:r>
          <m:t>B</m:t>
        </m:r>
        <m:r>
          <m:t>H</m:t>
        </m:r>
      </m:oMath>
      <w:r>
        <w:t xml:space="preserve"> </w:t>
      </w:r>
      <w:r>
        <w:t xml:space="preserve">and climate drivers into a multivariate model (Fig. 1). The analysis was run separately for each site and each response variable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943600" cy="3767715"/>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9"/>
                    <a:stretch>
                      <a:fillRect/>
                    </a:stretch>
                  </pic:blipFill>
                  <pic:spPr bwMode="auto">
                    <a:xfrm>
                      <a:off x="0" y="0"/>
                      <a:ext cx="5943600" cy="3767715"/>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bookmarkStart w:id="33" w:name="identifying-key-climate-drivers"/>
    <w:p>
      <w:pPr>
        <w:pStyle w:val="Heading3"/>
      </w:pPr>
      <w:r>
        <w:t xml:space="preserve">Identifying key climate drivers</w:t>
      </w:r>
    </w:p>
    <w:p>
      <w:pPr>
        <w:pStyle w:val="FirstParagraph"/>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(van de 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To remove low-frequency variation that most likely represents responses to non-climatic drivers (</w:t>
      </w:r>
      <w:r>
        <w:rPr>
          <w:i/>
        </w:rPr>
        <w:t xml:space="preserve">e.g.</w:t>
      </w:r>
      <w:r>
        <w:t xml:space="preserve">, growth and aging of the tree, change in competitive dynamics, atmospheric pollution), we detrended the response variables by using a generalized additive model (GAM) to fit a spline to individual growth records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growth index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consecutive months over a 15 month period ending near the time of cessation of formation of each annual ring (</w:t>
      </w:r>
      <w:r>
        <w:rPr>
          <w:i/>
        </w:rPr>
        <w:t xml:space="preserve">Table S1</w:t>
      </w:r>
      <w:r>
        <w:t xml:space="preserve">). (</w:t>
      </w:r>
      <w:hyperlink r:id="rId30">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1">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w:t>
      </w:r>
      <w:r>
        <w:t xml:space="preserve"> </w:t>
      </w:r>
      <w:r>
        <w:rPr>
          <w:b/>
        </w:rPr>
        <w:t xml:space="preserve">(AT:prewhitening?)</w:t>
      </w:r>
      <w:r>
        <w:t xml:space="preserve"> </w:t>
      </w:r>
      <w:r>
        <w:t xml:space="preserve">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2">
        <w:r>
          <w:rPr>
            <w:rStyle w:val="Hyperlink"/>
            <w:b/>
          </w:rPr>
          <w:t xml:space="preserve">ISSUE #35 in ForestGEO-climate-sensitivity</w:t>
        </w:r>
      </w:hyperlink>
      <w:r>
        <w:t xml:space="preserve">)</w:t>
      </w:r>
    </w:p>
    <w:bookmarkEnd w:id="33"/>
    <w:bookmarkStart w:id="35" w:name="combining-drivers-in-gls-model"/>
    <w:p>
      <w:pPr>
        <w:pStyle w:val="Heading3"/>
      </w:pPr>
      <w:r>
        <w:t xml:space="preserve">Combining drivers in GLS model</w:t>
      </w:r>
    </w:p>
    <w:p>
      <w:pPr>
        <w:pStyle w:val="FirstParagraph"/>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4">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bookmarkEnd w:id="35"/>
    <w:bookmarkEnd w:id="36"/>
    <w:bookmarkEnd w:id="37"/>
    <w:bookmarkStart w:id="46" w:name="results"/>
    <w:p>
      <w:pPr>
        <w:pStyle w:val="Heading1"/>
      </w:pPr>
      <w:r>
        <w:t xml:space="preserve">Results</w:t>
      </w:r>
    </w:p>
    <w:bookmarkStart w:id="40" w:name="identifying-climate-drivers"/>
    <w:p>
      <w:pPr>
        <w:pStyle w:val="Heading3"/>
      </w:pPr>
      <w:r>
        <w:t xml:space="preserve">Identifying climate drivers</w:t>
      </w:r>
    </w:p>
    <w:p>
      <w:pPr>
        <w:pStyle w:val="FirstParagraph"/>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R</m:t>
        </m:r>
        <m:r>
          <m:t>W</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R</m:t>
        </m:r>
        <m:r>
          <m:t>W</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943600" cy="7429499"/>
            <wp:effectExtent b="0" l="0" r="0" t="0"/>
            <wp:docPr descr="Figure 3 | Species-level responses of RW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9"/>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R</m:t>
        </m:r>
        <m:r>
          <m:t>W</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bookmarkEnd w:id="40"/>
    <w:bookmarkStart w:id="41" w:name="climate-sensitivity"/>
    <w:p>
      <w:pPr>
        <w:pStyle w:val="Heading3"/>
      </w:pPr>
      <w:r>
        <w:t xml:space="preserve">Climate sensitivity</w:t>
      </w:r>
    </w:p>
    <w:p>
      <w:pPr>
        <w:pStyle w:val="FirstParagraph"/>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bookmarkEnd w:id="41"/>
    <w:bookmarkStart w:id="43" w:name="influence-of-dbh"/>
    <w:p>
      <w:pPr>
        <w:pStyle w:val="Heading3"/>
      </w:pPr>
      <w:r>
        <w:t xml:space="preserve">Influence of DBH</w:t>
      </w:r>
    </w:p>
    <w:p>
      <w:pPr>
        <w:pStyle w:val="FirstParagraph"/>
      </w:pPr>
      <w:r>
        <w:rPr>
          <w:b/>
        </w:rPr>
        <w:t xml:space="preserve">All three growth metrics,</w:t>
      </w:r>
      <w:r>
        <w:rPr>
          <w:b/>
        </w:rPr>
        <w:t xml:space="preserve"> </w:t>
      </w:r>
      <m:oMath>
        <m:r>
          <m:t>R</m:t>
        </m:r>
        <m:r>
          <m:t>W</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R</m:t>
        </m:r>
        <m:r>
          <m:t>W</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R</m:t>
        </m:r>
        <m:r>
          <m:t>W</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R</m:t>
        </m:r>
        <m:r>
          <m:t>W</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R</m:t>
        </m:r>
        <m:r>
          <m:t>W</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R</m:t>
        </m:r>
        <m:r>
          <m:t>W</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R</m:t>
        </m:r>
        <m:r>
          <m:t>W</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943600" cy="7429499"/>
            <wp:effectExtent b="0" l="0" r="0" t="0"/>
            <wp:docPr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2"/>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R</m:t>
        </m:r>
        <m:r>
          <m:t>W</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3"/>
    <w:bookmarkStart w:id="45" w:name="X1720e04d5cd11c20c4a7d722aa4f526447127ea"/>
    <w:p>
      <w:pPr>
        <w:pStyle w:val="Heading3"/>
      </w:pPr>
      <w:r>
        <w:t xml:space="preserve">Additive and interactive effects of climate and DBH</w:t>
      </w:r>
    </w:p>
    <w:p>
      <w:pPr>
        <w:pStyle w:val="FirstParagraph"/>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R</m:t>
        </m:r>
        <m:r>
          <m:t>W</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R</m:t>
        </m:r>
        <m:r>
          <m:t>W</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R</m:t>
        </m:r>
        <m:r>
          <m:t>W</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943600" cy="4754880"/>
            <wp:effectExtent b="0" l="0" r="0" t="0"/>
            <wp:docPr descr="Figure 5 | Comparison of full top models for each growth metric (RW,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R</m:t>
        </m:r>
        <m:r>
          <m:t>W</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4">
        <w:r>
          <w:rPr>
            <w:rStyle w:val="Hyperlink"/>
            <w:i/>
          </w:rPr>
          <w:t xml:space="preserve">ISSUE #42 in ForestGEO-climate-sensitivity</w:t>
        </w:r>
      </w:hyperlink>
      <w:r>
        <w:t xml:space="preserve">)</w:t>
      </w:r>
    </w:p>
    <w:bookmarkEnd w:id="45"/>
    <w:bookmarkEnd w:id="46"/>
    <w:bookmarkStart w:id="52" w:name="discussion"/>
    <w:p>
      <w:pPr>
        <w:pStyle w:val="Heading1"/>
      </w:pPr>
      <w:r>
        <w:t xml:space="preserve">Discussion</w:t>
      </w:r>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bookmarkStart w:id="47" w:name="Xed7df7d6e09152132899e19c662f8489c5056be"/>
    <w:p>
      <w:pPr>
        <w:pStyle w:val="Heading2"/>
      </w:pPr>
      <w:r>
        <w:t xml:space="preserve">corroboration of insight from conventional methods</w:t>
      </w:r>
    </w:p>
    <w:p>
      <w:pPr>
        <w:pStyle w:val="FirstParagraph"/>
      </w:pPr>
      <w:r>
        <w:rPr>
          <w:i/>
        </w:rPr>
        <w:t xml:space="preserve">( more objective approach to produce similar results to what has been shown using more conventional methods)</w:t>
      </w:r>
      <w:r>
        <w:t xml:space="preserve"> </w:t>
      </w:r>
      <w:r>
        <w:rPr>
          <w:i/>
        </w:rPr>
        <w:t xml:space="preserve">(for identigying climate variables… Is the benefit of the new approach that it is a more objective way to reach the same interpretation, or are there cases when it would produce a different interpretation?)</w:t>
      </w:r>
    </w:p>
    <w:bookmarkEnd w:id="47"/>
    <w:bookmarkStart w:id="48" w:name="new-insight"/>
    <w:p>
      <w:pPr>
        <w:pStyle w:val="Heading2"/>
      </w:pPr>
      <w:r>
        <w:t xml:space="preserve">new insight</w:t>
      </w:r>
    </w:p>
    <w:p>
      <w:pPr>
        <w:pStyle w:val="FirstParagraph"/>
      </w:pPr>
      <w:r>
        <w:rPr>
          <w:i/>
        </w:rPr>
        <w:t xml:space="preserve">(could potentially provide new insight that would not be expected using more conventional methods. It would be useful if there are examples from the analysis in this paper that could clearly illustrate new insight that would not have been found with conventional methods. )</w:t>
      </w:r>
    </w:p>
    <w:bookmarkEnd w:id="48"/>
    <w:bookmarkStart w:id="51" w:name="future-challenges"/>
    <w:p>
      <w:pPr>
        <w:pStyle w:val="Heading2"/>
      </w:pPr>
      <w:r>
        <w:t xml:space="preserve">future challenges (?)</w:t>
      </w:r>
    </w:p>
    <w:p>
      <w:pPr>
        <w:pStyle w:val="FirstParagraph"/>
      </w:pPr>
      <w:r>
        <w:rPr>
          <w:i/>
        </w:rPr>
        <w:t xml:space="preserve">(still face a problem when future climate is outside of the range of values used to model the climate-growth relationship. )</w:t>
      </w:r>
    </w:p>
    <w:p>
      <w:pPr>
        <w:pStyle w:val="BodyText"/>
      </w:pPr>
      <w:r>
        <w:rPr>
          <w:i/>
        </w:rPr>
        <w:t xml:space="preserve">(growth rate should respond strongly to a tree’s relative DBH within a site, which we don’t have going back in time)</w:t>
      </w:r>
    </w:p>
    <w:p>
      <w:pPr>
        <w:pStyle w:val="BodyText"/>
      </w:pPr>
      <w:r>
        <w:rPr>
          <w:i/>
        </w:rPr>
        <w:t xml:space="preserve">Climate sensitivity</w:t>
      </w:r>
    </w:p>
    <w:p>
      <w:pPr>
        <w:pStyle w:val="BodyText"/>
      </w:pPr>
      <w:r>
        <w:t xml:space="preserve">Ideas to discuss:</w:t>
      </w:r>
    </w:p>
    <w:p>
      <w:pPr>
        <w:numPr>
          <w:ilvl w:val="0"/>
          <w:numId w:val="1003"/>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ilvl w:val="0"/>
          <w:numId w:val="1003"/>
        </w:numPr>
      </w:pPr>
      <w:r>
        <w:t xml:space="preserve">trees tend to be sensitive to water over longer time scales (makes sense– lags caused by soil moisture storage)</w:t>
      </w:r>
    </w:p>
    <w:p>
      <w:pPr>
        <w:numPr>
          <w:ilvl w:val="0"/>
          <w:numId w:val="1003"/>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ilvl w:val="0"/>
          <w:numId w:val="1003"/>
        </w:numPr>
      </w:pPr>
      <w:r>
        <w:t xml:space="preserve">additive effects are prevalent and should not be overlooked</w:t>
      </w:r>
    </w:p>
    <w:p>
      <w:pPr>
        <w:numPr>
          <w:ilvl w:val="0"/>
          <w:numId w:val="1003"/>
        </w:numPr>
      </w:pPr>
      <w:r>
        <w:t xml:space="preserve">nonlinear effects are prevalent</w:t>
      </w:r>
    </w:p>
    <w:p>
      <w:pPr>
        <w:numPr>
          <w:ilvl w:val="0"/>
          <w:numId w:val="1003"/>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a roughly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w:t>
      </w:r>
      <w:r>
        <w:rPr>
          <w:i/>
        </w:rPr>
        <w:t xml:space="preserve">DENDRO_REFS: See refs in Biondi and Qeadan 2008. Tree-Ring Research 64:81-96.</w:t>
      </w:r>
      <w:r>
        <w:t xml:space="preserve">).</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R</m:t>
        </m:r>
        <m:r>
          <m:t>W</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R</m:t>
        </m:r>
        <m:r>
          <m:t>W</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R</m:t>
        </m:r>
        <m:r>
          <m:t>W</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R</m:t>
        </m:r>
        <m:r>
          <m:t>W</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R</m:t>
        </m:r>
        <m:r>
          <m:t>W</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9">
        <w:r>
          <w:rPr>
            <w:rStyle w:val="Hyperlink"/>
            <w:i/>
          </w:rPr>
          <w:t xml:space="preserve">Clark et al. 2007?</w:t>
        </w:r>
      </w:hyperlink>
      <w:r>
        <w:rPr>
          <w:i/>
        </w:rPr>
        <w:t xml:space="preserve">;</w:t>
      </w:r>
      <w:r>
        <w:rPr>
          <w:i/>
        </w:rPr>
        <w:t xml:space="preserve"> </w:t>
      </w:r>
      <w:hyperlink r:id="rId50">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R</m:t>
        </m:r>
        <m:r>
          <m:t>W</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R</m:t>
        </m:r>
        <m:r>
          <m:t>W</m:t>
        </m:r>
      </m:oMath>
      <w:r>
        <w:t xml:space="preserve"> </w:t>
      </w:r>
      <w:r>
        <w:t xml:space="preserve">before analyzing residuals, would not be reliable across the diversity of</w:t>
      </w:r>
      <w:r>
        <w:t xml:space="preserve"> </w:t>
      </w:r>
      <m:oMath>
        <m:r>
          <m:t>R</m:t>
        </m:r>
        <m:r>
          <m:t>W</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2020)</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2020)</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w:t>
      </w:r>
      <w:r>
        <w:t xml:space="preserve">Hacket-Pain, Cavin, Friend, &amp; Jump (2016)</w:t>
      </w:r>
      <w:r>
        <w:t xml:space="preserve"> </w:t>
      </w:r>
      <w:r>
        <w:t xml:space="preserve">show an interaction)</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R</m:t>
        </m:r>
        <m:r>
          <m:t>W</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bookmarkEnd w:id="51"/>
    <w:bookmarkEnd w:id="52"/>
    <w:bookmarkStart w:id="53" w:name="acknowledgements"/>
    <w:p>
      <w:pPr>
        <w:pStyle w:val="Heading1"/>
      </w:pPr>
      <w:r>
        <w:t xml:space="preserve">Acknowledgements</w:t>
      </w:r>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bookmarkEnd w:id="53"/>
    <w:bookmarkStart w:id="54" w:name="authors-contributions"/>
    <w:p>
      <w:pPr>
        <w:pStyle w:val="Heading1"/>
      </w:pPr>
      <w:r>
        <w:t xml:space="preserve">Authors’ contributions</w:t>
      </w:r>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4"/>
    <w:bookmarkStart w:id="55" w:name="data-availability"/>
    <w:p>
      <w:pPr>
        <w:pStyle w:val="Heading1"/>
      </w:pPr>
      <w:r>
        <w:t xml:space="preserve">Data availability</w:t>
      </w:r>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bookmarkEnd w:id="55"/>
    <w:bookmarkStart w:id="160" w:name="references"/>
    <w:p>
      <w:pPr>
        <w:pStyle w:val="Heading1"/>
      </w:pPr>
      <w:r>
        <w:t xml:space="preserve">References</w:t>
      </w:r>
    </w:p>
    <w:bookmarkStart w:id="159" w:name="refs"/>
    <w:bookmarkStart w:id="57"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
        </w:rPr>
        <w:t xml:space="preserve">Trees</w:t>
      </w:r>
      <w:r>
        <w:t xml:space="preserve">,</w:t>
      </w:r>
      <w:r>
        <w:t xml:space="preserve"> </w:t>
      </w:r>
      <w:r>
        <w:rPr>
          <w:i/>
        </w:rPr>
        <w:t xml:space="preserve">32</w:t>
      </w:r>
      <w:r>
        <w:t xml:space="preserve">(1), 265–276. doi:</w:t>
      </w:r>
      <w:hyperlink r:id="rId56">
        <w:r>
          <w:rPr>
            <w:rStyle w:val="Hyperlink"/>
          </w:rPr>
          <w:t xml:space="preserve">10.1007/s00468-017-1629-0</w:t>
        </w:r>
      </w:hyperlink>
    </w:p>
    <w:bookmarkEnd w:id="57"/>
    <w:bookmarkStart w:id="59" w:name="X7472afe191c4e6f910d2bf0bfbf82e114a2f267"/>
    <w:p>
      <w:pPr>
        <w:pStyle w:val="Bibliography"/>
      </w:pPr>
      <w:r>
        <w:t xml:space="preserve">Anderson-Teixeira, K., Gonzalez, B., ForestGEO, McGregor, I., Gonzalez-Akre, E., RHelcoski, … Camerondow35. (2020, September). Forestgeo/Climate: Initial release. Zenodo. doi:</w:t>
      </w:r>
      <w:hyperlink r:id="rId58">
        <w:r>
          <w:rPr>
            <w:rStyle w:val="Hyperlink"/>
          </w:rPr>
          <w:t xml:space="preserve">10.5281/ZENODO.3958215</w:t>
        </w:r>
      </w:hyperlink>
    </w:p>
    <w:bookmarkEnd w:id="59"/>
    <w:bookmarkStart w:id="61" w:name="X004b0b0adcb3b0fd197baeba21c22fc647d3498"/>
    <w:p>
      <w:pPr>
        <w:pStyle w:val="Bibliography"/>
      </w:pPr>
      <w:r>
        <w:t xml:space="preserve">Anderson-Teixeira, K. J., Davies, S. J., Bennett, A. C., Gonzalez-Akre, E. B., Muller-Landau, H. C., Joseph Wright, S., … Zimmerman, J. (2015). CTFS-ForestGEO :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60">
        <w:r>
          <w:rPr>
            <w:rStyle w:val="Hyperlink"/>
          </w:rPr>
          <w:t xml:space="preserve">10.1111/gcb.12712</w:t>
        </w:r>
      </w:hyperlink>
    </w:p>
    <w:bookmarkEnd w:id="61"/>
    <w:bookmarkStart w:id="63"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62">
        <w:r>
          <w:rPr>
            <w:rStyle w:val="Hyperlink"/>
          </w:rPr>
          <w:t xml:space="preserve">10.1111/1365-2435.12470</w:t>
        </w:r>
      </w:hyperlink>
    </w:p>
    <w:bookmarkEnd w:id="63"/>
    <w:bookmarkStart w:id="64" w:name="ref-applequist_simple_1958"/>
    <w:p>
      <w:pPr>
        <w:pStyle w:val="Bibliography"/>
      </w:pPr>
      <w:r>
        <w:t xml:space="preserve">Applequist, M. (1958). A simple pith locator for use with off-center increment cores.</w:t>
      </w:r>
      <w:r>
        <w:t xml:space="preserve"> </w:t>
      </w:r>
      <w:r>
        <w:rPr>
          <w:i/>
        </w:rPr>
        <w:t xml:space="preserve">Journal of Forestry</w:t>
      </w:r>
      <w:r>
        <w:t xml:space="preserve">.</w:t>
      </w:r>
    </w:p>
    <w:bookmarkEnd w:id="64"/>
    <w:bookmarkStart w:id="66"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65">
        <w:r>
          <w:rPr>
            <w:rStyle w:val="Hyperlink"/>
          </w:rPr>
          <w:t xml:space="preserve">10.1674/0003-0031-180.1.18</w:t>
        </w:r>
      </w:hyperlink>
    </w:p>
    <w:bookmarkEnd w:id="66"/>
    <w:bookmarkStart w:id="68"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67">
        <w:r>
          <w:rPr>
            <w:rStyle w:val="Hyperlink"/>
          </w:rPr>
          <w:t xml:space="preserve">10.1017/S0266467406003312</w:t>
        </w:r>
      </w:hyperlink>
    </w:p>
    <w:bookmarkEnd w:id="68"/>
    <w:bookmarkStart w:id="69"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69"/>
    <w:bookmarkStart w:id="71" w:name="ref-beedlow_importance_2013"/>
    <w:p>
      <w:pPr>
        <w:pStyle w:val="Bibliography"/>
      </w:pPr>
      <w:r>
        <w:t xml:space="preserve">Beedlow, P. A., Lee, E. H., Tingey, D. T., Waschmann, R. S., &amp; Burdick, C. A. (2013). The importance of seasonal temperature and moisture patterns on growth of Douglas-fir in western Oregon, USA.</w:t>
      </w:r>
      <w:r>
        <w:t xml:space="preserve"> </w:t>
      </w:r>
      <w:r>
        <w:rPr>
          <w:i/>
        </w:rPr>
        <w:t xml:space="preserve">Agricultural and Forest Meteorology</w:t>
      </w:r>
      <w:r>
        <w:t xml:space="preserve">,</w:t>
      </w:r>
      <w:r>
        <w:t xml:space="preserve"> </w:t>
      </w:r>
      <w:r>
        <w:rPr>
          <w:i/>
        </w:rPr>
        <w:t xml:space="preserve">169</w:t>
      </w:r>
      <w:r>
        <w:t xml:space="preserve">, 174–185. doi:</w:t>
      </w:r>
      <w:hyperlink r:id="rId70">
        <w:r>
          <w:rPr>
            <w:rStyle w:val="Hyperlink"/>
          </w:rPr>
          <w:t xml:space="preserve">10.1016/j.agrformet.2012.10.010</w:t>
        </w:r>
      </w:hyperlink>
    </w:p>
    <w:bookmarkEnd w:id="71"/>
    <w:bookmarkStart w:id="73"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72">
        <w:r>
          <w:rPr>
            <w:rStyle w:val="Hyperlink"/>
          </w:rPr>
          <w:t xml:space="preserve">10.1038/nplants.2015.139</w:t>
        </w:r>
      </w:hyperlink>
    </w:p>
    <w:bookmarkEnd w:id="73"/>
    <w:bookmarkStart w:id="74"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w:t>
      </w:r>
    </w:p>
    <w:bookmarkEnd w:id="74"/>
    <w:bookmarkStart w:id="76" w:name="ref-bumann_assessing_2019"/>
    <w:p>
      <w:pPr>
        <w:pStyle w:val="Bibliography"/>
      </w:pPr>
      <w:r>
        <w:t xml:space="preserve">Bumann, E., Awada, T., Wardlow, B., Hayes, M., Okalebo, J., Helzer, C., … Cherubini, P. (2019). Assessing responses of</w:t>
      </w:r>
      <w:r>
        <w:t xml:space="preserve"> </w:t>
      </w:r>
      <w:r>
        <w:rPr>
          <w:i/>
        </w:rPr>
        <w:t xml:space="preserve">Betula</w:t>
      </w:r>
      <w:r>
        <w:t xml:space="preserve"> </w:t>
      </w:r>
      <w:r>
        <w:rPr>
          <w:i/>
        </w:rPr>
        <w:t xml:space="preserve">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75">
        <w:r>
          <w:rPr>
            <w:rStyle w:val="Hyperlink"/>
          </w:rPr>
          <w:t xml:space="preserve">10.1139/cjfr-2018-0206</w:t>
        </w:r>
      </w:hyperlink>
    </w:p>
    <w:bookmarkEnd w:id="76"/>
    <w:bookmarkStart w:id="78"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77">
        <w:r>
          <w:rPr>
            <w:rStyle w:val="Hyperlink"/>
          </w:rPr>
          <w:t xml:space="preserve">10.1111/gcb.13535</w:t>
        </w:r>
      </w:hyperlink>
    </w:p>
    <w:bookmarkEnd w:id="78"/>
    <w:bookmarkStart w:id="80"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79">
        <w:r>
          <w:rPr>
            <w:rStyle w:val="Hyperlink"/>
          </w:rPr>
          <w:t xml:space="preserve">10.1111/ele.12650</w:t>
        </w:r>
      </w:hyperlink>
    </w:p>
    <w:bookmarkEnd w:id="80"/>
    <w:bookmarkStart w:id="82" w:name="ref-cook_calculating_1997"/>
    <w:p>
      <w:pPr>
        <w:pStyle w:val="Bibliography"/>
      </w:pPr>
      <w:r>
        <w:t xml:space="preserve">Cook, E. R., &amp; Peters, K. (1997). Calculating unbiased tree-ring indices for the study of climatic and environmental change.</w:t>
      </w:r>
      <w:r>
        <w:t xml:space="preserve"> </w:t>
      </w:r>
      <w:r>
        <w:rPr>
          <w:i/>
        </w:rPr>
        <w:t xml:space="preserve">The Holocene</w:t>
      </w:r>
      <w:r>
        <w:t xml:space="preserve">,</w:t>
      </w:r>
      <w:r>
        <w:t xml:space="preserve"> </w:t>
      </w:r>
      <w:r>
        <w:rPr>
          <w:i/>
        </w:rPr>
        <w:t xml:space="preserve">7</w:t>
      </w:r>
      <w:r>
        <w:t xml:space="preserve">(3), 361–370. doi:</w:t>
      </w:r>
      <w:hyperlink r:id="rId81">
        <w:r>
          <w:rPr>
            <w:rStyle w:val="Hyperlink"/>
          </w:rPr>
          <w:t xml:space="preserve">10.1177/095968369700700314</w:t>
        </w:r>
      </w:hyperlink>
    </w:p>
    <w:bookmarkEnd w:id="82"/>
    <w:bookmarkStart w:id="84"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83">
        <w:r>
          <w:rPr>
            <w:rStyle w:val="Hyperlink"/>
          </w:rPr>
          <w:t xml:space="preserve">10.1038/s41467-020-14300-5</w:t>
        </w:r>
      </w:hyperlink>
    </w:p>
    <w:bookmarkEnd w:id="84"/>
    <w:bookmarkStart w:id="85" w:name="ref-duncan_evaluation_1989"/>
    <w:p>
      <w:pPr>
        <w:pStyle w:val="Bibliography"/>
      </w:pPr>
      <w:r>
        <w:t xml:space="preserve">Duncan, R. P. (1989). An evaluation of errors in tree age estimates based on increment cores in kahikatea (Dacrycarpus dacrydioides).</w:t>
      </w:r>
      <w:r>
        <w:t xml:space="preserve"> </w:t>
      </w:r>
      <w:r>
        <w:rPr>
          <w:i/>
        </w:rPr>
        <w:t xml:space="preserve">New Zealand Natural Sciences</w:t>
      </w:r>
      <w:r>
        <w:t xml:space="preserve">,</w:t>
      </w:r>
      <w:r>
        <w:t xml:space="preserve"> </w:t>
      </w:r>
      <w:r>
        <w:rPr>
          <w:i/>
        </w:rPr>
        <w:t xml:space="preserve">16</w:t>
      </w:r>
      <w:r>
        <w:t xml:space="preserve">, 31–37.</w:t>
      </w:r>
    </w:p>
    <w:bookmarkEnd w:id="85"/>
    <w:bookmarkStart w:id="87" w:name="ref-esper_divergence_2009"/>
    <w:p>
      <w:pPr>
        <w:pStyle w:val="Bibliography"/>
      </w:pPr>
      <w:r>
        <w:t xml:space="preserve">Esper, J., &amp; Frank, D. (2009). Divergence pitfalls in tree-ring research.</w:t>
      </w:r>
      <w:r>
        <w:t xml:space="preserve"> </w:t>
      </w:r>
      <w:r>
        <w:rPr>
          <w:i/>
        </w:rPr>
        <w:t xml:space="preserve">Climatic Change</w:t>
      </w:r>
      <w:r>
        <w:t xml:space="preserve">,</w:t>
      </w:r>
      <w:r>
        <w:t xml:space="preserve"> </w:t>
      </w:r>
      <w:r>
        <w:rPr>
          <w:i/>
        </w:rPr>
        <w:t xml:space="preserve">94</w:t>
      </w:r>
      <w:r>
        <w:t xml:space="preserve">(3-4), 261–266. doi:</w:t>
      </w:r>
      <w:hyperlink r:id="rId86">
        <w:r>
          <w:rPr>
            <w:rStyle w:val="Hyperlink"/>
          </w:rPr>
          <w:t xml:space="preserve">10.1007/s10584-009-9594-2</w:t>
        </w:r>
      </w:hyperlink>
    </w:p>
    <w:bookmarkEnd w:id="87"/>
    <w:bookmarkStart w:id="89"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88">
        <w:r>
          <w:rPr>
            <w:rStyle w:val="Hyperlink"/>
          </w:rPr>
          <w:t xml:space="preserve">10.1111/gcb.13208</w:t>
        </w:r>
      </w:hyperlink>
    </w:p>
    <w:bookmarkEnd w:id="89"/>
    <w:bookmarkStart w:id="91" w:name="ref-friedlingstein_climatecarbon_2006"/>
    <w:p>
      <w:pPr>
        <w:pStyle w:val="Bibliography"/>
      </w:pPr>
      <w:r>
        <w:t xml:space="preserve">Friedlingstein, P., Cox, P., Betts, R., Bopp, L., von Bloh, W.,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90">
        <w:r>
          <w:rPr>
            <w:rStyle w:val="Hyperlink"/>
          </w:rPr>
          <w:t xml:space="preserve">10.1175/JCLI3800.1</w:t>
        </w:r>
      </w:hyperlink>
    </w:p>
    <w:bookmarkEnd w:id="91"/>
    <w:bookmarkStart w:id="92" w:name="ref-fritts_tree_1976"/>
    <w:p>
      <w:pPr>
        <w:pStyle w:val="Bibliography"/>
      </w:pPr>
      <w:r>
        <w:t xml:space="preserve">Fritts, H. C. (1976).</w:t>
      </w:r>
      <w:r>
        <w:t xml:space="preserve"> </w:t>
      </w:r>
      <w:r>
        <w:rPr>
          <w:i/>
        </w:rPr>
        <w:t xml:space="preserve">Tree rings and climate</w:t>
      </w:r>
      <w:r>
        <w:t xml:space="preserve">. London; New York: Academic Press.</w:t>
      </w:r>
    </w:p>
    <w:bookmarkEnd w:id="92"/>
    <w:bookmarkStart w:id="94" w:name="ref-gillerot_tree_2020"/>
    <w:p>
      <w:pPr>
        <w:pStyle w:val="Bibliography"/>
      </w:pPr>
      <w:r>
        <w:t xml:space="preserve">Gillerot, L., Forrester, D. I., Bottero, A., Rigling, A., &amp; Lévesque, M. (2020). Tree Neighbourhood Diversity Has Negligible Effects on Drought Resilience of European Beech, Silver Fir and Norway Spruce.</w:t>
      </w:r>
      <w:r>
        <w:t xml:space="preserve"> </w:t>
      </w:r>
      <w:r>
        <w:rPr>
          <w:i/>
        </w:rPr>
        <w:t xml:space="preserve">Ecosystems</w:t>
      </w:r>
      <w:r>
        <w:t xml:space="preserve">. doi:</w:t>
      </w:r>
      <w:hyperlink r:id="rId93">
        <w:r>
          <w:rPr>
            <w:rStyle w:val="Hyperlink"/>
          </w:rPr>
          <w:t xml:space="preserve">10.1007/s10021-020-00501-y</w:t>
        </w:r>
      </w:hyperlink>
    </w:p>
    <w:bookmarkEnd w:id="94"/>
    <w:bookmarkStart w:id="96" w:name="X81070c8dded57796bffe4e046459a048702f082"/>
    <w:p>
      <w:pPr>
        <w:pStyle w:val="Bibliography"/>
      </w:pPr>
      <w:r>
        <w:t xml:space="preserve">Gonzalez-Akre, E., McGregor, I., Anderson-Teixeira, K., Dow, C., Herrmann, V., Terrell, A., … RHelcoski. (2020, October). SCBI-ForestGEO/SCBI-ForestGEO-Data: First release with hydraulic traits data. Zenodo. doi:</w:t>
      </w:r>
      <w:hyperlink r:id="rId95">
        <w:r>
          <w:rPr>
            <w:rStyle w:val="Hyperlink"/>
          </w:rPr>
          <w:t xml:space="preserve">10.5281/ZENODO.4070038</w:t>
        </w:r>
      </w:hyperlink>
    </w:p>
    <w:bookmarkEnd w:id="96"/>
    <w:bookmarkStart w:id="98"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97">
        <w:r>
          <w:rPr>
            <w:rStyle w:val="Hyperlink"/>
          </w:rPr>
          <w:t xml:space="preserve">10.2307/1937545</w:t>
        </w:r>
      </w:hyperlink>
    </w:p>
    <w:bookmarkEnd w:id="98"/>
    <w:bookmarkStart w:id="100" w:name="ref-hacket-pain_consistent_2016"/>
    <w:p>
      <w:pPr>
        <w:pStyle w:val="Bibliography"/>
      </w:pPr>
      <w:r>
        <w:t xml:space="preserve">Hacket-Pain, A. J., Cavin, L., Friend, A. D., &amp; Jump, A. S. (2016). Consistent limitation of growth by high temperature and low precipitation from range core to southern edge of European beech indicates widespread vulnerability to changing climate.</w:t>
      </w:r>
      <w:r>
        <w:t xml:space="preserve"> </w:t>
      </w:r>
      <w:r>
        <w:rPr>
          <w:i/>
        </w:rPr>
        <w:t xml:space="preserve">European Journal of Forest Research</w:t>
      </w:r>
      <w:r>
        <w:t xml:space="preserve">,</w:t>
      </w:r>
      <w:r>
        <w:t xml:space="preserve"> </w:t>
      </w:r>
      <w:r>
        <w:rPr>
          <w:i/>
        </w:rPr>
        <w:t xml:space="preserve">135</w:t>
      </w:r>
      <w:r>
        <w:t xml:space="preserve">(5), 897–909. doi:</w:t>
      </w:r>
      <w:hyperlink r:id="rId99">
        <w:r>
          <w:rPr>
            <w:rStyle w:val="Hyperlink"/>
          </w:rPr>
          <w:t xml:space="preserve">10.1007/s10342-016-0982-7</w:t>
        </w:r>
      </w:hyperlink>
    </w:p>
    <w:bookmarkEnd w:id="100"/>
    <w:bookmarkStart w:id="102"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101">
        <w:r>
          <w:rPr>
            <w:rStyle w:val="Hyperlink"/>
          </w:rPr>
          <w:t xml:space="preserve">10.1002/joc.3711</w:t>
        </w:r>
      </w:hyperlink>
    </w:p>
    <w:bookmarkEnd w:id="102"/>
    <w:bookmarkStart w:id="104"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103">
        <w:r>
          <w:rPr>
            <w:rStyle w:val="Hyperlink"/>
          </w:rPr>
          <w:t xml:space="preserve">10.1038/s41597-020-0453-3</w:t>
        </w:r>
      </w:hyperlink>
    </w:p>
    <w:bookmarkEnd w:id="104"/>
    <w:bookmarkStart w:id="106"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105">
        <w:r>
          <w:rPr>
            <w:rStyle w:val="Hyperlink"/>
          </w:rPr>
          <w:t xml:space="preserve">10.1111/nph.15906</w:t>
        </w:r>
      </w:hyperlink>
    </w:p>
    <w:bookmarkEnd w:id="106"/>
    <w:bookmarkStart w:id="107"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107"/>
    <w:bookmarkStart w:id="109"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108">
        <w:r>
          <w:rPr>
            <w:rStyle w:val="Hyperlink"/>
          </w:rPr>
          <w:t xml:space="preserve">10.1038/s41467-018-07800-y</w:t>
        </w:r>
      </w:hyperlink>
    </w:p>
    <w:bookmarkEnd w:id="109"/>
    <w:bookmarkStart w:id="111"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110">
        <w:r>
          <w:rPr>
            <w:rStyle w:val="Hyperlink"/>
          </w:rPr>
          <w:t xml:space="preserve">10.1111/nph.15668</w:t>
        </w:r>
      </w:hyperlink>
    </w:p>
    <w:bookmarkEnd w:id="111"/>
    <w:bookmarkStart w:id="113" w:name="ref-mathias_disentangling_2018"/>
    <w:p>
      <w:pPr>
        <w:pStyle w:val="Bibliography"/>
      </w:pPr>
      <w:r>
        <w:t xml:space="preserve">Mathias, J. M., &amp; Thomas, R. B. (2018). Disentangling the effects of acidic air pollution, atmospheric CO</w:t>
      </w:r>
      <w:r>
        <w:t xml:space="preserve"> </w:t>
      </w:r>
      <w:r>
        <w:rPr>
          <w:vertAlign w:val="subscript"/>
        </w:rPr>
        <w:t xml:space="preserve">2</w:t>
      </w:r>
      <w:r>
        <w:t xml:space="preserve"> </w:t>
      </w:r>
      <w:r>
        <w:t xml:space="preserve">, and climate change on recent growth of red spruce trees in the Central Appalachian Mountains.</w:t>
      </w:r>
      <w:r>
        <w:t xml:space="preserve"> </w:t>
      </w:r>
      <w:r>
        <w:rPr>
          <w:i/>
        </w:rPr>
        <w:t xml:space="preserve">Global Change Biology</w:t>
      </w:r>
      <w:r>
        <w:t xml:space="preserve">. doi:</w:t>
      </w:r>
      <w:hyperlink r:id="rId112">
        <w:r>
          <w:rPr>
            <w:rStyle w:val="Hyperlink"/>
          </w:rPr>
          <w:t xml:space="preserve">10.1111/gcb.14273</w:t>
        </w:r>
      </w:hyperlink>
    </w:p>
    <w:bookmarkEnd w:id="113"/>
    <w:bookmarkStart w:id="115" w:name="ref-maxwell_increased_2017"/>
    <w:p>
      <w:pPr>
        <w:pStyle w:val="Bibliography"/>
      </w:pPr>
      <w:r>
        <w:t xml:space="preserve">Maxwell, J. T., &amp; Harley, G. L. (2017). Increased tree-ring network density reveals more precise estimations of sub-regional hydroclimate variability and climate dynamics in the Midwest, USA.</w:t>
      </w:r>
      <w:r>
        <w:t xml:space="preserve"> </w:t>
      </w:r>
      <w:r>
        <w:rPr>
          <w:i/>
        </w:rPr>
        <w:t xml:space="preserve">Climate Dynamics</w:t>
      </w:r>
      <w:r>
        <w:t xml:space="preserve">,</w:t>
      </w:r>
      <w:r>
        <w:t xml:space="preserve"> </w:t>
      </w:r>
      <w:r>
        <w:rPr>
          <w:i/>
        </w:rPr>
        <w:t xml:space="preserve">49</w:t>
      </w:r>
      <w:r>
        <w:t xml:space="preserve">(4), 1479–1493. doi:</w:t>
      </w:r>
      <w:hyperlink r:id="rId114">
        <w:r>
          <w:rPr>
            <w:rStyle w:val="Hyperlink"/>
          </w:rPr>
          <w:t xml:space="preserve">10.1007/s00382-016-3396-9</w:t>
        </w:r>
      </w:hyperlink>
    </w:p>
    <w:bookmarkEnd w:id="115"/>
    <w:bookmarkStart w:id="117"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116">
        <w:r>
          <w:rPr>
            <w:rStyle w:val="Hyperlink"/>
          </w:rPr>
          <w:t xml:space="preserve">10.1007/s10584-016-1720-3</w:t>
        </w:r>
      </w:hyperlink>
    </w:p>
    <w:bookmarkEnd w:id="117"/>
    <w:bookmarkStart w:id="119"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118">
        <w:r>
          <w:rPr>
            <w:rStyle w:val="Hyperlink"/>
          </w:rPr>
          <w:t xml:space="preserve">10.1126/science.aaz9463</w:t>
        </w:r>
      </w:hyperlink>
    </w:p>
    <w:bookmarkEnd w:id="119"/>
    <w:bookmarkStart w:id="121" w:name="ref-mcgregor_tree_2020"/>
    <w:p>
      <w:pPr>
        <w:pStyle w:val="Bibliography"/>
      </w:pPr>
      <w:r>
        <w:t xml:space="preserve">McGregor, I. R., Helcoski, R., Kunert, N., Tepley, A. J., Gonzalez-Akre, E. B., Herrmann, V., … Anderson-Teixeira, K. J. (2020). Tree height and leaf drought tolerance traits shape growth responses across droughts in a temperate broadleaf forest.</w:t>
      </w:r>
      <w:r>
        <w:t xml:space="preserve"> </w:t>
      </w:r>
      <w:r>
        <w:rPr>
          <w:i/>
        </w:rPr>
        <w:t xml:space="preserve">New Phytologist</w:t>
      </w:r>
      <w:r>
        <w:t xml:space="preserve">. doi:</w:t>
      </w:r>
      <w:hyperlink r:id="rId120">
        <w:r>
          <w:rPr>
            <w:rStyle w:val="Hyperlink"/>
          </w:rPr>
          <w:t xml:space="preserve">10.1111/nph.16996</w:t>
        </w:r>
      </w:hyperlink>
    </w:p>
    <w:bookmarkEnd w:id="121"/>
    <w:bookmarkStart w:id="122"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w:t>
      </w:r>
    </w:p>
    <w:bookmarkEnd w:id="122"/>
    <w:bookmarkStart w:id="124" w:name="ref-paton_barro_2019"/>
    <w:p>
      <w:pPr>
        <w:pStyle w:val="Bibliography"/>
      </w:pPr>
      <w:r>
        <w:t xml:space="preserve">Paton, S. (2019, October). Barro Colorado Island, Clearing_Precipitation, manual. The Smithsonian Institution. doi:</w:t>
      </w:r>
      <w:hyperlink r:id="rId123">
        <w:r>
          <w:rPr>
            <w:rStyle w:val="Hyperlink"/>
          </w:rPr>
          <w:t xml:space="preserve">10.25573/data.10042502.v3</w:t>
        </w:r>
      </w:hyperlink>
    </w:p>
    <w:bookmarkEnd w:id="124"/>
    <w:bookmarkStart w:id="126" w:name="ref-pederson_is_2013"/>
    <w:p>
      <w:pPr>
        <w:pStyle w:val="Bibliography"/>
      </w:pPr>
      <w:r>
        <w:t xml:space="preserve">Pederson, N., Bell, A. R., Cook, E. R., Lall, U., Devineni, N., Seager, R., … Vranes, K. P. (2013). Is an Epic Pluvial Masking the Water Insecurity of the Greater New York City Region?,</w:t>
      </w:r>
      <w:r>
        <w:t xml:space="preserve"> </w:t>
      </w:r>
      <w:r>
        <w:rPr>
          <w:i/>
        </w:rPr>
        <w:t xml:space="preserve">Journal of Climate</w:t>
      </w:r>
      <w:r>
        <w:t xml:space="preserve">,</w:t>
      </w:r>
      <w:r>
        <w:t xml:space="preserve"> </w:t>
      </w:r>
      <w:r>
        <w:rPr>
          <w:i/>
        </w:rPr>
        <w:t xml:space="preserve">26</w:t>
      </w:r>
      <w:r>
        <w:t xml:space="preserve">(4), 1339–1354. doi:</w:t>
      </w:r>
      <w:hyperlink r:id="rId125">
        <w:r>
          <w:rPr>
            <w:rStyle w:val="Hyperlink"/>
          </w:rPr>
          <w:t xml:space="preserve">10.1175/JCLI-D-11-00723.1</w:t>
        </w:r>
      </w:hyperlink>
    </w:p>
    <w:bookmarkEnd w:id="126"/>
    <w:bookmarkStart w:id="128"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27">
        <w:r>
          <w:rPr>
            <w:rStyle w:val="Hyperlink"/>
          </w:rPr>
          <w:t xml:space="preserve">10.1111/gcb.12826</w:t>
        </w:r>
      </w:hyperlink>
    </w:p>
    <w:bookmarkEnd w:id="128"/>
    <w:bookmarkStart w:id="130"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29">
        <w:r>
          <w:rPr>
            <w:rStyle w:val="Hyperlink"/>
          </w:rPr>
          <w:t xml:space="preserve">10.1016/j.dendro.2020.125678</w:t>
        </w:r>
      </w:hyperlink>
    </w:p>
    <w:bookmarkEnd w:id="130"/>
    <w:bookmarkStart w:id="132"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31">
        <w:r>
          <w:rPr>
            <w:rStyle w:val="Hyperlink"/>
          </w:rPr>
          <w:t xml:space="preserve">10.1111/2041-210X.12753</w:t>
        </w:r>
      </w:hyperlink>
    </w:p>
    <w:bookmarkEnd w:id="132"/>
    <w:bookmarkStart w:id="134" w:name="ref-sniderhan_growth_2016"/>
    <w:p>
      <w:pPr>
        <w:pStyle w:val="Bibliography"/>
      </w:pPr>
      <w:r>
        <w:t xml:space="preserve">Sniderhan, A. E., &amp; Baltzer, J. L. (2016). Growth dynamics of black spruce (</w:t>
      </w:r>
      <w:r>
        <w:t xml:space="preserve"> </w:t>
      </w:r>
      <w:r>
        <w:rPr>
          <w:i/>
        </w:rPr>
        <w:t xml:space="preserve">Picea</w:t>
      </w:r>
      <w:r>
        <w:t xml:space="preserve"> </w:t>
      </w:r>
      <w:r>
        <w:rPr>
          <w:i/>
        </w:rPr>
        <w:t xml:space="preserve">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33">
        <w:r>
          <w:rPr>
            <w:rStyle w:val="Hyperlink"/>
          </w:rPr>
          <w:t xml:space="preserve">10.1002/2016JG003528</w:t>
        </w:r>
      </w:hyperlink>
    </w:p>
    <w:bookmarkEnd w:id="134"/>
    <w:bookmarkStart w:id="136"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 90–93. doi:</w:t>
      </w:r>
      <w:hyperlink r:id="rId135">
        <w:r>
          <w:rPr>
            <w:rStyle w:val="Hyperlink"/>
          </w:rPr>
          <w:t xml:space="preserve">10.1038/nature12914</w:t>
        </w:r>
      </w:hyperlink>
    </w:p>
    <w:bookmarkEnd w:id="136"/>
    <w:bookmarkStart w:id="138"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37">
        <w:r>
          <w:rPr>
            <w:rStyle w:val="Hyperlink"/>
          </w:rPr>
          <w:t xml:space="preserve">10.1126/science.aaw7578</w:t>
        </w:r>
      </w:hyperlink>
    </w:p>
    <w:bookmarkEnd w:id="138"/>
    <w:bookmarkStart w:id="140"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39">
        <w:r>
          <w:rPr>
            <w:rStyle w:val="Hyperlink"/>
          </w:rPr>
          <w:t xml:space="preserve">10.1111/jvs.12025</w:t>
        </w:r>
      </w:hyperlink>
    </w:p>
    <w:bookmarkEnd w:id="140"/>
    <w:bookmarkStart w:id="142"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41">
        <w:r>
          <w:rPr>
            <w:rStyle w:val="Hyperlink"/>
          </w:rPr>
          <w:t xml:space="preserve">10.1016/j.agrformet.2017.08.007</w:t>
        </w:r>
      </w:hyperlink>
    </w:p>
    <w:bookmarkEnd w:id="142"/>
    <w:bookmarkStart w:id="14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43">
        <w:r>
          <w:rPr>
            <w:rStyle w:val="Hyperlink"/>
          </w:rPr>
          <w:t xml:space="preserve">10.1111/gcb.14120</w:t>
        </w:r>
      </w:hyperlink>
    </w:p>
    <w:bookmarkEnd w:id="144"/>
    <w:bookmarkStart w:id="146"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45">
        <w:r>
          <w:rPr>
            <w:rStyle w:val="Hyperlink"/>
          </w:rPr>
          <w:t xml:space="preserve">10.5194/cp-9-1481-2013</w:t>
        </w:r>
      </w:hyperlink>
    </w:p>
    <w:bookmarkEnd w:id="146"/>
    <w:bookmarkStart w:id="148"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47">
        <w:r>
          <w:rPr>
            <w:rStyle w:val="Hyperlink"/>
          </w:rPr>
          <w:t xml:space="preserve">10.1016/j.agrformet.2017.07.015</w:t>
        </w:r>
      </w:hyperlink>
    </w:p>
    <w:bookmarkEnd w:id="148"/>
    <w:bookmarkStart w:id="150" w:name="ref-van_de_pol_identifying_2016"/>
    <w:p>
      <w:pPr>
        <w:pStyle w:val="Bibliography"/>
      </w:pPr>
      <w:r>
        <w:t xml:space="preserve">van de Pol, M.,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49">
        <w:r>
          <w:rPr>
            <w:rStyle w:val="Hyperlink"/>
          </w:rPr>
          <w:t xml:space="preserve">10.1111/2041-210X.12590</w:t>
        </w:r>
      </w:hyperlink>
    </w:p>
    <w:bookmarkEnd w:id="150"/>
    <w:bookmarkStart w:id="152"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51">
        <w:r>
          <w:rPr>
            <w:rStyle w:val="Hyperlink"/>
          </w:rPr>
          <w:t xml:space="preserve">10.1007/s00442-013-2846-x</w:t>
        </w:r>
      </w:hyperlink>
    </w:p>
    <w:bookmarkEnd w:id="152"/>
    <w:bookmarkStart w:id="154" w:name="ref-walker_integrating_2020"/>
    <w:p>
      <w:pPr>
        <w:pStyle w:val="Bibliography"/>
      </w:pPr>
      <w:r>
        <w:t xml:space="preserve">Walker, A. P., Kauwe, M. G. D., Bastos, A., Belmecheri, S., Georgiou, K., Keeling, R., … Zuidema, P. A. (2020).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53">
        <w:r>
          <w:rPr>
            <w:rStyle w:val="Hyperlink"/>
          </w:rPr>
          <w:t xml:space="preserve">10.1111/nph.16866</w:t>
        </w:r>
      </w:hyperlink>
    </w:p>
    <w:bookmarkEnd w:id="154"/>
    <w:bookmarkStart w:id="156"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55">
        <w:r>
          <w:rPr>
            <w:rStyle w:val="Hyperlink"/>
          </w:rPr>
          <w:t xml:space="preserve">10.1111/gcb.15057</w:t>
        </w:r>
      </w:hyperlink>
    </w:p>
    <w:bookmarkEnd w:id="156"/>
    <w:bookmarkStart w:id="158" w:name="ref-zang_treeclim_2015"/>
    <w:p>
      <w:pPr>
        <w:pStyle w:val="Bibliography"/>
      </w:pPr>
      <w:r>
        <w:t xml:space="preserve">Zang, C., &amp; Biondi, F. (2015). Treeclim : An R package for the numerical calibration of proxy-climate relationships.</w:t>
      </w:r>
      <w:r>
        <w:t xml:space="preserve"> </w:t>
      </w:r>
      <w:r>
        <w:rPr>
          <w:i/>
        </w:rPr>
        <w:t xml:space="preserve">Ecography</w:t>
      </w:r>
      <w:r>
        <w:t xml:space="preserve">,</w:t>
      </w:r>
      <w:r>
        <w:t xml:space="preserve"> </w:t>
      </w:r>
      <w:r>
        <w:rPr>
          <w:i/>
        </w:rPr>
        <w:t xml:space="preserve">38</w:t>
      </w:r>
      <w:r>
        <w:t xml:space="preserve">(4), 431–436. doi:</w:t>
      </w:r>
      <w:hyperlink r:id="rId157">
        <w:r>
          <w:rPr>
            <w:rStyle w:val="Hyperlink"/>
          </w:rPr>
          <w:t xml:space="preserve">10.1111/ecog.01335</w:t>
        </w:r>
      </w:hyperlink>
    </w:p>
    <w:bookmarkEnd w:id="158"/>
    <w:bookmarkEnd w:id="159"/>
    <w:bookmarkEnd w:id="160"/>
    <w:sectPr w:rsidR="0030046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27" Target="media/rId27.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33" Target="https://doi.org/10.1002/2016JG003528" TargetMode="External" /><Relationship Type="http://schemas.openxmlformats.org/officeDocument/2006/relationships/hyperlink" Id="rId101" Target="https://doi.org/10.1002/joc.3711" TargetMode="External" /><Relationship Type="http://schemas.openxmlformats.org/officeDocument/2006/relationships/hyperlink" Id="rId114" Target="https://doi.org/10.1007/s00382-016-3396-9" TargetMode="External" /><Relationship Type="http://schemas.openxmlformats.org/officeDocument/2006/relationships/hyperlink" Id="rId151"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93" Target="https://doi.org/10.1007/s10021-020-00501-y" TargetMode="External" /><Relationship Type="http://schemas.openxmlformats.org/officeDocument/2006/relationships/hyperlink" Id="rId99" Target="https://doi.org/10.1007/s10342-016-0982-7" TargetMode="External" /><Relationship Type="http://schemas.openxmlformats.org/officeDocument/2006/relationships/hyperlink" Id="rId86" Target="https://doi.org/10.1007/s10584-009-9594-2" TargetMode="External" /><Relationship Type="http://schemas.openxmlformats.org/officeDocument/2006/relationships/hyperlink" Id="rId116" Target="https://doi.org/10.1007/s10584-016-1720-3" TargetMode="External" /><Relationship Type="http://schemas.openxmlformats.org/officeDocument/2006/relationships/hyperlink" Id="rId70" Target="https://doi.org/10.1016/j.agrformet.2012.10.010" TargetMode="External" /><Relationship Type="http://schemas.openxmlformats.org/officeDocument/2006/relationships/hyperlink" Id="rId147" Target="https://doi.org/10.1016/j.agrformet.2017.07.015" TargetMode="External" /><Relationship Type="http://schemas.openxmlformats.org/officeDocument/2006/relationships/hyperlink" Id="rId141" Target="https://doi.org/10.1016/j.agrformet.2017.08.007" TargetMode="External" /><Relationship Type="http://schemas.openxmlformats.org/officeDocument/2006/relationships/hyperlink" Id="rId129" Target="https://doi.org/10.1016/j.dendro.2020.125678" TargetMode="External" /><Relationship Type="http://schemas.openxmlformats.org/officeDocument/2006/relationships/hyperlink" Id="rId67" Target="https://doi.org/10.1017/S0266467406003312" TargetMode="External" /><Relationship Type="http://schemas.openxmlformats.org/officeDocument/2006/relationships/hyperlink" Id="rId135" Target="https://doi.org/10.1038/nature12914" TargetMode="External" /><Relationship Type="http://schemas.openxmlformats.org/officeDocument/2006/relationships/hyperlink" Id="rId72" Target="https://doi.org/10.1038/nplants.2015.139" TargetMode="External" /><Relationship Type="http://schemas.openxmlformats.org/officeDocument/2006/relationships/hyperlink" Id="rId108" Target="https://doi.org/10.1038/s41467-018-07800-y" TargetMode="External" /><Relationship Type="http://schemas.openxmlformats.org/officeDocument/2006/relationships/hyperlink" Id="rId83" Target="https://doi.org/10.1038/s41467-020-14300-5" TargetMode="External" /><Relationship Type="http://schemas.openxmlformats.org/officeDocument/2006/relationships/hyperlink" Id="rId103" Target="https://doi.org/10.1038/s41597-020-0453-3" TargetMode="External" /><Relationship Type="http://schemas.openxmlformats.org/officeDocument/2006/relationships/hyperlink" Id="rId62" Target="https://doi.org/10.1111/1365-2435.12470" TargetMode="External" /><Relationship Type="http://schemas.openxmlformats.org/officeDocument/2006/relationships/hyperlink" Id="rId149" Target="https://doi.org/10.1111/2041-210X.12590" TargetMode="External" /><Relationship Type="http://schemas.openxmlformats.org/officeDocument/2006/relationships/hyperlink" Id="rId131" Target="https://doi.org/10.1111/2041-210X.12753" TargetMode="External" /><Relationship Type="http://schemas.openxmlformats.org/officeDocument/2006/relationships/hyperlink" Id="rId157" Target="https://doi.org/10.1111/ecog.01335" TargetMode="External" /><Relationship Type="http://schemas.openxmlformats.org/officeDocument/2006/relationships/hyperlink" Id="rId79"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127" Target="https://doi.org/10.1111/gcb.12826" TargetMode="External" /><Relationship Type="http://schemas.openxmlformats.org/officeDocument/2006/relationships/hyperlink" Id="rId88" Target="https://doi.org/10.1111/gcb.13208" TargetMode="External" /><Relationship Type="http://schemas.openxmlformats.org/officeDocument/2006/relationships/hyperlink" Id="rId77" Target="https://doi.org/10.1111/gcb.13535" TargetMode="External" /><Relationship Type="http://schemas.openxmlformats.org/officeDocument/2006/relationships/hyperlink" Id="rId143" Target="https://doi.org/10.1111/gcb.14120" TargetMode="External" /><Relationship Type="http://schemas.openxmlformats.org/officeDocument/2006/relationships/hyperlink" Id="rId112" Target="https://doi.org/10.1111/gcb.14273" TargetMode="External" /><Relationship Type="http://schemas.openxmlformats.org/officeDocument/2006/relationships/hyperlink" Id="rId155" Target="https://doi.org/10.1111/gcb.15057" TargetMode="External" /><Relationship Type="http://schemas.openxmlformats.org/officeDocument/2006/relationships/hyperlink" Id="rId139" Target="https://doi.org/10.1111/jvs.12025" TargetMode="External" /><Relationship Type="http://schemas.openxmlformats.org/officeDocument/2006/relationships/hyperlink" Id="rId110" Target="https://doi.org/10.1111/nph.15668" TargetMode="External" /><Relationship Type="http://schemas.openxmlformats.org/officeDocument/2006/relationships/hyperlink" Id="rId105" Target="https://doi.org/10.1111/nph.15906" TargetMode="External" /><Relationship Type="http://schemas.openxmlformats.org/officeDocument/2006/relationships/hyperlink" Id="rId153" Target="https://doi.org/10.1111/nph.16866" TargetMode="External" /><Relationship Type="http://schemas.openxmlformats.org/officeDocument/2006/relationships/hyperlink" Id="rId120" Target="https://doi.org/10.1111/nph.16996" TargetMode="External" /><Relationship Type="http://schemas.openxmlformats.org/officeDocument/2006/relationships/hyperlink" Id="rId137" Target="https://doi.org/10.1126/science.aaw7578" TargetMode="External" /><Relationship Type="http://schemas.openxmlformats.org/officeDocument/2006/relationships/hyperlink" Id="rId118" Target="https://doi.org/10.1126/science.aaz9463" TargetMode="External" /><Relationship Type="http://schemas.openxmlformats.org/officeDocument/2006/relationships/hyperlink" Id="rId75" Target="https://doi.org/10.1139/cjfr-2018-0206" TargetMode="External" /><Relationship Type="http://schemas.openxmlformats.org/officeDocument/2006/relationships/hyperlink" Id="rId125" Target="https://doi.org/10.1175/JCLI-D-11-00723.1" TargetMode="External" /><Relationship Type="http://schemas.openxmlformats.org/officeDocument/2006/relationships/hyperlink" Id="rId90" Target="https://doi.org/10.1175/JCLI3800.1" TargetMode="External" /><Relationship Type="http://schemas.openxmlformats.org/officeDocument/2006/relationships/hyperlink" Id="rId81" Target="https://doi.org/10.1177/095968369700700314" TargetMode="External" /><Relationship Type="http://schemas.openxmlformats.org/officeDocument/2006/relationships/hyperlink" Id="rId65" Target="https://doi.org/10.1674/0003-0031-180.1.18" TargetMode="External" /><Relationship Type="http://schemas.openxmlformats.org/officeDocument/2006/relationships/hyperlink" Id="rId97" Target="https://doi.org/10.2307/1937545" TargetMode="External" /><Relationship Type="http://schemas.openxmlformats.org/officeDocument/2006/relationships/hyperlink" Id="rId123" Target="https://doi.org/10.25573/data.10042502.v3" TargetMode="External" /><Relationship Type="http://schemas.openxmlformats.org/officeDocument/2006/relationships/hyperlink" Id="rId145"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95"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33" Target="https://doi.org/10.1002/2016JG003528" TargetMode="External" /><Relationship Type="http://schemas.openxmlformats.org/officeDocument/2006/relationships/hyperlink" Id="rId101" Target="https://doi.org/10.1002/joc.3711" TargetMode="External" /><Relationship Type="http://schemas.openxmlformats.org/officeDocument/2006/relationships/hyperlink" Id="rId114" Target="https://doi.org/10.1007/s00382-016-3396-9" TargetMode="External" /><Relationship Type="http://schemas.openxmlformats.org/officeDocument/2006/relationships/hyperlink" Id="rId151"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93" Target="https://doi.org/10.1007/s10021-020-00501-y" TargetMode="External" /><Relationship Type="http://schemas.openxmlformats.org/officeDocument/2006/relationships/hyperlink" Id="rId99" Target="https://doi.org/10.1007/s10342-016-0982-7" TargetMode="External" /><Relationship Type="http://schemas.openxmlformats.org/officeDocument/2006/relationships/hyperlink" Id="rId86" Target="https://doi.org/10.1007/s10584-009-9594-2" TargetMode="External" /><Relationship Type="http://schemas.openxmlformats.org/officeDocument/2006/relationships/hyperlink" Id="rId116" Target="https://doi.org/10.1007/s10584-016-1720-3" TargetMode="External" /><Relationship Type="http://schemas.openxmlformats.org/officeDocument/2006/relationships/hyperlink" Id="rId70" Target="https://doi.org/10.1016/j.agrformet.2012.10.010" TargetMode="External" /><Relationship Type="http://schemas.openxmlformats.org/officeDocument/2006/relationships/hyperlink" Id="rId147" Target="https://doi.org/10.1016/j.agrformet.2017.07.015" TargetMode="External" /><Relationship Type="http://schemas.openxmlformats.org/officeDocument/2006/relationships/hyperlink" Id="rId141" Target="https://doi.org/10.1016/j.agrformet.2017.08.007" TargetMode="External" /><Relationship Type="http://schemas.openxmlformats.org/officeDocument/2006/relationships/hyperlink" Id="rId129" Target="https://doi.org/10.1016/j.dendro.2020.125678" TargetMode="External" /><Relationship Type="http://schemas.openxmlformats.org/officeDocument/2006/relationships/hyperlink" Id="rId67" Target="https://doi.org/10.1017/S0266467406003312" TargetMode="External" /><Relationship Type="http://schemas.openxmlformats.org/officeDocument/2006/relationships/hyperlink" Id="rId135" Target="https://doi.org/10.1038/nature12914" TargetMode="External" /><Relationship Type="http://schemas.openxmlformats.org/officeDocument/2006/relationships/hyperlink" Id="rId72" Target="https://doi.org/10.1038/nplants.2015.139" TargetMode="External" /><Relationship Type="http://schemas.openxmlformats.org/officeDocument/2006/relationships/hyperlink" Id="rId108" Target="https://doi.org/10.1038/s41467-018-07800-y" TargetMode="External" /><Relationship Type="http://schemas.openxmlformats.org/officeDocument/2006/relationships/hyperlink" Id="rId83" Target="https://doi.org/10.1038/s41467-020-14300-5" TargetMode="External" /><Relationship Type="http://schemas.openxmlformats.org/officeDocument/2006/relationships/hyperlink" Id="rId103" Target="https://doi.org/10.1038/s41597-020-0453-3" TargetMode="External" /><Relationship Type="http://schemas.openxmlformats.org/officeDocument/2006/relationships/hyperlink" Id="rId62" Target="https://doi.org/10.1111/1365-2435.12470" TargetMode="External" /><Relationship Type="http://schemas.openxmlformats.org/officeDocument/2006/relationships/hyperlink" Id="rId149" Target="https://doi.org/10.1111/2041-210X.12590" TargetMode="External" /><Relationship Type="http://schemas.openxmlformats.org/officeDocument/2006/relationships/hyperlink" Id="rId131" Target="https://doi.org/10.1111/2041-210X.12753" TargetMode="External" /><Relationship Type="http://schemas.openxmlformats.org/officeDocument/2006/relationships/hyperlink" Id="rId157" Target="https://doi.org/10.1111/ecog.01335" TargetMode="External" /><Relationship Type="http://schemas.openxmlformats.org/officeDocument/2006/relationships/hyperlink" Id="rId79"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127" Target="https://doi.org/10.1111/gcb.12826" TargetMode="External" /><Relationship Type="http://schemas.openxmlformats.org/officeDocument/2006/relationships/hyperlink" Id="rId88" Target="https://doi.org/10.1111/gcb.13208" TargetMode="External" /><Relationship Type="http://schemas.openxmlformats.org/officeDocument/2006/relationships/hyperlink" Id="rId77" Target="https://doi.org/10.1111/gcb.13535" TargetMode="External" /><Relationship Type="http://schemas.openxmlformats.org/officeDocument/2006/relationships/hyperlink" Id="rId143" Target="https://doi.org/10.1111/gcb.14120" TargetMode="External" /><Relationship Type="http://schemas.openxmlformats.org/officeDocument/2006/relationships/hyperlink" Id="rId112" Target="https://doi.org/10.1111/gcb.14273" TargetMode="External" /><Relationship Type="http://schemas.openxmlformats.org/officeDocument/2006/relationships/hyperlink" Id="rId155" Target="https://doi.org/10.1111/gcb.15057" TargetMode="External" /><Relationship Type="http://schemas.openxmlformats.org/officeDocument/2006/relationships/hyperlink" Id="rId139" Target="https://doi.org/10.1111/jvs.12025" TargetMode="External" /><Relationship Type="http://schemas.openxmlformats.org/officeDocument/2006/relationships/hyperlink" Id="rId110" Target="https://doi.org/10.1111/nph.15668" TargetMode="External" /><Relationship Type="http://schemas.openxmlformats.org/officeDocument/2006/relationships/hyperlink" Id="rId105" Target="https://doi.org/10.1111/nph.15906" TargetMode="External" /><Relationship Type="http://schemas.openxmlformats.org/officeDocument/2006/relationships/hyperlink" Id="rId153" Target="https://doi.org/10.1111/nph.16866" TargetMode="External" /><Relationship Type="http://schemas.openxmlformats.org/officeDocument/2006/relationships/hyperlink" Id="rId120" Target="https://doi.org/10.1111/nph.16996" TargetMode="External" /><Relationship Type="http://schemas.openxmlformats.org/officeDocument/2006/relationships/hyperlink" Id="rId137" Target="https://doi.org/10.1126/science.aaw7578" TargetMode="External" /><Relationship Type="http://schemas.openxmlformats.org/officeDocument/2006/relationships/hyperlink" Id="rId118" Target="https://doi.org/10.1126/science.aaz9463" TargetMode="External" /><Relationship Type="http://schemas.openxmlformats.org/officeDocument/2006/relationships/hyperlink" Id="rId75" Target="https://doi.org/10.1139/cjfr-2018-0206" TargetMode="External" /><Relationship Type="http://schemas.openxmlformats.org/officeDocument/2006/relationships/hyperlink" Id="rId125" Target="https://doi.org/10.1175/JCLI-D-11-00723.1" TargetMode="External" /><Relationship Type="http://schemas.openxmlformats.org/officeDocument/2006/relationships/hyperlink" Id="rId90" Target="https://doi.org/10.1175/JCLI3800.1" TargetMode="External" /><Relationship Type="http://schemas.openxmlformats.org/officeDocument/2006/relationships/hyperlink" Id="rId81" Target="https://doi.org/10.1177/095968369700700314" TargetMode="External" /><Relationship Type="http://schemas.openxmlformats.org/officeDocument/2006/relationships/hyperlink" Id="rId65" Target="https://doi.org/10.1674/0003-0031-180.1.18" TargetMode="External" /><Relationship Type="http://schemas.openxmlformats.org/officeDocument/2006/relationships/hyperlink" Id="rId97" Target="https://doi.org/10.2307/1937545" TargetMode="External" /><Relationship Type="http://schemas.openxmlformats.org/officeDocument/2006/relationships/hyperlink" Id="rId123" Target="https://doi.org/10.25573/data.10042502.v3" TargetMode="External" /><Relationship Type="http://schemas.openxmlformats.org/officeDocument/2006/relationships/hyperlink" Id="rId145"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95"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7995</Words>
  <Characters>45578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2020-10-18T13:47:45Z</dcterms:created>
  <dcterms:modified xsi:type="dcterms:W3CDTF">2020-10-18T13:47:45Z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@gonzalez-akre_scbi-forestgeoscbi-forestgeo-data_2020-1; @aus_de_ar_tree_2018; @bumann_assessing_2019; @samonil_individual-based_2013; @kaspar_species-specific_nodate</vt:lpwstr>
  </property>
  <property fmtid="{D5CDD505-2E9C-101B-9397-08002B2CF9AE}" pid="5" name="output">
    <vt:lpwstr/>
  </property>
</Properties>
</file>