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8.png" ContentType="image/png"/>
  <Override PartName="/word/media/rId34.png" ContentType="image/png"/>
  <Override PartName="/word/media/rId33.png" ContentType="image/png"/>
  <Override PartName="/word/media/rId27.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How do climate drivers 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K. J.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 1).</w:t>
      </w:r>
      <w:r>
        <w:t xml:space="preserve"> </w:t>
      </w:r>
      <w:r>
        <w:t xml:space="preserve">In using this variety of data sources, we ensured that our approach was able to handle a variety of challenges presented by varying methodologies and forest types.</w:t>
      </w:r>
    </w:p>
    <w:p>
      <w:pPr>
        <w:pStyle w:val="BodyText"/>
      </w:pPr>
      <w:r>
        <w:rPr>
          <w:b/>
        </w:rPr>
        <w:t xml:space="preserve">Table 1 | Sites included in this analysis</w:t>
      </w:r>
      <w:r>
        <w:t xml:space="preserve"> </w:t>
      </w:r>
      <w:r>
        <w:drawing>
          <wp:inline>
            <wp:extent cx="5334000" cy="2660349"/>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60349"/>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parts of records before or after (whichever was shorter) any year where</w:t>
      </w:r>
      <w:r>
        <w:t xml:space="preserve"> </w:t>
      </w:r>
      <m:oMath>
        <m:r>
          <m:t>Δ</m:t>
        </m:r>
        <m:r>
          <m:t>r</m:t>
        </m:r>
      </m:oMath>
      <w:r>
        <w:t xml:space="preserve"> </w:t>
      </w:r>
      <w:r>
        <w:t xml:space="preserve">exceeded the mean plus five times the standard deviation of</w:t>
      </w:r>
      <w:r>
        <w:t xml:space="preserve"> </w:t>
      </w:r>
      <m:oMath>
        <m:r>
          <m:t>Δ</m:t>
        </m:r>
        <m:r>
          <m:t>r</m:t>
        </m:r>
      </m:oMath>
      <w:r>
        <w:t xml:space="preserve"> </w:t>
      </w:r>
      <w:r>
        <w:t xml:space="preserve">for the entire core, along with a 5-year buffer in the opposite direction,</w:t>
      </w:r>
      <w:r>
        <w:t xml:space="preserve"> </w:t>
      </w:r>
      <w:r>
        <w:rPr>
          <w:i/>
        </w:rPr>
        <w:t xml:space="preserve">(this part needs rewording)</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(3) parts of records where reconstructed</w:t>
      </w:r>
      <w:r>
        <w:t xml:space="preserve"> </w:t>
      </w:r>
      <m:oMath>
        <m:r>
          <m:t>D</m:t>
        </m:r>
        <m:r>
          <m:t>B</m:t>
        </m:r>
        <m:r>
          <m:t>H</m:t>
        </m:r>
      </m:oMath>
      <w:r>
        <w:t xml:space="preserve"> </w:t>
      </w:r>
      <w:r>
        <w:t xml:space="preserve">(see below) was represented by &lt;3 conspecific trees.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28">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9">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0">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rPr>
          <w:i/>
        </w:rPr>
        <w:t xml:space="preserve">Combining drivers in GLS model</w:t>
      </w:r>
    </w:p>
    <w:p>
      <w:pPr>
        <w:pStyle w:val="BodyText"/>
      </w:pPr>
      <w:r>
        <w:t xml:space="preserve">Second, we combined candidate climate drivers and reconstructed</w:t>
      </w:r>
      <w:r>
        <w:t xml:space="preserve"> </w:t>
      </w:r>
      <m:oMath>
        <m:r>
          <m:t>D</m:t>
        </m:r>
        <m:r>
          <m:t>B</m:t>
        </m:r>
        <m:r>
          <m:t>H</m:t>
        </m:r>
      </m:oMath>
      <w:r>
        <w:t xml:space="preserve"> </w:t>
      </w:r>
      <w:r>
        <w:t xml:space="preserve">data in a GLS model (Fig. 1).</w:t>
      </w:r>
      <w:r>
        <w:t xml:space="preserve"> </w:t>
      </w:r>
      <w:r>
        <w:rPr>
          <w:i/>
        </w:rPr>
        <w:t xml:space="preserve">(need to describe GLS models better)</w:t>
      </w:r>
      <w:r>
        <w:t xml:space="preserve"> </w:t>
      </w:r>
      <w:r>
        <w:rPr>
          <w:i/>
        </w:rPr>
        <w:t xml:space="preserve">(DBH not included in models focused on climate sensitivity.)</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 random intercept for each tree, and</w:t>
      </w:r>
      <w:r>
        <w:t xml:space="preserve"> </w:t>
      </w:r>
      <w:r>
        <w:rPr>
          <w:i/>
        </w:rPr>
        <w:t xml:space="preserve">a temporal autocorrelation matrix</w:t>
      </w:r>
      <w:r>
        <w:t xml:space="preserve">.</w:t>
      </w:r>
      <w:r>
        <w:t xml:space="preserve"> </w:t>
      </w:r>
      <w:r>
        <w:t xml:space="preserve">We also ran models with a spline of DBH (3 knots).</w:t>
      </w:r>
      <w:r>
        <w:t xml:space="preserve"> </w:t>
      </w:r>
      <w:r>
        <w:t xml:space="preserve">Across all possible models, variable AICc weights were summed to determine which drivers are most important. (</w:t>
      </w:r>
      <w:r>
        <w:rPr>
          <w:i/>
        </w:rPr>
        <w:t xml:space="preserve">Valentine, we’ll need some more details here.</w:t>
      </w:r>
      <w:r>
        <w:t xml:space="preserve">)</w:t>
      </w:r>
      <w:r>
        <w:t xml:space="preserve"> </w:t>
      </w:r>
      <w:r>
        <w:t xml:space="preserve">We considered the model containing those variables as the top model, noting that the top model can contain terms that are not individually significant in the context of that model.</w:t>
      </w:r>
    </w:p>
    <w:p>
      <w:pPr>
        <w:pStyle w:val="BodyText"/>
      </w:pPr>
      <w:r>
        <w:rPr>
          <w:i/>
        </w:rPr>
        <w:t xml:space="preserve">Additive and interactive effects of climate and DBH</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THIS IS STILL CONFUSING– add months prior in (a), maybe put box around months identified by climwin)"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(THIS IS STILL CONFUSING– add months prior in (a), maybe put box around months identified by climwin)</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 S2-S4).</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 S2).</w:t>
      </w:r>
      <w:r>
        <w:t xml:space="preserve"> </w:t>
      </w:r>
      <w:r>
        <w:t xml:space="preserve">In # cases (),</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 S3).</w:t>
      </w:r>
      <w:r>
        <w:t xml:space="preserve"> </w:t>
      </w:r>
      <w:r>
        <w:t xml:space="preserve">Finally, in</w:t>
      </w:r>
      <w:r>
        <w:t xml:space="preserve"> </w:t>
      </w:r>
      <w:r>
        <w:rPr>
          <w:i/>
        </w:rPr>
        <w:t xml:space="preserve">2</w:t>
      </w:r>
      <w:r>
        <w:t xml:space="preserve"> </w:t>
      </w:r>
      <w:r>
        <w:t xml:space="preserve">cases (temperature variable group at BCI, precipitation variable group at HF),</w:t>
      </w:r>
      <w:r>
        <w:t xml:space="preserve"> </w:t>
      </w:r>
      <w:r>
        <w:rPr>
          <w:i/>
        </w:rPr>
        <w:t xml:space="preserve">climwin</w:t>
      </w:r>
      <w:r>
        <w:t xml:space="preserve"> </w:t>
      </w:r>
      <w:r>
        <w:t xml:space="preserve">identified different climate variables and different time windows (e.g., Fig. S4). All of these variables had weak effects and mixed responses among species in the final models (Fig. 3).</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e</m:t>
            </m:r>
            <m:r>
              <m:t>a</m:t>
            </m:r>
            <m:r>
              <m:t>n</m:t>
            </m:r>
          </m:sub>
        </m:sSub>
      </m:oMath>
      <w:r>
        <w:t xml:space="preserve"> </w:t>
      </w:r>
      <w:r>
        <w:t xml:space="preserve">and</w:t>
      </w:r>
      <w:r>
        <w:t xml:space="preserve"> </w:t>
      </w:r>
      <m:oMath>
        <m:sSub>
          <m:e>
            <m:r>
              <m:t>T</m:t>
            </m:r>
          </m:e>
          <m:sub>
            <m:r>
              <m:t>m</m:t>
            </m:r>
            <m:r>
              <m:t>i</m:t>
            </m:r>
            <m:r>
              <m:t>n</m:t>
            </m:r>
          </m:sub>
        </m:sSub>
      </m:oMath>
      <w:r>
        <w:t xml:space="preserve"> </w:t>
      </w:r>
      <w:r>
        <w:t xml:space="preserve">were never identified as top variables within the temperature group (Fig. 3).</w:t>
      </w:r>
      <w:r>
        <w:t xml:space="preserve"> </w:t>
      </w:r>
      <w:r>
        <w:t xml:space="preserve">Within the precipitation group, precipitation amount (PRE) was identified as the top variable most frequently (n=</w:t>
      </w:r>
      <w:r>
        <w:rPr>
          <w:i/>
        </w:rPr>
        <w:t xml:space="preserve">5 of 8</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w:t>
      </w:r>
      <w:r>
        <w:t xml:space="preserve"> </w:t>
      </w:r>
      <w:r>
        <w:rPr>
          <w:i/>
        </w:rPr>
        <w:t xml:space="preserve">4</w:t>
      </w:r>
      <w:r>
        <w:t xml:space="preserve"> </w:t>
      </w:r>
      <w:r>
        <w:t xml:space="preserve">sites (BCI, HKK, LT,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Species-level responses to climwin-selected variables in precipitation and temperature variable groups. For each species (color-coded as in Fig. 4), relationships are plotted if included in top model.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to climwin-selected variables in precipitation and temperature variable groups.</w:t>
      </w:r>
      <w:r>
        <w:t xml:space="preserve"> </w:t>
      </w:r>
      <w:r>
        <w:t xml:space="preserve">For each species (color-coded as in Fig. 4), relationships are plotted if included in top model.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 3).</w:t>
      </w:r>
      <w:r>
        <w:t xml:space="preserve"> </w:t>
      </w:r>
      <w:r>
        <w:t xml:space="preserve">Responses were most commonly positive, and were most pronounced at the driest site (Little Tesuque).</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Little Tesuque), with the most common pattern (#%) being a decelerating increase.</w:t>
      </w:r>
    </w:p>
    <w:p>
      <w:pPr>
        <w:pStyle w:val="BodyText"/>
      </w:pPr>
      <w:r>
        <w:t xml:space="preserve">Temperature responses were included in the best model at all sites</w:t>
      </w:r>
      <w:r>
        <w:t xml:space="preserve"> </w:t>
      </w:r>
      <w:r>
        <w:rPr>
          <w:i/>
        </w:rPr>
        <w:t xml:space="preserve">(but BCI?</w:t>
      </w:r>
      <w:r>
        <w:rPr>
          <w:i/>
        </w:rPr>
        <w:t xml:space="preserve"> </w:t>
      </w:r>
      <w:hyperlink r:id="rId35">
        <w:r>
          <w:rPr>
            <w:rStyle w:val="Hyperlink"/>
            <w:i/>
          </w:rPr>
          <w:t xml:space="preserve">ISSUE #62 in ForestGEO-climate-sensitivity</w:t>
        </w:r>
      </w:hyperlink>
      <w:r>
        <w:rPr>
          <w:i/>
        </w:rPr>
        <w:t xml:space="preserve">)</w:t>
      </w:r>
      <w:r>
        <w:t xml:space="preserve"> </w:t>
      </w:r>
      <w:r>
        <w:t xml:space="preserve">and</w:t>
      </w:r>
      <w:r>
        <w:t xml:space="preserve"> </w:t>
      </w:r>
      <w:r>
        <w:rPr>
          <w:i/>
        </w:rPr>
        <w:t xml:space="preserve">for the majority of species</w:t>
      </w:r>
      <w:r>
        <w:t xml:space="preserve"> </w:t>
      </w:r>
      <w:r>
        <w:t xml:space="preserve">(Fig. 3).</w:t>
      </w:r>
      <w:r>
        <w:t xml:space="preserve"> </w:t>
      </w:r>
      <w:r>
        <w:t xml:space="preserve">Specifically, a temperature term was included in the best model for # of # site-species combinations.</w:t>
      </w:r>
      <w:r>
        <w:t xml:space="preserve"> </w:t>
      </w:r>
      <w:r>
        <w:t xml:space="preserve">Responses shifted from</w:t>
      </w:r>
      <w:r>
        <w:t xml:space="preserve"> </w:t>
      </w:r>
      <w:r>
        <w:rPr>
          <w:i/>
        </w:rPr>
        <w:t xml:space="preserve">near</w:t>
      </w:r>
      <w:r>
        <w:t xml:space="preserve">-universally negative below 40</w:t>
      </w:r>
      <m:oMath>
        <m:sSup>
          <m:e>
            <m:r>
              <m:t>​</m:t>
            </m:r>
          </m:e>
          <m:sup>
            <m:r>
              <m:t>∘</m:t>
            </m:r>
          </m:sup>
        </m:sSup>
      </m:oMath>
      <w:r>
        <w:t xml:space="preserve"> </w:t>
      </w:r>
      <w:r>
        <w:t xml:space="preserve">latitude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0">
        <w:r>
          <w:rPr>
            <w:rStyle w:val="Hyperlink"/>
            <w:i/>
          </w:rPr>
          <w:t xml:space="preserve">ISSUE #25 in ForestGEO-climate-sensitivity</w:t>
        </w:r>
      </w:hyperlink>
      <w:r>
        <w:rPr>
          <w:i/>
        </w:rPr>
        <w:t xml:space="preserve">)</w:t>
      </w:r>
      <w:r>
        <w:t xml:space="preserve"> </w:t>
      </w:r>
      <w:r>
        <w:t xml:space="preserve">Temperature terms included in top models were non-linear #% of the time, and significantly better than first-order linear model #% of the time.</w:t>
      </w:r>
      <w:r>
        <w:t xml:space="preserve"> </w:t>
      </w:r>
      <w:r>
        <w:t xml:space="preserve">The non-linearity was rarely pronounced…</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 4).</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 4).</w:t>
      </w:r>
    </w:p>
    <w:p>
      <w:pPr>
        <w:pStyle w:val="CaptionedFigure"/>
      </w:pPr>
      <w:r>
        <w:drawing>
          <wp:inline>
            <wp:extent cx="5334000" cy="6667499"/>
            <wp:effectExtent b="0" l="0" r="0" t="0"/>
            <wp:docPr descr="Figure 4 | Growth sensitivity to DBH: (a) \Delta r, (b) BAI, (c) \Delta AGB. Only relationships included in the top model for each site are shown."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6"/>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relationships included in the top model for each site are shown.</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 5).</w:t>
      </w:r>
    </w:p>
    <w:p>
      <w:pPr>
        <w:pStyle w:val="BodyText"/>
      </w:pPr>
      <w:r>
        <w:t xml:space="preserve">**The relative importance of</w:t>
      </w:r>
      <w:r>
        <w:t xml:space="preserve"> </w:t>
      </w:r>
      <m:oMath>
        <m:r>
          <m:t>D</m:t>
        </m:r>
        <m:r>
          <m:t>B</m:t>
        </m:r>
        <m:r>
          <m:t>H</m:t>
        </m:r>
      </m:oMath>
      <w:r>
        <w:t xml:space="preserve"> </w:t>
      </w:r>
      <w:r>
        <w:t xml:space="preserve">and climate shifted across growth metrics and climates (Figs. 5, S#_#).** (</w:t>
      </w:r>
      <w:r>
        <w:rPr>
          <w:i/>
        </w:rPr>
        <w:t xml:space="preserve">It will be easier to fill this in once we complete</w:t>
      </w:r>
      <w:r>
        <w:rPr>
          <w:i/>
        </w:rPr>
        <w:t xml:space="preserve"> </w:t>
      </w:r>
      <w:hyperlink r:id="rId37">
        <w:r>
          <w:rPr>
            <w:rStyle w:val="Hyperlink"/>
            <w:i/>
          </w:rPr>
          <w:t xml:space="preserve">ISSUE #66 in ForestGEO-climate-sensitivity</w:t>
        </w:r>
      </w:hyperlink>
      <w: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 5).</w:t>
      </w:r>
      <w:r>
        <w:t xml:space="preserve"> </w:t>
      </w:r>
      <w:r>
        <w:t xml:space="preserve">However, there were exceptions (e.g., at Little Tesuque; Fig. 5).</w:t>
      </w:r>
      <w:r>
        <w:t xml:space="preserve"> </w:t>
      </w:r>
      <w:r>
        <w:t xml:space="preserve">The relative importance of climate was modest at sites including SCBI, …, and stronger at sites including Little Tesuque, … (Figs 5, S#-S#).</w:t>
      </w:r>
    </w:p>
    <w:p>
      <w:pPr>
        <w:pStyle w:val="CaptionedFigure"/>
      </w:pPr>
      <w:r>
        <w:drawing>
          <wp:inline>
            <wp:extent cx="5334000" cy="2989454"/>
            <wp:effectExtent b="0" l="0" r="0" t="0"/>
            <wp:docPr descr="Figure 5 | Comparison of full top models for each growth metric (\Delta r, BAI, \Delta AGB) at sites where climatic controls are modest (SCBI, left panel) and strong (Little Tesuque, right panel). For each species, relationships are plotted if included in top model. Vertical grey lines indicate the long-term mean for the climate variable, shading indicates 1 SD." title="" id="1" name="Picture"/>
            <a:graphic>
              <a:graphicData uri="http://schemas.openxmlformats.org/drawingml/2006/picture">
                <pic:pic>
                  <pic:nvPicPr>
                    <pic:cNvPr descr="tables_figures/full_model_comparison.png" id="0" name="Picture"/>
                    <pic:cNvPicPr>
                      <a:picLocks noChangeArrowheads="1" noChangeAspect="1"/>
                    </pic:cNvPicPr>
                  </pic:nvPicPr>
                  <pic:blipFill>
                    <a:blip r:embed="rId38"/>
                    <a:stretch>
                      <a:fillRect/>
                    </a:stretch>
                  </pic:blipFill>
                  <pic:spPr bwMode="auto">
                    <a:xfrm>
                      <a:off x="0" y="0"/>
                      <a:ext cx="5334000" cy="2989454"/>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modest (SCBI, left panel) and strong (Little Tesuque, right panel).</w:t>
      </w:r>
      <w:r>
        <w:t xml:space="preserve"> </w:t>
      </w:r>
      <w:r>
        <w:t xml:space="preserve">For each species, relationships are plotted if included in top model.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9" w:name="discussion"/>
      <w:r>
        <w:t xml:space="preserve">Discussion</w:t>
      </w:r>
      <w:bookmarkEnd w:id="39"/>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common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 4)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40">
        <w:r>
          <w:rPr>
            <w:rStyle w:val="Hyperlink"/>
            <w:i/>
          </w:rPr>
          <w:t xml:space="preserve">Clark et al. 2007?</w:t>
        </w:r>
      </w:hyperlink>
      <w:r>
        <w:rPr>
          <w:i/>
        </w:rPr>
        <w:t xml:space="preserve">;</w:t>
      </w:r>
      <w:r>
        <w:rPr>
          <w:i/>
        </w:rPr>
        <w:t xml:space="preserve"> </w:t>
      </w:r>
      <w:hyperlink r:id="rId41">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drought tends to have a disproportionate impact on large trees</w:t>
      </w:r>
      <w:r>
        <w:t xml:space="preserve"> </w:t>
      </w:r>
      <w:r>
        <w:t xml:space="preserve">(Bennett et al., 2015; McGregor et al., n.d.)</w:t>
      </w:r>
      <w:r>
        <w:t xml:space="preserve"> </w:t>
      </w:r>
      <w:r>
        <w:t xml:space="preserve">and that</w:t>
      </w:r>
      <w:r>
        <w:t xml:space="preserve"> </w:t>
      </w:r>
      <w:r>
        <w:rPr>
          <w:i/>
        </w:rPr>
        <w:t xml:space="preserve">temperature sensitivity can vary across size classes (Rollinson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2" w:name="acknowledgements"/>
      <w:r>
        <w:t xml:space="preserve">Acknowledgements</w:t>
      </w:r>
      <w:bookmarkEnd w:id="42"/>
    </w:p>
    <w:p>
      <w:pPr>
        <w:pStyle w:val="FirstParagraph"/>
      </w:pPr>
      <w:r>
        <w:t xml:space="preserve">This analysis was funded by a Smithsonian Scholarly Studies grant to KAT, SM, HCM, and CP.</w:t>
      </w:r>
    </w:p>
    <w:p>
      <w:pPr>
        <w:pStyle w:val="Heading3"/>
      </w:pPr>
      <w:bookmarkStart w:id="43" w:name="authors-contributions"/>
      <w:r>
        <w:t xml:space="preserve">Authors’ contributions</w:t>
      </w:r>
      <w:bookmarkEnd w:id="43"/>
    </w:p>
    <w:p>
      <w:pPr>
        <w:pStyle w:val="Heading3"/>
      </w:pPr>
      <w:bookmarkStart w:id="44" w:name="references"/>
      <w:r>
        <w:t xml:space="preserve">References</w:t>
      </w:r>
      <w:bookmarkEnd w:id="44"/>
    </w:p>
    <w:bookmarkStart w:id="119" w:name="refs"/>
    <w:bookmarkStart w:id="46"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5">
        <w:r>
          <w:rPr>
            <w:rStyle w:val="Hyperlink"/>
          </w:rPr>
          <w:t xml:space="preserve">10.1007/s00442-017-3879-3</w:t>
        </w:r>
      </w:hyperlink>
    </w:p>
    <w:bookmarkEnd w:id="46"/>
    <w:bookmarkStart w:id="48"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7">
        <w:r>
          <w:rPr>
            <w:rStyle w:val="Hyperlink"/>
          </w:rPr>
          <w:t xml:space="preserve">10.5281/ZENODO.3958216</w:t>
        </w:r>
      </w:hyperlink>
    </w:p>
    <w:bookmarkEnd w:id="48"/>
    <w:bookmarkStart w:id="50"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9">
        <w:r>
          <w:rPr>
            <w:rStyle w:val="Hyperlink"/>
          </w:rPr>
          <w:t xml:space="preserve">10.1111/gcb.12712</w:t>
        </w:r>
      </w:hyperlink>
    </w:p>
    <w:bookmarkEnd w:id="50"/>
    <w:bookmarkStart w:id="52"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1">
        <w:r>
          <w:rPr>
            <w:rStyle w:val="Hyperlink"/>
          </w:rPr>
          <w:t xml:space="preserve">10.1111/1365-2435.12470</w:t>
        </w:r>
      </w:hyperlink>
    </w:p>
    <w:bookmarkEnd w:id="52"/>
    <w:bookmarkStart w:id="54"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3">
        <w:r>
          <w:rPr>
            <w:rStyle w:val="Hyperlink"/>
          </w:rPr>
          <w:t xml:space="preserve">10.1017/S0266467406003312</w:t>
        </w:r>
      </w:hyperlink>
    </w:p>
    <w:bookmarkEnd w:id="54"/>
    <w:bookmarkStart w:id="55"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5"/>
    <w:bookmarkStart w:id="57"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6">
        <w:r>
          <w:rPr>
            <w:rStyle w:val="Hyperlink"/>
          </w:rPr>
          <w:t xml:space="preserve">10.1038/nplants.2015.139</w:t>
        </w:r>
      </w:hyperlink>
    </w:p>
    <w:bookmarkEnd w:id="57"/>
    <w:bookmarkStart w:id="59"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8">
        <w:r>
          <w:rPr>
            <w:rStyle w:val="Hyperlink"/>
          </w:rPr>
          <w:t xml:space="preserve">10.1890/03-9000</w:t>
        </w:r>
      </w:hyperlink>
    </w:p>
    <w:bookmarkEnd w:id="59"/>
    <w:bookmarkStart w:id="61"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0">
        <w:r>
          <w:rPr>
            <w:rStyle w:val="Hyperlink"/>
          </w:rPr>
          <w:t xml:space="preserve">10.1111/gcb.13535</w:t>
        </w:r>
      </w:hyperlink>
    </w:p>
    <w:bookmarkEnd w:id="61"/>
    <w:bookmarkStart w:id="63"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2">
        <w:r>
          <w:rPr>
            <w:rStyle w:val="Hyperlink"/>
          </w:rPr>
          <w:t xml:space="preserve">10.1111/ele.12650</w:t>
        </w:r>
      </w:hyperlink>
    </w:p>
    <w:bookmarkEnd w:id="63"/>
    <w:bookmarkStart w:id="65"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4">
        <w:r>
          <w:rPr>
            <w:rStyle w:val="Hyperlink"/>
          </w:rPr>
          <w:t xml:space="preserve">10.1111/gcb.13208</w:t>
        </w:r>
      </w:hyperlink>
    </w:p>
    <w:bookmarkEnd w:id="65"/>
    <w:bookmarkStart w:id="67"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6">
        <w:r>
          <w:rPr>
            <w:rStyle w:val="Hyperlink"/>
          </w:rPr>
          <w:t xml:space="preserve">10.1175/JCLI3800.1</w:t>
        </w:r>
      </w:hyperlink>
    </w:p>
    <w:bookmarkEnd w:id="67"/>
    <w:bookmarkStart w:id="69"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8">
        <w:r>
          <w:rPr>
            <w:rStyle w:val="Hyperlink"/>
          </w:rPr>
          <w:t xml:space="preserve">10.2307/1937545</w:t>
        </w:r>
      </w:hyperlink>
    </w:p>
    <w:bookmarkEnd w:id="69"/>
    <w:bookmarkStart w:id="71"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0">
        <w:r>
          <w:rPr>
            <w:rStyle w:val="Hyperlink"/>
          </w:rPr>
          <w:t xml:space="preserve">10.1002/joc.3711</w:t>
        </w:r>
      </w:hyperlink>
    </w:p>
    <w:bookmarkEnd w:id="71"/>
    <w:bookmarkStart w:id="73"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2">
        <w:r>
          <w:rPr>
            <w:rStyle w:val="Hyperlink"/>
          </w:rPr>
          <w:t xml:space="preserve">10.1038/s41597-020-0453-3</w:t>
        </w:r>
      </w:hyperlink>
    </w:p>
    <w:bookmarkEnd w:id="73"/>
    <w:bookmarkStart w:id="75"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4">
        <w:r>
          <w:rPr>
            <w:rStyle w:val="Hyperlink"/>
          </w:rPr>
          <w:t xml:space="preserve">10.1111/nph.15906</w:t>
        </w:r>
      </w:hyperlink>
    </w:p>
    <w:bookmarkEnd w:id="75"/>
    <w:bookmarkStart w:id="77"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6">
        <w:r>
          <w:rPr>
            <w:rStyle w:val="Hyperlink"/>
          </w:rPr>
          <w:t xml:space="preserve">10.1038/s41467-018-07800-y</w:t>
        </w:r>
      </w:hyperlink>
    </w:p>
    <w:bookmarkEnd w:id="77"/>
    <w:bookmarkStart w:id="79"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8">
        <w:r>
          <w:rPr>
            <w:rStyle w:val="Hyperlink"/>
          </w:rPr>
          <w:t xml:space="preserve">10.1111/nph.15668</w:t>
        </w:r>
      </w:hyperlink>
    </w:p>
    <w:bookmarkEnd w:id="79"/>
    <w:bookmarkStart w:id="81"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0">
        <w:r>
          <w:rPr>
            <w:rStyle w:val="Hyperlink"/>
          </w:rPr>
          <w:t xml:space="preserve">10.1111/gcb.14273</w:t>
        </w:r>
      </w:hyperlink>
    </w:p>
    <w:bookmarkEnd w:id="81"/>
    <w:bookmarkStart w:id="8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2">
        <w:r>
          <w:rPr>
            <w:rStyle w:val="Hyperlink"/>
          </w:rPr>
          <w:t xml:space="preserve">10.1007/s10584-016-1720-3</w:t>
        </w:r>
      </w:hyperlink>
    </w:p>
    <w:bookmarkEnd w:id="83"/>
    <w:bookmarkStart w:id="85"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4">
        <w:r>
          <w:rPr>
            <w:rStyle w:val="Hyperlink"/>
          </w:rPr>
          <w:t xml:space="preserve">10.1126/science.aaz9463</w:t>
        </w:r>
      </w:hyperlink>
    </w:p>
    <w:bookmarkEnd w:id="85"/>
    <w:bookmarkStart w:id="86"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6"/>
    <w:bookmarkStart w:id="8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7">
        <w:r>
          <w:rPr>
            <w:rStyle w:val="Hyperlink"/>
          </w:rPr>
          <w:t xml:space="preserve">http://www.blackwell-synergy.com/doi/abs/10.1111/j.1461-0248.2006.00904.x</w:t>
        </w:r>
      </w:hyperlink>
    </w:p>
    <w:bookmarkEnd w:id="88"/>
    <w:bookmarkStart w:id="90" w:name="ref-paton_barro_2019"/>
    <w:p>
      <w:pPr>
        <w:pStyle w:val="Bibliography"/>
      </w:pPr>
      <w:r>
        <w:t xml:space="preserve">Paton, S. (2019). Barro Colorado Island, Clearing_Precipitation, manual. doi:</w:t>
      </w:r>
      <w:hyperlink r:id="rId89">
        <w:r>
          <w:rPr>
            <w:rStyle w:val="Hyperlink"/>
          </w:rPr>
          <w:t xml:space="preserve">10.25573/data.10042502.v3</w:t>
        </w:r>
      </w:hyperlink>
    </w:p>
    <w:bookmarkEnd w:id="90"/>
    <w:bookmarkStart w:id="92"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91">
        <w:r>
          <w:rPr>
            <w:rStyle w:val="Hyperlink"/>
          </w:rPr>
          <w:t xml:space="preserve">10.1111/gcb.12826</w:t>
        </w:r>
      </w:hyperlink>
    </w:p>
    <w:bookmarkEnd w:id="92"/>
    <w:bookmarkStart w:id="94"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3">
        <w:r>
          <w:rPr>
            <w:rStyle w:val="Hyperlink"/>
          </w:rPr>
          <w:t xml:space="preserve">10.1111/2041-210X.12590</w:t>
        </w:r>
      </w:hyperlink>
    </w:p>
    <w:bookmarkEnd w:id="94"/>
    <w:bookmarkStart w:id="96"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5">
        <w:r>
          <w:rPr>
            <w:rStyle w:val="Hyperlink"/>
          </w:rPr>
          <w:t xml:space="preserve">10.1016/j.dendro.2020.125678</w:t>
        </w:r>
      </w:hyperlink>
    </w:p>
    <w:bookmarkEnd w:id="96"/>
    <w:bookmarkStart w:id="98"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97">
        <w:r>
          <w:rPr>
            <w:rStyle w:val="Hyperlink"/>
          </w:rPr>
          <w:t xml:space="preserve">10.1038/ngeo2313</w:t>
        </w:r>
      </w:hyperlink>
    </w:p>
    <w:bookmarkEnd w:id="98"/>
    <w:bookmarkStart w:id="100"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9">
        <w:r>
          <w:rPr>
            <w:rStyle w:val="Hyperlink"/>
          </w:rPr>
          <w:t xml:space="preserve">10.1002/2016JG003528</w:t>
        </w:r>
      </w:hyperlink>
    </w:p>
    <w:bookmarkEnd w:id="100"/>
    <w:bookmarkStart w:id="102"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1">
        <w:r>
          <w:rPr>
            <w:rStyle w:val="Hyperlink"/>
          </w:rPr>
          <w:t xml:space="preserve">10.1038/nature12914</w:t>
        </w:r>
      </w:hyperlink>
    </w:p>
    <w:bookmarkEnd w:id="102"/>
    <w:bookmarkStart w:id="10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3">
        <w:r>
          <w:rPr>
            <w:rStyle w:val="Hyperlink"/>
          </w:rPr>
          <w:t xml:space="preserve">10.1126/science.aaw7578</w:t>
        </w:r>
      </w:hyperlink>
    </w:p>
    <w:bookmarkEnd w:id="104"/>
    <w:bookmarkStart w:id="106"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105">
        <w:r>
          <w:rPr>
            <w:rStyle w:val="Hyperlink"/>
          </w:rPr>
          <w:t xml:space="preserve">10.1111/ele.12765</w:t>
        </w:r>
      </w:hyperlink>
    </w:p>
    <w:bookmarkEnd w:id="106"/>
    <w:bookmarkStart w:id="108"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7">
        <w:r>
          <w:rPr>
            <w:rStyle w:val="Hyperlink"/>
          </w:rPr>
          <w:t xml:space="preserve">10.1016/j.agrformet.2017.08.007</w:t>
        </w:r>
      </w:hyperlink>
    </w:p>
    <w:bookmarkEnd w:id="108"/>
    <w:bookmarkStart w:id="110"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9">
        <w:r>
          <w:rPr>
            <w:rStyle w:val="Hyperlink"/>
          </w:rPr>
          <w:t xml:space="preserve">10.1111/gcb.14120</w:t>
        </w:r>
      </w:hyperlink>
    </w:p>
    <w:bookmarkEnd w:id="110"/>
    <w:bookmarkStart w:id="112"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11">
        <w:r>
          <w:rPr>
            <w:rStyle w:val="Hyperlink"/>
          </w:rPr>
          <w:t xml:space="preserve">10.5194/cp-9-1481-2013</w:t>
        </w:r>
      </w:hyperlink>
    </w:p>
    <w:bookmarkEnd w:id="112"/>
    <w:bookmarkStart w:id="114"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3">
        <w:r>
          <w:rPr>
            <w:rStyle w:val="Hyperlink"/>
          </w:rPr>
          <w:t xml:space="preserve">10.1016/j.agrformet.2017.07.015</w:t>
        </w:r>
      </w:hyperlink>
    </w:p>
    <w:bookmarkEnd w:id="114"/>
    <w:bookmarkStart w:id="116"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5">
        <w:r>
          <w:rPr>
            <w:rStyle w:val="Hyperlink"/>
          </w:rPr>
          <w:t xml:space="preserve">10.1007/s00442-013-2846-x</w:t>
        </w:r>
      </w:hyperlink>
    </w:p>
    <w:bookmarkEnd w:id="116"/>
    <w:bookmarkStart w:id="118"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7">
        <w:r>
          <w:rPr>
            <w:rStyle w:val="Hyperlink"/>
          </w:rPr>
          <w:t xml:space="preserve">10.1111/nph.16866</w:t>
        </w:r>
      </w:hyperlink>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hyperlink" Id="rId87"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5"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13" Target="https://doi.org/10.1016/j.agrformet.2017.07.015" TargetMode="External" /><Relationship Type="http://schemas.openxmlformats.org/officeDocument/2006/relationships/hyperlink" Id="rId107" Target="https://doi.org/10.1016/j.agrformet.2017.08.007" TargetMode="External" /><Relationship Type="http://schemas.openxmlformats.org/officeDocument/2006/relationships/hyperlink" Id="rId95" Target="https://doi.org/10.1016/j.dendro.2020.125678" TargetMode="External" /><Relationship Type="http://schemas.openxmlformats.org/officeDocument/2006/relationships/hyperlink" Id="rId53"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97" Target="https://doi.org/10.1038/ngeo2313" TargetMode="External" /><Relationship Type="http://schemas.openxmlformats.org/officeDocument/2006/relationships/hyperlink" Id="rId56"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72" Target="https://doi.org/10.1038/s41597-020-0453-3" TargetMode="External" /><Relationship Type="http://schemas.openxmlformats.org/officeDocument/2006/relationships/hyperlink" Id="rId51" Target="https://doi.org/10.1111/1365-2435.12470" TargetMode="External" /><Relationship Type="http://schemas.openxmlformats.org/officeDocument/2006/relationships/hyperlink" Id="rId93" Target="https://doi.org/10.1111/2041-210X.12590" TargetMode="External" /><Relationship Type="http://schemas.openxmlformats.org/officeDocument/2006/relationships/hyperlink" Id="rId62" Target="https://doi.org/10.1111/ele.12650" TargetMode="External" /><Relationship Type="http://schemas.openxmlformats.org/officeDocument/2006/relationships/hyperlink" Id="rId105" Target="https://doi.org/10.1111/ele.12765" TargetMode="External" /><Relationship Type="http://schemas.openxmlformats.org/officeDocument/2006/relationships/hyperlink" Id="rId49" Target="https://doi.org/10.1111/gcb.12712" TargetMode="External" /><Relationship Type="http://schemas.openxmlformats.org/officeDocument/2006/relationships/hyperlink" Id="rId91"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60" Target="https://doi.org/10.1111/gcb.13535" TargetMode="External" /><Relationship Type="http://schemas.openxmlformats.org/officeDocument/2006/relationships/hyperlink" Id="rId109"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7"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4" Target="https://doi.org/10.1126/science.aaz9463" TargetMode="External" /><Relationship Type="http://schemas.openxmlformats.org/officeDocument/2006/relationships/hyperlink" Id="rId66" Target="https://doi.org/10.1175/JCLI3800.1" TargetMode="External" /><Relationship Type="http://schemas.openxmlformats.org/officeDocument/2006/relationships/hyperlink" Id="rId58"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9" Target="https://doi.org/10.25573/data.10042502.v3" TargetMode="External" /><Relationship Type="http://schemas.openxmlformats.org/officeDocument/2006/relationships/hyperlink" Id="rId111" Target="https://doi.org/10.5194/cp-9-1481-2013" TargetMode="External" /><Relationship Type="http://schemas.openxmlformats.org/officeDocument/2006/relationships/hyperlink" Id="rId47" Target="https://doi.org/10.5281/ZENODO.3958216"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5" Target="https://github.com/EcoClimLab/ForestGEO-climate-sensitivity/issues/62" TargetMode="External" /><Relationship Type="http://schemas.openxmlformats.org/officeDocument/2006/relationships/hyperlink" Id="rId37" Target="https://github.com/EcoClimLab/ForestGEO-climate-sensitivity/issues/66"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7"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70" Target="https://doi.org/10.1002/joc.3711" TargetMode="External" /><Relationship Type="http://schemas.openxmlformats.org/officeDocument/2006/relationships/hyperlink" Id="rId115" Target="https://doi.org/10.1007/s00442-013-2846-x" TargetMode="External" /><Relationship Type="http://schemas.openxmlformats.org/officeDocument/2006/relationships/hyperlink" Id="rId45" Target="https://doi.org/10.1007/s00442-017-3879-3" TargetMode="External" /><Relationship Type="http://schemas.openxmlformats.org/officeDocument/2006/relationships/hyperlink" Id="rId82" Target="https://doi.org/10.1007/s10584-016-1720-3" TargetMode="External" /><Relationship Type="http://schemas.openxmlformats.org/officeDocument/2006/relationships/hyperlink" Id="rId113" Target="https://doi.org/10.1016/j.agrformet.2017.07.015" TargetMode="External" /><Relationship Type="http://schemas.openxmlformats.org/officeDocument/2006/relationships/hyperlink" Id="rId107" Target="https://doi.org/10.1016/j.agrformet.2017.08.007" TargetMode="External" /><Relationship Type="http://schemas.openxmlformats.org/officeDocument/2006/relationships/hyperlink" Id="rId95" Target="https://doi.org/10.1016/j.dendro.2020.125678" TargetMode="External" /><Relationship Type="http://schemas.openxmlformats.org/officeDocument/2006/relationships/hyperlink" Id="rId53"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97" Target="https://doi.org/10.1038/ngeo2313" TargetMode="External" /><Relationship Type="http://schemas.openxmlformats.org/officeDocument/2006/relationships/hyperlink" Id="rId56" Target="https://doi.org/10.1038/nplants.2015.139" TargetMode="External" /><Relationship Type="http://schemas.openxmlformats.org/officeDocument/2006/relationships/hyperlink" Id="rId76" Target="https://doi.org/10.1038/s41467-018-07800-y" TargetMode="External" /><Relationship Type="http://schemas.openxmlformats.org/officeDocument/2006/relationships/hyperlink" Id="rId72" Target="https://doi.org/10.1038/s41597-020-0453-3" TargetMode="External" /><Relationship Type="http://schemas.openxmlformats.org/officeDocument/2006/relationships/hyperlink" Id="rId51" Target="https://doi.org/10.1111/1365-2435.12470" TargetMode="External" /><Relationship Type="http://schemas.openxmlformats.org/officeDocument/2006/relationships/hyperlink" Id="rId93" Target="https://doi.org/10.1111/2041-210X.12590" TargetMode="External" /><Relationship Type="http://schemas.openxmlformats.org/officeDocument/2006/relationships/hyperlink" Id="rId62" Target="https://doi.org/10.1111/ele.12650" TargetMode="External" /><Relationship Type="http://schemas.openxmlformats.org/officeDocument/2006/relationships/hyperlink" Id="rId105" Target="https://doi.org/10.1111/ele.12765" TargetMode="External" /><Relationship Type="http://schemas.openxmlformats.org/officeDocument/2006/relationships/hyperlink" Id="rId49" Target="https://doi.org/10.1111/gcb.12712" TargetMode="External" /><Relationship Type="http://schemas.openxmlformats.org/officeDocument/2006/relationships/hyperlink" Id="rId91" Target="https://doi.org/10.1111/gcb.12826" TargetMode="External" /><Relationship Type="http://schemas.openxmlformats.org/officeDocument/2006/relationships/hyperlink" Id="rId64" Target="https://doi.org/10.1111/gcb.13208" TargetMode="External" /><Relationship Type="http://schemas.openxmlformats.org/officeDocument/2006/relationships/hyperlink" Id="rId60" Target="https://doi.org/10.1111/gcb.13535" TargetMode="External" /><Relationship Type="http://schemas.openxmlformats.org/officeDocument/2006/relationships/hyperlink" Id="rId109" Target="https://doi.org/10.1111/gcb.14120" TargetMode="External" /><Relationship Type="http://schemas.openxmlformats.org/officeDocument/2006/relationships/hyperlink" Id="rId80" Target="https://doi.org/10.1111/gcb.14273" TargetMode="External" /><Relationship Type="http://schemas.openxmlformats.org/officeDocument/2006/relationships/hyperlink" Id="rId78" Target="https://doi.org/10.1111/nph.15668" TargetMode="External" /><Relationship Type="http://schemas.openxmlformats.org/officeDocument/2006/relationships/hyperlink" Id="rId74" Target="https://doi.org/10.1111/nph.15906" TargetMode="External" /><Relationship Type="http://schemas.openxmlformats.org/officeDocument/2006/relationships/hyperlink" Id="rId117"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4" Target="https://doi.org/10.1126/science.aaz9463" TargetMode="External" /><Relationship Type="http://schemas.openxmlformats.org/officeDocument/2006/relationships/hyperlink" Id="rId66" Target="https://doi.org/10.1175/JCLI3800.1" TargetMode="External" /><Relationship Type="http://schemas.openxmlformats.org/officeDocument/2006/relationships/hyperlink" Id="rId58" Target="https://doi.org/10.1890/03-9000" TargetMode="External" /><Relationship Type="http://schemas.openxmlformats.org/officeDocument/2006/relationships/hyperlink" Id="rId68" Target="https://doi.org/10.2307/1937545" TargetMode="External" /><Relationship Type="http://schemas.openxmlformats.org/officeDocument/2006/relationships/hyperlink" Id="rId89" Target="https://doi.org/10.25573/data.10042502.v3" TargetMode="External" /><Relationship Type="http://schemas.openxmlformats.org/officeDocument/2006/relationships/hyperlink" Id="rId111" Target="https://doi.org/10.5194/cp-9-1481-2013" TargetMode="External" /><Relationship Type="http://schemas.openxmlformats.org/officeDocument/2006/relationships/hyperlink" Id="rId47" Target="https://doi.org/10.5281/ZENODO.3958216" TargetMode="External" /><Relationship Type="http://schemas.openxmlformats.org/officeDocument/2006/relationships/hyperlink" Id="rId40" Target="https://esajournals-onlinelibrary-wiley-com.smithsonian.idm.oclc.org/doi/epdf/10.1890/06-1039.1" TargetMode="External" /><Relationship Type="http://schemas.openxmlformats.org/officeDocument/2006/relationships/hyperlink" Id="rId30" Target="https://github.com/EcoClimLab/ForestGEO-climate-sensitivity/issues/25" TargetMode="External" /><Relationship Type="http://schemas.openxmlformats.org/officeDocument/2006/relationships/hyperlink" Id="rId28"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9" Target="https://github.com/EcoClimLab/ForestGEO-climate-sensitivity/issues/51" TargetMode="External" /><Relationship Type="http://schemas.openxmlformats.org/officeDocument/2006/relationships/hyperlink" Id="rId35" Target="https://github.com/EcoClimLab/ForestGEO-climate-sensitivity/issues/62" TargetMode="External" /><Relationship Type="http://schemas.openxmlformats.org/officeDocument/2006/relationships/hyperlink" Id="rId37" Target="https://github.com/EcoClimLab/ForestGEO-climate-sensitivity/issues/66" TargetMode="External" /><Relationship Type="http://schemas.openxmlformats.org/officeDocument/2006/relationships/hyperlink" Id="rId41"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2020-08-26T12:35:19Z</dcterms:created>
  <dcterms:modified xsi:type="dcterms:W3CDTF">2020-08-26T12:35:19Z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