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3.png" ContentType="image/png"/>
  <Override PartName="/word/media/rId32.png" ContentType="image/png"/>
  <Override PartName="/word/media/rId28.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how tree growth is responding to pollution, including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are often presented at this time scale. While useful for characterizing how monthly climate influences annual tree growth, month is an arbitrary unit of time and this approach does not necessarily identify the most influential time windows –often several months–over which climate shapes tree growth. (</w:t>
      </w:r>
      <w:r>
        <w:rPr>
          <w:i/>
        </w:rPr>
        <w:t xml:space="preserve">note that we use the monthly time step here–don’t set monthly resolution up as a problem we’ll solve</w:t>
      </w:r>
      <w:r>
        <w:t xml:space="preserve">)]</w:t>
      </w:r>
      <w:r>
        <w:t xml:space="preserve"> </w:t>
      </w:r>
      <w:r>
        <w:t xml:space="preserve">- [one variable at a time– no additive or interactive effects (although VS-Lite starts to get there), which are expected and have been observed for tree-rings (Foster et al. 2016)]</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Finley, D’Amato, Bradford, &amp; Banerjee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 McGregor et al. in revision;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 sites of the Forest Global Earth Observatory</w:t>
      </w:r>
      <w:r>
        <w:t xml:space="preserve"> </w:t>
      </w:r>
      <w:r>
        <w:t xml:space="preserve">(ForestGEO;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t xml:space="preserve"> </w:t>
      </w:r>
      <w:r>
        <w:t xml:space="preserve">&gt; 10 mm 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 In the CRU database, gaps are filled with monthly means… (</w:t>
      </w:r>
      <w:hyperlink r:id="rId26">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7" w:name="analysis-methods"/>
      <w:r>
        <w:t xml:space="preserve">Analysis methods</w:t>
      </w:r>
      <w:bookmarkEnd w:id="27"/>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8"/>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9">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starting in the previous May and ending in August of the current year.</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(BAI)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0">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1" w:name="results"/>
      <w:r>
        <w:t xml:space="preserve">Results</w:t>
      </w:r>
      <w:bookmarkEnd w:id="31"/>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The most influential climate drivers…[what tended to be selected?].</w:t>
      </w:r>
      <w:r>
        <w:t xml:space="preserve"> </w:t>
      </w:r>
      <w:r>
        <w:t xml:space="preserve">- Time windows</w:t>
      </w:r>
      <w:r>
        <w:t xml:space="preserve"> </w:t>
      </w:r>
      <w:r>
        <w:t xml:space="preserve">- often current growing season</w:t>
      </w:r>
      <w:r>
        <w:t xml:space="preserve"> </w:t>
      </w:r>
      <w:r>
        <w:t xml:space="preserve">- some exceptions</w:t>
      </w:r>
      <w:r>
        <w:t xml:space="preserve"> </w:t>
      </w:r>
      <w:r>
        <w:t xml:space="preserve">- Selection within groups:</w:t>
      </w:r>
      <w:r>
        <w:t xml:space="preserve"> </w:t>
      </w:r>
      <w:r>
        <w:t xml:space="preserve">- precip vs n precip days</w:t>
      </w:r>
      <w:r>
        <w:t xml:space="preserve"> </w:t>
      </w:r>
      <w:r>
        <w:t xml:space="preserve">- temperature group: mean, min, max or PET?</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IN-PREP FIGURE.)" title="" id="1" name="Picture"/>
            <a:graphic>
              <a:graphicData uri="http://schemas.openxmlformats.org/drawingml/2006/picture">
                <pic:pic>
                  <pic:nvPicPr>
                    <pic:cNvPr descr="tables_figures/pre_temp_cld_groups.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 (IN-PREP FIGURE.)</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based on early results– need to re-evaluate</w:t>
      </w:r>
      <w:r>
        <w:t xml:space="preserv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relationships included in the top model for each site are shown. It’s tough to fit all the plots, so we may have to adjust this somehow."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 It’s tough to fit all the plots, so we may have to adjust this somehow.</w:t>
      </w:r>
    </w:p>
    <w:p>
      <w:pPr>
        <w:pStyle w:val="BodyText"/>
      </w:pPr>
      <w:r>
        <w:rPr>
          <w:i/>
        </w:rPr>
        <w:t xml:space="preserve">Climate-DBH interactions</w:t>
      </w:r>
    </w:p>
    <w:p>
      <w:pPr>
        <w:pStyle w:val="BodyText"/>
      </w:pPr>
      <w:r>
        <w:t xml:space="preserve">We get different climate sensitivity results with the different metrics of growth (Fig. 5?).</w:t>
      </w:r>
      <w:r>
        <w:t xml:space="preserve"> </w:t>
      </w:r>
      <w:r>
        <w:t xml:space="preserve">Preliminary review of some early results indicates that the</w:t>
      </w:r>
      <w:r>
        <w:t xml:space="preserve"> </w:t>
      </w:r>
      <w:r>
        <w:t xml:space="preserve">“</w:t>
      </w:r>
      <w:r>
        <w:t xml:space="preserve">landscape</w:t>
      </w:r>
      <w:r>
        <w:t xml:space="preserve">”</w:t>
      </w:r>
      <w:r>
        <w:t xml:space="preserve"> </w:t>
      </w:r>
      <w:r>
        <w:t xml:space="preserve">of climate effects over various time windows is generally similar across the three metrics of growth, but that the optimal time window or even the top climate variable in a group can shift.</w:t>
      </w:r>
      <w:r>
        <w:t xml:space="preserve"> </w:t>
      </w:r>
      <w:r>
        <w:t xml:space="preserve">(</w:t>
      </w:r>
      <w:r>
        <w:rPr>
          <w:b/>
        </w:rPr>
        <w:t xml:space="preserve">See</w:t>
      </w:r>
      <w:r>
        <w:rPr>
          <w:b/>
        </w:rPr>
        <w:t xml:space="preserve"> </w:t>
      </w:r>
      <w:hyperlink r:id="rId35">
        <w:r>
          <w:rPr>
            <w:rStyle w:val="Hyperlink"/>
            <w:b/>
          </w:rPr>
          <w:t xml:space="preserve">ISSUE #40 in ForestGEO-climate-sensitivity</w:t>
        </w:r>
      </w:hyperlink>
      <w:r>
        <w:t xml:space="preserve">).</w:t>
      </w:r>
    </w:p>
    <w:p>
      <w:pPr>
        <w:pStyle w:val="BodyText"/>
      </w:pPr>
      <w:r>
        <w:t xml:space="preserve">The underlying cause of these differences would be differences in the variance structure, where growth residuals would tend to be greater (in absolute value) when growth rate is high. Thus, use of</w:t>
      </w:r>
      <w:r>
        <w:t xml:space="preserve"> </w:t>
      </w:r>
      <m:oMath>
        <m:r>
          <m:t>Δ</m:t>
        </m:r>
        <m:r>
          <m:t>r</m:t>
        </m:r>
      </m:oMath>
      <w:r>
        <w:t xml:space="preserve"> </w:t>
      </w:r>
      <w:r>
        <w:t xml:space="preserve">as a growth metric would tend to place proportionally more weight on smaller</w:t>
      </w:r>
      <w:r>
        <w:t xml:space="preserve"> </w:t>
      </w:r>
      <m:oMath>
        <m:r>
          <m:t>D</m:t>
        </m:r>
        <m:r>
          <m:t>B</m:t>
        </m:r>
        <m:r>
          <m:t>H</m:t>
        </m:r>
        <m:r>
          <m:t>s</m:t>
        </m:r>
      </m:oMath>
      <w:r>
        <w:t xml:space="preserve">, whereas</w:t>
      </w:r>
      <w:r>
        <w:t xml:space="preserve"> </w:t>
      </w:r>
      <m:oMath>
        <m:r>
          <m:t>Δ</m:t>
        </m:r>
        <m:r>
          <m:t>A</m:t>
        </m:r>
        <m:r>
          <m:t>G</m:t>
        </m:r>
        <m:r>
          <m:t>B</m:t>
        </m:r>
      </m:oMath>
      <w:r>
        <w:t xml:space="preserve"> </w:t>
      </w:r>
      <w:r>
        <w:t xml:space="preserve">would tend to place more weight on larger individuals, with</w:t>
      </w:r>
      <w:r>
        <w:t xml:space="preserve"> </w:t>
      </w:r>
      <m:oMath>
        <m:r>
          <m:t>B</m:t>
        </m:r>
        <m:r>
          <m:t>A</m:t>
        </m:r>
        <m:r>
          <m:t>I</m:t>
        </m:r>
      </m:oMath>
      <w:r>
        <w:t xml:space="preserve"> </w:t>
      </w:r>
      <w:r>
        <w:t xml:space="preserve">intermediate (Fig. 4). (</w:t>
      </w:r>
      <w:r>
        <w:rPr>
          <w:b/>
        </w:rPr>
        <w:t xml:space="preserve">Christy, please check/revise</w:t>
      </w:r>
      <w:r>
        <w:t xml:space="preserve">)</w:t>
      </w:r>
      <w:r>
        <w:t xml:space="preserve"> </w:t>
      </w:r>
      <w:r>
        <w:t xml:space="preserve">The degree to which climate sensitivity landscapes differ across growth metrics should depend on the size structure of the data and the existence/strength of climate-DBH interactions.</w:t>
      </w:r>
    </w:p>
    <w:p>
      <w:pPr>
        <w:pStyle w:val="CaptionedFigure"/>
      </w:pPr>
      <w:r>
        <w:drawing>
          <wp:inline>
            <wp:extent cx="5334000" cy="4958262"/>
            <wp:effectExtent b="0" l="0" r="0" t="0"/>
            <wp:docPr descr="Figure 5 | Comparison of climwin output by growth metric: Current example is PET at Lilly Dickey, selected mainly because data/model for other sites aren’t yet stable. (I’m not sure if this is interesting enough to present in the main text. If not, we should have at least one example in the SI)" title="" id="1" name="Picture"/>
            <a:graphic>
              <a:graphicData uri="http://schemas.openxmlformats.org/drawingml/2006/picture">
                <pic:pic>
                  <pic:nvPicPr>
                    <pic:cNvPr descr="tables_figures/climwin_by_growth_metric.png" id="0" name="Picture"/>
                    <pic:cNvPicPr>
                      <a:picLocks noChangeArrowheads="1" noChangeAspect="1"/>
                    </pic:cNvPicPr>
                  </pic:nvPicPr>
                  <pic:blipFill>
                    <a:blip r:embed="rId36"/>
                    <a:stretch>
                      <a:fillRect/>
                    </a:stretch>
                  </pic:blipFill>
                  <pic:spPr bwMode="auto">
                    <a:xfrm>
                      <a:off x="0" y="0"/>
                      <a:ext cx="5334000" cy="4958262"/>
                    </a:xfrm>
                    <a:prstGeom prst="rect">
                      <a:avLst/>
                    </a:prstGeom>
                    <a:noFill/>
                    <a:ln w="9525">
                      <a:noFill/>
                      <a:headEnd/>
                      <a:tailEnd/>
                    </a:ln>
                  </pic:spPr>
                </pic:pic>
              </a:graphicData>
            </a:graphic>
          </wp:inline>
        </w:drawing>
      </w:r>
    </w:p>
    <w:p>
      <w:pPr>
        <w:pStyle w:val="ImageCaption"/>
      </w:pPr>
      <w:r>
        <w:rPr>
          <w:b/>
        </w:rPr>
        <w:t xml:space="preserve">Figure 5 | Comparison of climwin output by growth metric:</w:t>
      </w:r>
      <w:r>
        <w:t xml:space="preserve"> </w:t>
      </w:r>
      <w:r>
        <w:t xml:space="preserve">Current example is PET at Lilly Dickey, selected mainly because data/model for other sites aren’t yet stable. (I’m not sure if this is interesting enough to present in the main text. If not, we should have at least one example in the SI)</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7">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0">
        <w:r>
          <w:rPr>
            <w:rStyle w:val="Hyperlink"/>
          </w:rPr>
          <w:t xml:space="preserve">ISSUE #25 in ForestGEO-climate-sensitivity</w:t>
        </w:r>
      </w:hyperlink>
      <w:r>
        <w:t xml:space="preserve">.</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r>
        <w:t xml:space="preserve"> </w:t>
      </w:r>
      <w:r>
        <w:t xml:space="preserve">This also contrasts with in</w:t>
      </w:r>
      <w:r>
        <w:t xml:space="preserve"> </w:t>
      </w:r>
      <w:hyperlink r:id="rId41">
        <w:r>
          <w:rPr>
            <w:rStyle w:val="Hyperlink"/>
          </w:rPr>
          <w:t xml:space="preserve">Helcoski et al. 2019</w:t>
        </w:r>
      </w:hyperlink>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w:t>
      </w:r>
      <w:r>
        <w:t xml:space="preserve"> </w:t>
      </w:r>
      <w:r>
        <w:t xml:space="preserve">Non-independence of</w:t>
      </w:r>
      <w:r>
        <w:t xml:space="preserve"> </w:t>
      </w:r>
      <m:oMath>
        <m:r>
          <m:t>B</m:t>
        </m:r>
        <m:r>
          <m:t>A</m:t>
        </m:r>
        <m:r>
          <m:t>I</m:t>
        </m:r>
      </m:oMath>
      <w:r>
        <w:t xml:space="preserve"> </w:t>
      </w:r>
      <w:r>
        <w:t xml:space="preserve">from</w:t>
      </w:r>
      <w:r>
        <w:t xml:space="preserve"> </w:t>
      </w:r>
      <m:oMath>
        <m:r>
          <m:t>D</m:t>
        </m:r>
        <m:r>
          <m:t>B</m:t>
        </m:r>
        <m:r>
          <m:t>H</m:t>
        </m:r>
      </m:oMath>
      <w:r>
        <w:t xml:space="preserve"> </w:t>
      </w:r>
      <w:r>
        <w:t xml:space="preserve">negates assumption that</w:t>
      </w:r>
      <w:r>
        <w:t xml:space="preserve"> </w:t>
      </w:r>
      <m:oMath>
        <m:r>
          <m:t>B</m:t>
        </m:r>
        <m:r>
          <m:t>A</m:t>
        </m:r>
        <m:r>
          <m:t>I</m:t>
        </m:r>
      </m:oMath>
      <w:r>
        <w:t xml:space="preserve"> </w:t>
      </w:r>
      <w:r>
        <w:t xml:space="preserve">can be used as a DBH-independent metric of tree growth….</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Scholarly Studies</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93"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4"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3">
        <w:r>
          <w:rPr>
            <w:rStyle w:val="Hyperlink"/>
          </w:rPr>
          <w:t xml:space="preserve">10.1038/nplants.2015.139</w:t>
        </w:r>
      </w:hyperlink>
    </w:p>
    <w:bookmarkEnd w:id="54"/>
    <w:bookmarkStart w:id="56"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5">
        <w:r>
          <w:rPr>
            <w:rStyle w:val="Hyperlink"/>
          </w:rPr>
          <w:t xml:space="preserve">10.1111/gcb.13535</w:t>
        </w:r>
      </w:hyperlink>
    </w:p>
    <w:bookmarkEnd w:id="56"/>
    <w:bookmarkStart w:id="58"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7">
        <w:r>
          <w:rPr>
            <w:rStyle w:val="Hyperlink"/>
          </w:rPr>
          <w:t xml:space="preserve">10.1111/ele.12650</w:t>
        </w:r>
      </w:hyperlink>
    </w:p>
    <w:bookmarkEnd w:id="58"/>
    <w:bookmarkStart w:id="60"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9">
        <w:r>
          <w:rPr>
            <w:rStyle w:val="Hyperlink"/>
          </w:rPr>
          <w:t xml:space="preserve">10.1111/gcb.13208</w:t>
        </w:r>
      </w:hyperlink>
    </w:p>
    <w:bookmarkEnd w:id="60"/>
    <w:bookmarkStart w:id="62"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1">
        <w:r>
          <w:rPr>
            <w:rStyle w:val="Hyperlink"/>
          </w:rPr>
          <w:t xml:space="preserve">10.1175/JCLI3800.1</w:t>
        </w:r>
      </w:hyperlink>
    </w:p>
    <w:bookmarkEnd w:id="62"/>
    <w:bookmarkStart w:id="6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3">
        <w:r>
          <w:rPr>
            <w:rStyle w:val="Hyperlink"/>
          </w:rPr>
          <w:t xml:space="preserve">10.2307/1937545</w:t>
        </w:r>
      </w:hyperlink>
    </w:p>
    <w:bookmarkEnd w:id="64"/>
    <w:bookmarkStart w:id="66"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5">
        <w:r>
          <w:rPr>
            <w:rStyle w:val="Hyperlink"/>
          </w:rPr>
          <w:t xml:space="preserve">10.1002/joc.3711</w:t>
        </w:r>
      </w:hyperlink>
    </w:p>
    <w:bookmarkEnd w:id="66"/>
    <w:bookmarkStart w:id="68"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7">
        <w:r>
          <w:rPr>
            <w:rStyle w:val="Hyperlink"/>
          </w:rPr>
          <w:t xml:space="preserve">10.1038/s41597-020-0453-3</w:t>
        </w:r>
      </w:hyperlink>
    </w:p>
    <w:bookmarkEnd w:id="68"/>
    <w:bookmarkStart w:id="70"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9">
        <w:r>
          <w:rPr>
            <w:rStyle w:val="Hyperlink"/>
          </w:rPr>
          <w:t xml:space="preserve">10.1111/nph.15906</w:t>
        </w:r>
      </w:hyperlink>
    </w:p>
    <w:bookmarkEnd w:id="70"/>
    <w:bookmarkStart w:id="72"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1">
        <w:r>
          <w:rPr>
            <w:rStyle w:val="Hyperlink"/>
          </w:rPr>
          <w:t xml:space="preserve">10.1038/s41467-018-07800-y</w:t>
        </w:r>
      </w:hyperlink>
    </w:p>
    <w:bookmarkEnd w:id="72"/>
    <w:bookmarkStart w:id="74"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3">
        <w:r>
          <w:rPr>
            <w:rStyle w:val="Hyperlink"/>
          </w:rPr>
          <w:t xml:space="preserve">10.1111/gcb.14273</w:t>
        </w:r>
      </w:hyperlink>
    </w:p>
    <w:bookmarkEnd w:id="74"/>
    <w:bookmarkStart w:id="76"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5">
        <w:r>
          <w:rPr>
            <w:rStyle w:val="Hyperlink"/>
          </w:rPr>
          <w:t xml:space="preserve">10.1007/s10584-016-1720-3</w:t>
        </w:r>
      </w:hyperlink>
    </w:p>
    <w:bookmarkEnd w:id="76"/>
    <w:bookmarkStart w:id="7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7">
        <w:r>
          <w:rPr>
            <w:rStyle w:val="Hyperlink"/>
          </w:rPr>
          <w:t xml:space="preserve">http://www.blackwell-synergy.com/doi/abs/10.1111/j.1461-0248.2006.00904.x</w:t>
        </w:r>
      </w:hyperlink>
    </w:p>
    <w:bookmarkEnd w:id="78"/>
    <w:bookmarkStart w:id="80"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79">
        <w:r>
          <w:rPr>
            <w:rStyle w:val="Hyperlink"/>
          </w:rPr>
          <w:t xml:space="preserve">10.1111/2041-210X.12590</w:t>
        </w:r>
      </w:hyperlink>
    </w:p>
    <w:bookmarkEnd w:id="80"/>
    <w:bookmarkStart w:id="82"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1">
        <w:r>
          <w:rPr>
            <w:rStyle w:val="Hyperlink"/>
          </w:rPr>
          <w:t xml:space="preserve">10.1002/2016JG003528</w:t>
        </w:r>
      </w:hyperlink>
    </w:p>
    <w:bookmarkEnd w:id="82"/>
    <w:bookmarkStart w:id="84"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83">
        <w:r>
          <w:rPr>
            <w:rStyle w:val="Hyperlink"/>
          </w:rPr>
          <w:t xml:space="preserve">10.1016/j.agrformet.2017.08.007</w:t>
        </w:r>
      </w:hyperlink>
    </w:p>
    <w:bookmarkEnd w:id="84"/>
    <w:bookmarkStart w:id="86"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85">
        <w:r>
          <w:rPr>
            <w:rStyle w:val="Hyperlink"/>
          </w:rPr>
          <w:t xml:space="preserve">10.1111/gcb.14120</w:t>
        </w:r>
      </w:hyperlink>
    </w:p>
    <w:bookmarkEnd w:id="86"/>
    <w:bookmarkStart w:id="88"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87">
        <w:r>
          <w:rPr>
            <w:rStyle w:val="Hyperlink"/>
          </w:rPr>
          <w:t xml:space="preserve">10.5194/cp-9-1481-2013</w:t>
        </w:r>
      </w:hyperlink>
    </w:p>
    <w:bookmarkEnd w:id="88"/>
    <w:bookmarkStart w:id="90"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89">
        <w:r>
          <w:rPr>
            <w:rStyle w:val="Hyperlink"/>
          </w:rPr>
          <w:t xml:space="preserve">10.1016/j.agrformet.2017.07.015</w:t>
        </w:r>
      </w:hyperlink>
    </w:p>
    <w:bookmarkEnd w:id="90"/>
    <w:bookmarkStart w:id="92"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91">
        <w:r>
          <w:rPr>
            <w:rStyle w:val="Hyperlink"/>
          </w:rPr>
          <w:t xml:space="preserve">10.1007/s00442-013-2846-x</w:t>
        </w:r>
      </w:hyperlink>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7" Target="http://www.blackwell-synergy.com/doi/abs/10.1111/j.1461-0248.2006.00904.x" TargetMode="External" /><Relationship Type="http://schemas.openxmlformats.org/officeDocument/2006/relationships/hyperlink" Id="rId81"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91"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89" Target="https://doi.org/10.1016/j.agrformet.2017.07.015" TargetMode="External" /><Relationship Type="http://schemas.openxmlformats.org/officeDocument/2006/relationships/hyperlink" Id="rId83" Target="https://doi.org/10.1016/j.agrformet.2017.08.007" TargetMode="External" /><Relationship Type="http://schemas.openxmlformats.org/officeDocument/2006/relationships/hyperlink" Id="rId51" Target="https://doi.org/10.1017/S0266467406003312"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79"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85"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87"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9" Target="https://github.com/EcoClimLab/ForestGEO-climate-sensitivity/issues/35" TargetMode="External" /><Relationship Type="http://schemas.openxmlformats.org/officeDocument/2006/relationships/hyperlink" Id="rId35" Target="https://github.com/EcoClimLab/ForestGEO-climate-sensitivity/issues/40"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6" Target="https://github.com/EcoClimLab/ForestGEO-climate-sensitivity/issues/45" TargetMode="External" /><Relationship Type="http://schemas.openxmlformats.org/officeDocument/2006/relationships/hyperlink" Id="rId41" Target="https://nph.onlinelibrary.wiley.com/doi/abs/10.1111/nph.15906"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2020-08-08T20:49:52Z</dcterms:created>
  <dcterms:modified xsi:type="dcterms:W3CDTF">2020-08-08T20:49:52Z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