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3.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interactively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K. J.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(max distance: # km)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rPr>
          <w:b/>
        </w:rPr>
        <w:t xml:space="preserve"> </w:t>
      </w:r>
      <w:r>
        <w:rPr>
          <w:b/>
        </w:rPr>
        <w:t xml:space="preserve">&gt; 10 mm</w:t>
      </w:r>
      <w:r>
        <w:rPr>
          <w:b/>
        </w:rPr>
        <w:t xml:space="preserve"> </w:t>
      </w:r>
      <w:r>
        <w:t xml:space="preserve">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Finally, for each species, we excluded any reconstructed</w:t>
      </w:r>
      <w:r>
        <w:t xml:space="preserve"> </w:t>
      </w:r>
      <m:oMath>
        <m:r>
          <m:t>D</m:t>
        </m:r>
        <m:r>
          <m:t>B</m:t>
        </m:r>
        <m:r>
          <m:t>H</m:t>
        </m:r>
      </m:oMath>
      <w:r>
        <w:t xml:space="preserve"> </w:t>
      </w:r>
      <w:r>
        <w:t xml:space="preserve">range represented by &lt;3 cores.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potential evapotranspiration (PET); precipitation; and wet day frequency.</w:t>
      </w:r>
      <w:r>
        <w:t xml:space="preserve"> </w:t>
      </w:r>
      <w:r>
        <w:t xml:space="preserve">While the CRU database has records for every year, some have been gap-filled based on long-term monthly means</w:t>
      </w:r>
      <w:r>
        <w:t xml:space="preserve"> </w:t>
      </w:r>
      <w:r>
        <w:t xml:space="preserve">(Harris et al., 2014, 2020)</w:t>
      </w:r>
      <w:r>
        <w:t xml:space="preserve">.</w:t>
      </w:r>
      <w:r>
        <w:t xml:space="preserve"> </w:t>
      </w:r>
      <w:r>
        <w:t xml:space="preserve">To …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9">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(Table #). (**</w:t>
      </w:r>
      <w:hyperlink r:id="rId30">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w:t>
      </w:r>
      <m:oMath>
        <m:r>
          <m:t>B</m:t>
        </m:r>
        <m:r>
          <m:t>A</m:t>
        </m:r>
        <m:r>
          <m:t>I</m:t>
        </m:r>
      </m:oMath>
      <w:r>
        <w:t xml:space="preserve">)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1">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w:t>
      </w:r>
      <w:r>
        <w:t xml:space="preserve"> </w:t>
      </w:r>
      <w:r>
        <w:t xml:space="preserve">Wealso ran models with a spline of DBH (3 knots).</w:t>
      </w:r>
      <w:r>
        <w:t xml:space="preserve"> </w:t>
      </w:r>
      <w:r>
        <w:t xml:space="preserve">Across all possible models, variable AICc weights were summed to determine which drivers are most important.</w:t>
      </w:r>
      <w:r>
        <w:t xml:space="preserve"> </w:t>
      </w:r>
      <w:r>
        <w:t xml:space="preserve">We considered the model containing those variables as the top model.</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S2-S3).</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w:t>
      </w:r>
      <w:r>
        <w:t xml:space="preserve"> </w:t>
      </w:r>
      <w:r>
        <w:t xml:space="preserve">Henceforth, we focus on the climate drivers identified when</w:t>
      </w:r>
      <w:r>
        <w:t xml:space="preserve"> </w:t>
      </w:r>
      <m:oMath>
        <m:r>
          <m:t>Δ</m:t>
        </m:r>
        <m:r>
          <m:t>r</m:t>
        </m:r>
      </m:oMath>
      <w:r>
        <w:t xml:space="preserve"> </w:t>
      </w:r>
      <w:r>
        <w:t xml:space="preserve">was the growth metric.</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observed at all sites and</w:t>
      </w:r>
      <w:r>
        <w:t xml:space="preserve"> </w:t>
      </w:r>
      <w:r>
        <w:rPr>
          <w:i/>
        </w:rPr>
        <w:t xml:space="preserve">for all but # species</w:t>
      </w:r>
      <w:r>
        <w:t xml:space="preserve"> </w:t>
      </w:r>
      <w:r>
        <w:t xml:space="preserve">(Fig. 3).</w:t>
      </w:r>
      <w:r>
        <w:t xml:space="preserve"> </w:t>
      </w:r>
      <w:r>
        <w:t xml:space="preserve">Specifically, a temperature term was included in the best model for # of # site-species combinations,</w:t>
      </w:r>
      <w:r>
        <w:t xml:space="preserve"> </w:t>
      </w:r>
      <w:r>
        <w:rPr>
          <w:i/>
        </w:rPr>
        <w:t xml:space="preserve">and were statistically significant for #</w:t>
      </w:r>
      <w:r>
        <w:t xml:space="preserve">.</w:t>
      </w:r>
      <w:r>
        <w:t xml:space="preserve"> </w:t>
      </w:r>
      <w:r>
        <w:t xml:space="preserve">Responses were most commonly positive and were most pronounced at the driest site (Little Tesque).</w:t>
      </w:r>
      <w:r>
        <w:t xml:space="preserve"> </w:t>
      </w:r>
      <w:r>
        <w:t xml:space="preserve">…</w:t>
      </w:r>
      <w:r>
        <w:t xml:space="preserve"> </w:t>
      </w:r>
      <w:r>
        <w:t xml:space="preserve">Responses commonly showed some non-linearity, and in some cases it was quite pronounced (e.g., Little Tesque), with the most common pattern being a decelerating increase</w:t>
      </w:r>
      <w:r>
        <w:t xml:space="preserve"> </w:t>
      </w:r>
      <w:r>
        <w:rPr>
          <w:i/>
        </w:rPr>
        <w:t xml:space="preserve">(</w:t>
      </w:r>
      <w:hyperlink r:id="rId35">
        <w:r>
          <w:rPr>
            <w:rStyle w:val="Hyperlink"/>
            <w:i/>
          </w:rPr>
          <w:t xml:space="preserve">ISSUE #63 in ForestGEO-climate-sensitivity</w:t>
        </w:r>
      </w:hyperlink>
      <w:r>
        <w:rPr>
          <w:i/>
        </w:rPr>
        <w:t xml:space="preserve">)</w:t>
      </w:r>
      <w:r>
        <w:t xml:space="preserve">.</w:t>
      </w:r>
    </w:p>
    <w:p>
      <w:pPr>
        <w:pStyle w:val="BodyText"/>
      </w:pPr>
      <w:r>
        <w:t xml:space="preserve">Temperature responses were observed at all sites</w:t>
      </w:r>
      <w:r>
        <w:t xml:space="preserve"> </w:t>
      </w:r>
      <w:r>
        <w:rPr>
          <w:i/>
        </w:rPr>
        <w:t xml:space="preserve">(but BCI?</w:t>
      </w:r>
      <w:r>
        <w:rPr>
          <w:i/>
        </w:rPr>
        <w:t xml:space="preserve"> </w:t>
      </w:r>
      <w:hyperlink r:id="rId36">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rPr>
          <w:i/>
        </w:rPr>
        <w:t xml:space="preserve">and were statistically significant for #</w:t>
      </w:r>
      <w:r>
        <w:t xml:space="preserve">.</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Responses commonly showed some non-linearity, but there were</w:t>
      </w:r>
      <w:r>
        <w:t xml:space="preserve"> </w:t>
      </w:r>
      <w:r>
        <w:rPr>
          <w:i/>
        </w:rPr>
        <w:t xml:space="preserve">few, if any</w:t>
      </w:r>
      <w:r>
        <w:t xml:space="preserve"> </w:t>
      </w:r>
      <w:r>
        <w:t xml:space="preserve">cases of pronounced nonlinearity</w:t>
      </w:r>
      <w:r>
        <w:t xml:space="preserve"> </w:t>
      </w:r>
      <w:r>
        <w:rPr>
          <w:i/>
        </w:rPr>
        <w:t xml:space="preserve">(but how do we define this?</w:t>
      </w:r>
      <w:r>
        <w:rPr>
          <w:i/>
        </w:rPr>
        <w:t xml:space="preserve"> </w:t>
      </w:r>
      <w:hyperlink r:id="rId35">
        <w:r>
          <w:rPr>
            <w:rStyle w:val="Hyperlink"/>
            <w:i/>
          </w:rPr>
          <w:t xml:space="preserve">ISSUE #63 in ForestGEO-climate-sensitivity</w:t>
        </w:r>
      </w:hyperlink>
      <w:r>
        <w:rPr>
          <w:i/>
        </w:rPr>
        <w:t xml:space="preserve">)</w:t>
      </w:r>
      <w:r>
        <w:t xml:space="preserv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7"/>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Climate-DBH interactions</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8">
        <w:r>
          <w:rPr>
            <w:rStyle w:val="Hyperlink"/>
            <w:i/>
          </w:rPr>
          <w:t xml:space="preserve">ISSUE #42 in ForestGEO-climate-sensitivity</w:t>
        </w:r>
      </w:hyperlink>
      <w:r>
        <w:t xml:space="preserve">)</w:t>
      </w:r>
    </w:p>
    <w:p>
      <w:pPr>
        <w:pStyle w:val="Heading3"/>
      </w:pPr>
      <w:bookmarkStart w:id="39" w:name="discussion"/>
      <w:r>
        <w:t xml:space="preserve">Discussion</w:t>
      </w:r>
      <w:bookmarkEnd w:id="39"/>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On climate sensitivity:</w:t>
      </w:r>
      <w:r>
        <w:t xml:space="preserve"> </w:t>
      </w:r>
      <w:r>
        <w:t xml:space="preserve">- Climwin step is problematic when climate is rapidly changing</w:t>
      </w:r>
      <w:r>
        <w:t xml:space="preserve"> </w:t>
      </w:r>
      <w:hyperlink r:id="rId31">
        <w:r>
          <w:rPr>
            <w:rStyle w:val="Hyperlink"/>
          </w:rPr>
          <w:t xml:space="preserve">ISSUE #25 in ForestGEO-climate-sensitivity</w:t>
        </w:r>
      </w:hyperlink>
      <w:r>
        <w:t xml:space="preserve">.</w:t>
      </w:r>
    </w:p>
    <w:p>
      <w:pPr>
        <w:pStyle w:val="BodyText"/>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et al.,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40">
        <w:r>
          <w:rPr>
            <w:rStyle w:val="Hyperlink"/>
            <w:i/>
          </w:rPr>
          <w:t xml:space="preserve">Clark et al. 2007?</w:t>
        </w:r>
      </w:hyperlink>
      <w:r>
        <w:rPr>
          <w:i/>
        </w:rPr>
        <w:t xml:space="preserve">;</w:t>
      </w:r>
      <w:r>
        <w:rPr>
          <w:i/>
        </w:rPr>
        <w:t xml:space="preserve"> </w:t>
      </w:r>
      <w:hyperlink r:id="rId41">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w:r>
        <w:rPr>
          <w:i/>
        </w:rPr>
        <w:t xml:space="preserve">(check Foster et al. 2006)</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rPr>
          <w:i/>
        </w:rPr>
        <w:t xml:space="preserve">Climate-DBH interactions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Scholarly Studies</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111"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2"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2"/>
    <w:bookmarkStart w:id="84"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3">
        <w:r>
          <w:rPr>
            <w:rStyle w:val="Hyperlink"/>
          </w:rPr>
          <w:t xml:space="preserve">http://www.blackwell-synergy.com/doi/abs/10.1111/j.1461-0248.2006.00904.x</w:t>
        </w:r>
      </w:hyperlink>
    </w:p>
    <w:bookmarkEnd w:id="84"/>
    <w:bookmarkStart w:id="86"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5">
        <w:r>
          <w:rPr>
            <w:rStyle w:val="Hyperlink"/>
          </w:rPr>
          <w:t xml:space="preserve">10.1111/gcb.12826</w:t>
        </w:r>
      </w:hyperlink>
    </w:p>
    <w:bookmarkEnd w:id="86"/>
    <w:bookmarkStart w:id="88"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87">
        <w:r>
          <w:rPr>
            <w:rStyle w:val="Hyperlink"/>
          </w:rPr>
          <w:t xml:space="preserve">10.1111/2041-210X.12590</w:t>
        </w:r>
      </w:hyperlink>
    </w:p>
    <w:bookmarkEnd w:id="88"/>
    <w:bookmarkStart w:id="90"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89">
        <w:r>
          <w:rPr>
            <w:rStyle w:val="Hyperlink"/>
          </w:rPr>
          <w:t xml:space="preserve">10.1038/ngeo2313</w:t>
        </w:r>
      </w:hyperlink>
    </w:p>
    <w:bookmarkEnd w:id="90"/>
    <w:bookmarkStart w:id="92"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1">
        <w:r>
          <w:rPr>
            <w:rStyle w:val="Hyperlink"/>
          </w:rPr>
          <w:t xml:space="preserve">10.1002/2016JG003528</w:t>
        </w:r>
      </w:hyperlink>
    </w:p>
    <w:bookmarkEnd w:id="92"/>
    <w:bookmarkStart w:id="94"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3">
        <w:r>
          <w:rPr>
            <w:rStyle w:val="Hyperlink"/>
          </w:rPr>
          <w:t xml:space="preserve">10.1038/nature12914</w:t>
        </w:r>
      </w:hyperlink>
    </w:p>
    <w:bookmarkEnd w:id="94"/>
    <w:bookmarkStart w:id="96"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95">
        <w:r>
          <w:rPr>
            <w:rStyle w:val="Hyperlink"/>
          </w:rPr>
          <w:t xml:space="preserve">10.1126/science.aaw7578</w:t>
        </w:r>
      </w:hyperlink>
    </w:p>
    <w:bookmarkEnd w:id="96"/>
    <w:bookmarkStart w:id="98"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97">
        <w:r>
          <w:rPr>
            <w:rStyle w:val="Hyperlink"/>
          </w:rPr>
          <w:t xml:space="preserve">10.1111/ele.12765</w:t>
        </w:r>
      </w:hyperlink>
    </w:p>
    <w:bookmarkEnd w:id="98"/>
    <w:bookmarkStart w:id="100"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99">
        <w:r>
          <w:rPr>
            <w:rStyle w:val="Hyperlink"/>
          </w:rPr>
          <w:t xml:space="preserve">10.1016/j.agrformet.2017.08.007</w:t>
        </w:r>
      </w:hyperlink>
    </w:p>
    <w:bookmarkEnd w:id="100"/>
    <w:bookmarkStart w:id="10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1">
        <w:r>
          <w:rPr>
            <w:rStyle w:val="Hyperlink"/>
          </w:rPr>
          <w:t xml:space="preserve">10.1111/gcb.14120</w:t>
        </w:r>
      </w:hyperlink>
    </w:p>
    <w:bookmarkEnd w:id="102"/>
    <w:bookmarkStart w:id="10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3">
        <w:r>
          <w:rPr>
            <w:rStyle w:val="Hyperlink"/>
          </w:rPr>
          <w:t xml:space="preserve">10.5194/cp-9-1481-2013</w:t>
        </w:r>
      </w:hyperlink>
    </w:p>
    <w:bookmarkEnd w:id="104"/>
    <w:bookmarkStart w:id="106"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05">
        <w:r>
          <w:rPr>
            <w:rStyle w:val="Hyperlink"/>
          </w:rPr>
          <w:t xml:space="preserve">10.1016/j.agrformet.2017.07.015</w:t>
        </w:r>
      </w:hyperlink>
    </w:p>
    <w:bookmarkEnd w:id="106"/>
    <w:bookmarkStart w:id="10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07">
        <w:r>
          <w:rPr>
            <w:rStyle w:val="Hyperlink"/>
          </w:rPr>
          <w:t xml:space="preserve">10.1007/s00442-013-2846-x</w:t>
        </w:r>
      </w:hyperlink>
    </w:p>
    <w:bookmarkEnd w:id="108"/>
    <w:bookmarkStart w:id="110"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09">
        <w:r>
          <w:rPr>
            <w:rStyle w:val="Hyperlink"/>
          </w:rPr>
          <w:t xml:space="preserve">10.1111/nph.16866</w:t>
        </w:r>
      </w:hyperlink>
    </w:p>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83" Target="http://www.blackwell-synergy.com/doi/abs/10.1111/j.1461-0248.2006.00904.x" TargetMode="External" /><Relationship Type="http://schemas.openxmlformats.org/officeDocument/2006/relationships/hyperlink" Id="rId91"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07"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05" Target="https://doi.org/10.1016/j.agrformet.2017.07.015" TargetMode="External" /><Relationship Type="http://schemas.openxmlformats.org/officeDocument/2006/relationships/hyperlink" Id="rId99"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93" Target="https://doi.org/10.1038/nature12914" TargetMode="External" /><Relationship Type="http://schemas.openxmlformats.org/officeDocument/2006/relationships/hyperlink" Id="rId89"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87"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97"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5"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1"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09" Target="https://doi.org/10.1111/nph.16866" TargetMode="External" /><Relationship Type="http://schemas.openxmlformats.org/officeDocument/2006/relationships/hyperlink" Id="rId95" Target="https://doi.org/10.1126/science.aaw7578"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103" Target="https://doi.org/10.5194/cp-9-1481-2013"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8"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3" Target="http://www.blackwell-synergy.com/doi/abs/10.1111/j.1461-0248.2006.00904.x" TargetMode="External" /><Relationship Type="http://schemas.openxmlformats.org/officeDocument/2006/relationships/hyperlink" Id="rId91"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07"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05" Target="https://doi.org/10.1016/j.agrformet.2017.07.015" TargetMode="External" /><Relationship Type="http://schemas.openxmlformats.org/officeDocument/2006/relationships/hyperlink" Id="rId99"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93" Target="https://doi.org/10.1038/nature12914" TargetMode="External" /><Relationship Type="http://schemas.openxmlformats.org/officeDocument/2006/relationships/hyperlink" Id="rId89"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87"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97"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5"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1"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09" Target="https://doi.org/10.1111/nph.16866" TargetMode="External" /><Relationship Type="http://schemas.openxmlformats.org/officeDocument/2006/relationships/hyperlink" Id="rId95" Target="https://doi.org/10.1126/science.aaw7578"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103" Target="https://doi.org/10.5194/cp-9-1481-2013"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8"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2020-08-17T13:54:25Z</dcterms:created>
  <dcterms:modified xsi:type="dcterms:W3CDTF">2020-08-17T13:54:25Z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