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937B0" w14:textId="77777777" w:rsidR="00C70DFD" w:rsidRDefault="004C43E4">
      <w:pPr>
        <w:pStyle w:val="FirstParagraph"/>
      </w:pPr>
      <w:r>
        <w:rPr>
          <w:b/>
        </w:rPr>
        <w:t>Title:</w:t>
      </w:r>
      <w:r>
        <w:t xml:space="preserve"> Using tree-ring records to simultaneously characterize the influence of climate, tree size, and slowly changing environmental drivers on annual growth</w:t>
      </w:r>
    </w:p>
    <w:p w14:paraId="37FA2E1C" w14:textId="77777777" w:rsidR="00C70DFD" w:rsidRDefault="004C43E4">
      <w:pPr>
        <w:pStyle w:val="BodyText"/>
      </w:pPr>
      <w:r>
        <w:rPr>
          <w:b/>
        </w:rPr>
        <w:t>Authors:</w:t>
      </w:r>
    </w:p>
    <w:p w14:paraId="13C7B37A" w14:textId="3668B569" w:rsidR="00C70DFD" w:rsidRDefault="004C43E4">
      <w:pPr>
        <w:pStyle w:val="BodyText"/>
      </w:pPr>
      <w:hyperlink r:id="rId7">
        <w:r>
          <w:rPr>
            <w:rStyle w:val="Hyperlink"/>
          </w:rPr>
          <w:t>Kristina J. Anderson-Teixeira</w:t>
        </w:r>
        <w:r>
          <w:rPr>
            <w:rStyle w:val="Hyperlink"/>
            <w:vertAlign w:val="superscript"/>
          </w:rPr>
          <w:t>1,2</w:t>
        </w:r>
        <w:r>
          <w:rPr>
            <w:rStyle w:val="Hyperlink"/>
          </w:rPr>
          <w:t>*</w:t>
        </w:r>
      </w:hyperlink>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hyperlink r:id="rId8">
        <w:r>
          <w:rPr>
            <w:rStyle w:val="Hyperlink"/>
          </w:rPr>
          <w:t>Jakub Kašpar</w:t>
        </w:r>
      </w:hyperlink>
      <w:r>
        <w:rPr>
          <w:vertAlign w:val="superscript"/>
        </w:rPr>
        <w:t>14</w:t>
      </w:r>
      <w:r>
        <w:t xml:space="preserve">, </w:t>
      </w:r>
      <w:hyperlink r:id="rId9">
        <w:r>
          <w:rPr>
            <w:rStyle w:val="Hyperlink"/>
          </w:rPr>
          <w:t>James Lutz</w:t>
        </w:r>
      </w:hyperlink>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hyperlink r:id="rId10">
        <w:r>
          <w:rPr>
            <w:rStyle w:val="Hyperlink"/>
          </w:rPr>
          <w:t>Pavel Šamonil</w:t>
        </w:r>
      </w:hyperlink>
      <w:r>
        <w:rPr>
          <w:vertAlign w:val="superscript"/>
        </w:rPr>
        <w:t>14</w:t>
      </w:r>
      <w:r>
        <w:t>, Anastasia Sniderhan</w:t>
      </w:r>
      <w:r>
        <w:rPr>
          <w:vertAlign w:val="superscript"/>
        </w:rPr>
        <w:t>7</w:t>
      </w:r>
      <w:r>
        <w:t>, Alan J. Tepley</w:t>
      </w:r>
      <w:r>
        <w:rPr>
          <w:vertAlign w:val="superscript"/>
        </w:rPr>
        <w:t>1,19</w:t>
      </w:r>
      <w:r>
        <w:t xml:space="preserve">, </w:t>
      </w:r>
      <w:hyperlink r:id="rId11">
        <w:r>
          <w:rPr>
            <w:rStyle w:val="Hyperlink"/>
          </w:rPr>
          <w:t>Ivana Vašíčková</w:t>
        </w:r>
      </w:hyperlink>
      <w:r>
        <w:rPr>
          <w:vertAlign w:val="superscript"/>
        </w:rPr>
        <w:t>14</w:t>
      </w:r>
      <w:r>
        <w:t>, Mart Vlam</w:t>
      </w:r>
      <w:r>
        <w:rPr>
          <w:vertAlign w:val="superscript"/>
        </w:rPr>
        <w:t>20</w:t>
      </w:r>
      <w:r>
        <w:t>, Peter Zuidema</w:t>
      </w:r>
      <w:r>
        <w:rPr>
          <w:vertAlign w:val="superscript"/>
        </w:rPr>
        <w:t>20</w:t>
      </w:r>
    </w:p>
    <w:p w14:paraId="6F3D17D9" w14:textId="77777777" w:rsidR="00C70DFD" w:rsidRDefault="004C43E4">
      <w:pPr>
        <w:pStyle w:val="BodyText"/>
      </w:pPr>
      <w:r>
        <w:rPr>
          <w:b/>
        </w:rPr>
        <w:t>Author Affiliations:</w:t>
      </w:r>
    </w:p>
    <w:p w14:paraId="15C8D972" w14:textId="77777777" w:rsidR="00C70DFD" w:rsidRDefault="004C43E4">
      <w:pPr>
        <w:numPr>
          <w:ilvl w:val="0"/>
          <w:numId w:val="10"/>
        </w:numPr>
      </w:pPr>
      <w:r>
        <w:t>Conservation Ecology Center; Smithsonian Conservation Biology Institute; Front Royal, Virginia 22630, USA</w:t>
      </w:r>
    </w:p>
    <w:p w14:paraId="554A9665" w14:textId="77777777" w:rsidR="00C70DFD" w:rsidRDefault="004C43E4">
      <w:pPr>
        <w:numPr>
          <w:ilvl w:val="0"/>
          <w:numId w:val="10"/>
        </w:numPr>
      </w:pPr>
      <w:r>
        <w:t>Center for Tropical Forest Science-Forest Global Earth Observatory; Smithsonian Tropical Research Institute; Panama, Republic of Panama</w:t>
      </w:r>
    </w:p>
    <w:p w14:paraId="2978926F" w14:textId="77777777" w:rsidR="00C70DFD" w:rsidRDefault="004C43E4">
      <w:pPr>
        <w:numPr>
          <w:ilvl w:val="0"/>
          <w:numId w:val="10"/>
        </w:numPr>
      </w:pPr>
      <w:r>
        <w:t>The Morton Arboretum, Center for Tree Science, Lisle, Illinois 60532 USA</w:t>
      </w:r>
    </w:p>
    <w:p w14:paraId="11967BD4" w14:textId="77777777" w:rsidR="00C70DFD" w:rsidRDefault="004C43E4">
      <w:pPr>
        <w:numPr>
          <w:ilvl w:val="0"/>
          <w:numId w:val="10"/>
        </w:numPr>
      </w:pPr>
      <w:r>
        <w:t>Harvard University, Petersham, Massachusetts 01366 USA</w:t>
      </w:r>
    </w:p>
    <w:p w14:paraId="55191CC7" w14:textId="77777777" w:rsidR="00C70DFD" w:rsidRDefault="004C43E4">
      <w:pPr>
        <w:numPr>
          <w:ilvl w:val="0"/>
          <w:numId w:val="10"/>
        </w:numPr>
      </w:pPr>
      <w:r>
        <w:t>Midwest Dendro LLC, Naperville, Illinois 60565 USA</w:t>
      </w:r>
    </w:p>
    <w:p w14:paraId="3F71D0F0" w14:textId="77777777" w:rsidR="00C70DFD" w:rsidRDefault="004C43E4">
      <w:pPr>
        <w:numPr>
          <w:ilvl w:val="0"/>
          <w:numId w:val="10"/>
        </w:numPr>
      </w:pPr>
      <w:r>
        <w:t>U.S. Geological Survey, Fort Collins Science Center, Jemez Mountains Field Station, Los Alamos, NM 87544, USA</w:t>
      </w:r>
    </w:p>
    <w:p w14:paraId="0C696E71" w14:textId="77777777" w:rsidR="00C70DFD" w:rsidRDefault="004C43E4">
      <w:pPr>
        <w:numPr>
          <w:ilvl w:val="0"/>
          <w:numId w:val="10"/>
        </w:numPr>
      </w:pPr>
      <w:r>
        <w:t>Biology Department, Wilfrid Laurier University, 75 University Ave W, Waterloo, ON, N2L 3C5</w:t>
      </w:r>
    </w:p>
    <w:p w14:paraId="43BEA411" w14:textId="77777777" w:rsidR="00C70DFD" w:rsidRDefault="004C43E4">
      <w:pPr>
        <w:numPr>
          <w:ilvl w:val="0"/>
          <w:numId w:val="10"/>
        </w:numPr>
      </w:pPr>
      <w:r>
        <w:t>School of Natural Resources, University of Nebraska-Lincoln, Lincoln, NE 68583, USA</w:t>
      </w:r>
    </w:p>
    <w:p w14:paraId="03A8F0CD" w14:textId="77777777" w:rsidR="00C70DFD" w:rsidRDefault="004C43E4">
      <w:pPr>
        <w:numPr>
          <w:ilvl w:val="0"/>
          <w:numId w:val="10"/>
        </w:numPr>
      </w:pPr>
      <w:r>
        <w:t>School of Biological Sciences, Monash University, Clayton, Victoria 3800, Australia</w:t>
      </w:r>
    </w:p>
    <w:p w14:paraId="032AAD09" w14:textId="77777777" w:rsidR="00C70DFD" w:rsidRDefault="004C43E4">
      <w:pPr>
        <w:numPr>
          <w:ilvl w:val="0"/>
          <w:numId w:val="10"/>
        </w:numPr>
      </w:pPr>
      <w:r>
        <w:t>National Parks Wildlife and Plant Conservation Department, Chatuchak, Bangkok 10900, Thailand</w:t>
      </w:r>
    </w:p>
    <w:p w14:paraId="173CED77" w14:textId="77777777" w:rsidR="00C70DFD" w:rsidRDefault="004C43E4">
      <w:pPr>
        <w:numPr>
          <w:ilvl w:val="0"/>
          <w:numId w:val="10"/>
        </w:numPr>
      </w:pPr>
      <w:r>
        <w:t>Swiss Federal Institute for Forest, Snow and Landscape Research, CH-8903 Birmensdorf, Switzerland</w:t>
      </w:r>
    </w:p>
    <w:p w14:paraId="176EB4BE" w14:textId="77777777" w:rsidR="00C70DFD" w:rsidRDefault="004C43E4">
      <w:pPr>
        <w:numPr>
          <w:ilvl w:val="0"/>
          <w:numId w:val="10"/>
        </w:numPr>
      </w:pPr>
      <w:r>
        <w:t>University of Alberta; Edmonton, Alberta, Canada</w:t>
      </w:r>
    </w:p>
    <w:p w14:paraId="0D18A495" w14:textId="77777777" w:rsidR="00C70DFD" w:rsidRDefault="004C43E4">
      <w:pPr>
        <w:numPr>
          <w:ilvl w:val="0"/>
          <w:numId w:val="10"/>
        </w:numPr>
      </w:pPr>
      <w:r>
        <w:t>Department of Forestry, Purdue University, West Lafayette, IN 47907, USA</w:t>
      </w:r>
    </w:p>
    <w:p w14:paraId="056EAD84" w14:textId="77777777" w:rsidR="00C70DFD" w:rsidRDefault="004C43E4">
      <w:pPr>
        <w:numPr>
          <w:ilvl w:val="0"/>
          <w:numId w:val="10"/>
        </w:numPr>
      </w:pPr>
      <w:r>
        <w:lastRenderedPageBreak/>
        <w:t>Department of Forest Ecology, The Silva Tarouca Research Institute for Landscape and Ornamental Gardening, Lidická 25/27, 602 00 Brno, Czech Republic</w:t>
      </w:r>
    </w:p>
    <w:p w14:paraId="02035C13" w14:textId="77777777" w:rsidR="00C70DFD" w:rsidRDefault="004C43E4">
      <w:pPr>
        <w:numPr>
          <w:ilvl w:val="0"/>
          <w:numId w:val="10"/>
        </w:numPr>
      </w:pPr>
      <w:r>
        <w:t>S. J. &amp; Jessie E. Quinney College of Natural Resources and the Ecology Center, Utah State University, Logan, UT 84322, USA</w:t>
      </w:r>
    </w:p>
    <w:p w14:paraId="55F00471" w14:textId="77777777" w:rsidR="00C70DFD" w:rsidRDefault="004C43E4">
      <w:pPr>
        <w:numPr>
          <w:ilvl w:val="0"/>
          <w:numId w:val="10"/>
        </w:numPr>
      </w:pPr>
      <w:r>
        <w:t>Department of Geography, Indiana University, Bloomington, Indiana, USA</w:t>
      </w:r>
    </w:p>
    <w:p w14:paraId="73E73E17" w14:textId="77777777" w:rsidR="00C70DFD" w:rsidRDefault="004C43E4">
      <w:pPr>
        <w:numPr>
          <w:ilvl w:val="0"/>
          <w:numId w:val="10"/>
        </w:numPr>
      </w:pPr>
      <w:r>
        <w:t>Smithsonian Environmental Research Center, Edgewater, MD, USA</w:t>
      </w:r>
    </w:p>
    <w:p w14:paraId="0945DD70" w14:textId="77777777" w:rsidR="00C70DFD" w:rsidRDefault="004C43E4">
      <w:pPr>
        <w:numPr>
          <w:ilvl w:val="0"/>
          <w:numId w:val="10"/>
        </w:numPr>
      </w:pPr>
      <w:r>
        <w:t>CIRAD, Montpellier, France</w:t>
      </w:r>
    </w:p>
    <w:p w14:paraId="584CC683" w14:textId="77777777" w:rsidR="00C70DFD" w:rsidRDefault="004C43E4">
      <w:pPr>
        <w:numPr>
          <w:ilvl w:val="0"/>
          <w:numId w:val="10"/>
        </w:numPr>
      </w:pPr>
      <w:r>
        <w:t>Canadian Forest Service, Northern Forestry Centre, Edmonton, Alberta, Canada</w:t>
      </w:r>
    </w:p>
    <w:p w14:paraId="14686B9B" w14:textId="77777777" w:rsidR="00C70DFD" w:rsidRDefault="004C43E4">
      <w:pPr>
        <w:numPr>
          <w:ilvl w:val="0"/>
          <w:numId w:val="10"/>
        </w:numPr>
      </w:pPr>
      <w:r>
        <w:t>Forest Ecology and Forest Management Group, Wageningen; Wageningen, The Netherlands</w:t>
      </w:r>
    </w:p>
    <w:p w14:paraId="04F4CEE3" w14:textId="77777777" w:rsidR="00C70DFD" w:rsidRDefault="004C43E4">
      <w:pPr>
        <w:pStyle w:val="FirstParagraph"/>
      </w:pPr>
      <w:r>
        <w:t xml:space="preserve">*corresponding author: </w:t>
      </w:r>
      <w:hyperlink r:id="rId12">
        <w:r>
          <w:rPr>
            <w:rStyle w:val="Hyperlink"/>
          </w:rPr>
          <w:t>teixeirak@si.edu</w:t>
        </w:r>
      </w:hyperlink>
      <w:r>
        <w:t>; +1 540 635 6546</w:t>
      </w:r>
    </w:p>
    <w:p w14:paraId="3EB18912" w14:textId="77777777" w:rsidR="00C70DFD" w:rsidRDefault="004C43E4">
      <w:pPr>
        <w:pStyle w:val="BodyText"/>
      </w:pPr>
      <w:r>
        <w:rPr>
          <w:b/>
        </w:rPr>
        <w:t>Running headline:</w:t>
      </w:r>
      <w:r>
        <w:t xml:space="preserve"> [45 chars]</w:t>
      </w:r>
    </w:p>
    <w:p w14:paraId="3BE450A1" w14:textId="77777777" w:rsidR="00C70DFD" w:rsidRDefault="004C43E4">
      <w:r>
        <w:br w:type="page"/>
      </w:r>
    </w:p>
    <w:p w14:paraId="40F60934" w14:textId="77777777" w:rsidR="00C70DFD" w:rsidRDefault="004C43E4">
      <w:pPr>
        <w:pStyle w:val="Heading1"/>
      </w:pPr>
      <w:bookmarkStart w:id="0" w:name="Abstract"/>
      <w:r>
        <w:lastRenderedPageBreak/>
        <w:t>Abstract</w:t>
      </w:r>
    </w:p>
    <w:p w14:paraId="39CBEC21" w14:textId="77777777" w:rsidR="00C70DFD" w:rsidRDefault="004C43E4">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w:t>
      </w:r>
      <w:r w:rsidRPr="00E90AFD">
        <w:rPr>
          <w:highlight w:val="yellow"/>
        </w:rPr>
        <w:t xml:space="preserve">Growth rates–expressed as ring widths, basal area increments, or biomass increments–varied non-linearly with </w:t>
      </w:r>
      <m:oMath>
        <m:r>
          <w:rPr>
            <w:rFonts w:ascii="Cambria Math" w:hAnsi="Cambria Math"/>
            <w:highlight w:val="yellow"/>
          </w:rPr>
          <m:t>DBH</m:t>
        </m:r>
      </m:oMath>
      <w:r w:rsidRPr="00E90AFD">
        <w:rPr>
          <w:highlight w:val="yellow"/>
        </w:rPr>
        <w:t>.</w:t>
      </w:r>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xml:space="preserve">, and year in nonlinear models, our method provides a parsimonious </w:t>
      </w:r>
      <w:r w:rsidRPr="00E90AFD">
        <w:rPr>
          <w:highlight w:val="yellow"/>
        </w:rPr>
        <w:t>approach for characterizing multiple interacting drivers of tree growth, opening the door for novel analyses using tree-rings to improve our understanding of forest responses to global change.</w:t>
      </w:r>
    </w:p>
    <w:p w14:paraId="5F2E7877" w14:textId="77777777" w:rsidR="00C70DFD" w:rsidRDefault="004C43E4">
      <w:pPr>
        <w:pStyle w:val="BodyText"/>
      </w:pPr>
      <w:r>
        <w:rPr>
          <w:b/>
        </w:rPr>
        <w:t>Keywords</w:t>
      </w:r>
      <w:r>
        <w:t>: climate sensitivity; diameter; environmental change; Forest Global Earth Observatory (ForestGEO); generalized least squares (GLS); nonlinear; tree-ring</w:t>
      </w:r>
    </w:p>
    <w:p w14:paraId="14D05C34" w14:textId="77777777" w:rsidR="00C70DFD" w:rsidRDefault="004C43E4">
      <w:r>
        <w:br w:type="page"/>
      </w:r>
    </w:p>
    <w:p w14:paraId="186DEABE" w14:textId="77777777" w:rsidR="00C70DFD" w:rsidRDefault="004C43E4">
      <w:pPr>
        <w:pStyle w:val="Heading1"/>
      </w:pPr>
      <w:bookmarkStart w:id="1" w:name="Introduction"/>
      <w:bookmarkEnd w:id="0"/>
      <w:r>
        <w:lastRenderedPageBreak/>
        <w:t>Introduction</w:t>
      </w:r>
    </w:p>
    <w:p w14:paraId="4BD3492C" w14:textId="77777777" w:rsidR="00C70DFD" w:rsidRDefault="004C43E4">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0C6159">
        <w:rPr>
          <w:highlight w:val="yellow"/>
        </w:rPr>
        <w:t>). They also provide the long-term perspective critical to understanding how slowly changing environmental drivers including rising atmospheric carbon dioxide (CO</w:t>
      </w:r>
      <w:r w:rsidRPr="000C6159">
        <w:rPr>
          <w:highlight w:val="yellow"/>
          <w:vertAlign w:val="subscript"/>
        </w:rPr>
        <w:t>2</w:t>
      </w:r>
      <w:r w:rsidRPr="000C6159">
        <w:rPr>
          <w:highlight w:val="yellow"/>
        </w:rPr>
        <w:t>) and directional climate change are influencing tree growth and forest productivity (e.g., Levesque et al., 2017; Mathias &amp; Thomas, 2018; Walker et al., 2020)</w:t>
      </w:r>
      <w:r>
        <w:t>.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03AB0823" w14:textId="77777777" w:rsidR="00C70DFD" w:rsidRDefault="004C43E4">
      <w:pPr>
        <w:pStyle w:val="BodyText"/>
      </w:pPr>
      <w:r w:rsidRPr="00E90AFD">
        <w:rPr>
          <w:highlight w:val="yellow"/>
        </w:rPr>
        <w:t>Dendrochronological methods to characterize the climate sensitivity of tree growth have been optimized to obtain the strongest possible climate signal for climate reconstructions, but face limitations when it comes to characterizing the climate sensitivity of individual trees</w:t>
      </w:r>
      <w:r>
        <w:t xml:space="preserve">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w:t>
      </w:r>
      <w:r w:rsidRPr="00727306">
        <w:rPr>
          <w:highlight w:val="yellow"/>
        </w:rPr>
        <w:t>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w:t>
      </w:r>
      <w:r>
        <w:t xml:space="preserve"> Although population-level climate responses have been approximated based on climate sensitives derived from species chronologies (e.g., Charney et al., 2016; Helcoski et al., 2019), </w:t>
      </w:r>
      <w:r w:rsidRPr="00727306">
        <w:rPr>
          <w:highlight w:val="yellow"/>
        </w:rPr>
        <w:t xml:space="preserve">the removal of individual-level variation prior to analysis of climate sensitivity limits potential for using species chronologies to characterize the climate sensitivity of </w:t>
      </w:r>
      <m:oMath>
        <m:r>
          <w:rPr>
            <w:rFonts w:ascii="Cambria Math" w:hAnsi="Cambria Math"/>
            <w:highlight w:val="yellow"/>
          </w:rPr>
          <m:t>ANP</m:t>
        </m:r>
        <m:sSub>
          <m:sSubPr>
            <m:ctrlPr>
              <w:rPr>
                <w:rFonts w:ascii="Cambria Math" w:hAnsi="Cambria Math"/>
                <w:highlight w:val="yellow"/>
              </w:rPr>
            </m:ctrlPr>
          </m:sSubPr>
          <m:e>
            <m:r>
              <w:rPr>
                <w:rFonts w:ascii="Cambria Math" w:hAnsi="Cambria Math"/>
                <w:highlight w:val="yellow"/>
              </w:rPr>
              <m:t>P</m:t>
            </m:r>
          </m:e>
          <m:sub>
            <m:r>
              <w:rPr>
                <w:rFonts w:ascii="Cambria Math" w:hAnsi="Cambria Math"/>
                <w:highlight w:val="yellow"/>
              </w:rPr>
              <m:t>woody</m:t>
            </m:r>
          </m:sub>
        </m:sSub>
      </m:oMath>
      <w:r w:rsidRPr="00727306">
        <w:rPr>
          <w:highlight w:val="yellow"/>
        </w:rPr>
        <w:t>.</w:t>
      </w:r>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5363D073" w14:textId="77777777" w:rsidR="00C70DFD" w:rsidRDefault="004C43E4">
      <w:pPr>
        <w:pStyle w:val="BodyText"/>
      </w:pPr>
      <w:r w:rsidRPr="00727306">
        <w:rPr>
          <w:highlight w:val="yellow"/>
        </w:rPr>
        <w:t>Dendrochronological studies most commonly focus on linear climate responses to single climate drivers and the settings in which these occur, thereby missing nonlinearities and additive or interactive climate effects known to be widespread within forest settings</w:t>
      </w:r>
      <w:r>
        <w:t xml:space="preserve">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w:t>
      </w:r>
      <w:r w:rsidRPr="00727306">
        <w:rPr>
          <w:highlight w:val="yellow"/>
        </w:rPr>
        <w:t>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w:t>
      </w:r>
      <w:r>
        <w:t xml:space="preserve"> al., 2011; Sánchez-Salguero et al., 2015).</w:t>
      </w:r>
    </w:p>
    <w:p w14:paraId="3740AC49" w14:textId="77777777" w:rsidR="00C70DFD" w:rsidRDefault="004C43E4">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w:t>
      </w:r>
      <w:r w:rsidRPr="00727306">
        <w:rPr>
          <w:highlight w:val="yellow"/>
        </w:rPr>
        <w:t xml:space="preserve">However, for dendrochronological studies aimed at deciphering climate signals, </w:t>
      </w:r>
      <m:oMath>
        <m:r>
          <w:rPr>
            <w:rFonts w:ascii="Cambria Math" w:hAnsi="Cambria Math"/>
            <w:highlight w:val="yellow"/>
          </w:rPr>
          <m:t>DBH</m:t>
        </m:r>
      </m:oMath>
      <w:r w:rsidRPr="00727306">
        <w:rPr>
          <w:highlight w:val="yellow"/>
        </w:rPr>
        <w:t xml:space="preserve"> is not typically a variable of interest, and its influence is removed through detrending</w:t>
      </w:r>
      <w:r>
        <w:t xml:space="preserve"> (Cook &amp; Peters, 1997). Moreover, many studies constrain sampling to only larger size classes. While convenient for identifying climate signals (Fritts, 1976), </w:t>
      </w:r>
      <w:r w:rsidRPr="00727306">
        <w:rPr>
          <w:highlight w:val="yellow"/>
        </w:rPr>
        <w:t>this approach is not optimal for subsequent inference of the climate sensitivity of forest productivity</w:t>
      </w:r>
      <w:r>
        <w:t xml:space="preserve">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rsidRPr="00727306">
        <w:rPr>
          <w:highlight w:val="yellow"/>
        </w:rPr>
        <w:lastRenderedPageBreak/>
        <w:t xml:space="preserve">directly model known interactive effects of </w:t>
      </w:r>
      <m:oMath>
        <m:r>
          <w:rPr>
            <w:rFonts w:ascii="Cambria Math" w:hAnsi="Cambria Math"/>
            <w:highlight w:val="yellow"/>
          </w:rPr>
          <m:t>DBH</m:t>
        </m:r>
      </m:oMath>
      <w:r w:rsidRPr="00727306">
        <w:rPr>
          <w:highlight w:val="yellow"/>
        </w:rPr>
        <w:t xml:space="preserve"> and climate on tree growth (</w:t>
      </w:r>
      <w:r>
        <w:t xml:space="preserve">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w:t>
      </w:r>
      <w:r w:rsidRPr="00727306">
        <w:rPr>
          <w:highlight w:val="yellow"/>
        </w:rPr>
        <w:t>detrending makes it impossible to account for such size differences in climate sensitivity in a systematic, integrative way</w:t>
      </w:r>
      <w:r>
        <w:t xml:space="preserve">.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71E448F" w14:textId="77777777" w:rsidR="00C70DFD" w:rsidRDefault="004C43E4">
      <w:pPr>
        <w:pStyle w:val="BodyText"/>
      </w:pPr>
      <w:r>
        <w:t xml:space="preserve">Characterizing how tree growth and forest productivity are responding to slowly-changing environmental drivers is very challenging and </w:t>
      </w:r>
      <w:commentRangeStart w:id="2"/>
      <w:r w:rsidRPr="00727306">
        <w:rPr>
          <w:highlight w:val="yellow"/>
        </w:rPr>
        <w:t>uncertain. Directional climate change (as opposed to interannual variation), rising atmospheric CO</w:t>
      </w:r>
      <w:r w:rsidRPr="00727306">
        <w:rPr>
          <w:highlight w:val="yellow"/>
          <w:vertAlign w:val="subscript"/>
        </w:rPr>
        <w:t>2</w:t>
      </w:r>
      <w:r w:rsidRPr="00727306">
        <w:rPr>
          <w:highlight w:val="yellow"/>
        </w:rPr>
        <w:t>, and atmospheric deposition of sulfur dioxide (SO</w:t>
      </w:r>
      <w:r w:rsidRPr="00727306">
        <w:rPr>
          <w:highlight w:val="yellow"/>
          <w:vertAlign w:val="subscript"/>
        </w:rPr>
        <w:t>2</w:t>
      </w:r>
      <w:r w:rsidRPr="00727306">
        <w:rPr>
          <w:highlight w:val="yellow"/>
        </w:rPr>
        <w:t>) and nitrogen oxides (NO</w:t>
      </w:r>
      <w:r w:rsidRPr="00727306">
        <w:rPr>
          <w:highlight w:val="yellow"/>
          <w:vertAlign w:val="subscript"/>
        </w:rPr>
        <w:t>x</w:t>
      </w:r>
      <w:r w:rsidRPr="00727306">
        <w:rPr>
          <w:highlight w:val="yellow"/>
        </w:rPr>
        <w:t>) are all potentially influencing tree growth (e.g., Levesque et al., 2017; Mathias &amp; Thomas, 2018; Walker et al., 2020)</w:t>
      </w:r>
      <w:r>
        <w:t xml:space="preserve">. </w:t>
      </w:r>
      <w:r w:rsidRPr="00727306">
        <w:rPr>
          <w:highlight w:val="yellow"/>
        </w:rPr>
        <w:t>At the same time, stand dynamics influence growth: tree growth rates are sensitive to competition, the intensity of which tends to increase as forests mature, and to canopy position</w:t>
      </w:r>
      <w:commentRangeEnd w:id="2"/>
      <w:r w:rsidR="00727306">
        <w:rPr>
          <w:rStyle w:val="CommentReference"/>
        </w:rPr>
        <w:commentReference w:id="2"/>
      </w:r>
      <w:r w:rsidRPr="00727306">
        <w:rPr>
          <w:highlight w:val="yellow"/>
        </w:rPr>
        <w:t>, which can change directionally as trees overtop or are overtopped by their neighbors.</w:t>
      </w:r>
      <w:r>
        <w:t xml:space="preserve"> </w:t>
      </w:r>
      <w:r w:rsidRPr="00727306">
        <w:rPr>
          <w:highlight w:val="yellow"/>
        </w:rPr>
        <w:t>Moreover, carbon allocation to woody growth – as opposed to leaf or root production, reproduction, defenses, etc. – is known to decline as individual trees and forest stands stands age</w:t>
      </w:r>
      <w:r>
        <w:t xml:space="preserv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6F390C32" w14:textId="77777777" w:rsidR="00C70DFD" w:rsidRDefault="004C43E4">
      <w:pPr>
        <w:pStyle w:val="BodyText"/>
      </w:pPr>
      <w:r w:rsidRPr="00727306">
        <w:rPr>
          <w:highlight w:val="yellow"/>
        </w:rPr>
        <w:t>Here, we develop a new method that allows simultaneous consideration of the effects of principle climate drivers (pre-selected in an objective manner), tree size, and year on annual tree growth.</w:t>
      </w:r>
      <w:r>
        <w:t xml:space="preserve">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7A95C9BB" w14:textId="77777777" w:rsidR="00C70DFD" w:rsidRDefault="004C43E4">
      <w:pPr>
        <w:pStyle w:val="Heading1"/>
      </w:pPr>
      <w:bookmarkStart w:id="3" w:name="Materials"/>
      <w:bookmarkEnd w:id="1"/>
      <w:r>
        <w:t>Materials and Methods</w:t>
      </w:r>
    </w:p>
    <w:p w14:paraId="5F68F69B" w14:textId="77777777" w:rsidR="00C70DFD" w:rsidRDefault="004C43E4">
      <w:pPr>
        <w:pStyle w:val="Heading2"/>
      </w:pPr>
      <w:r>
        <w:t>Data sources and preparation</w:t>
      </w:r>
    </w:p>
    <w:p w14:paraId="58C972E5" w14:textId="77777777" w:rsidR="00C70DFD" w:rsidRDefault="004C43E4">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4349AC2F" w14:textId="77777777" w:rsidR="00C70DFD" w:rsidRDefault="004C43E4">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5BF20085" wp14:editId="6E0AD0D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7C5F5D9D" w14:textId="77777777" w:rsidR="00C70DFD" w:rsidRDefault="004C43E4">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w:t>
      </w:r>
      <w:r w:rsidRPr="00314D02">
        <w:rPr>
          <w:highlight w:val="yellow"/>
        </w:rPr>
        <w:t>the final 20 years prior to death of trees cored dead. The final criteria was implemented to avoid periods of growth decline and potentially altered climate sensitivity prior to death</w:t>
      </w:r>
      <w:r>
        <w:t xml:space="preserve">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197485E" w14:textId="77777777" w:rsidR="00C70DFD" w:rsidRDefault="004C43E4">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3C0338F" w14:textId="77777777" w:rsidR="00C70DFD" w:rsidRDefault="004C43E4">
      <w:pPr>
        <w:pStyle w:val="BodyText"/>
      </w:pPr>
      <w:r>
        <w:t xml:space="preserve">Once </w:t>
      </w:r>
      <m:oMath>
        <m:r>
          <w:rPr>
            <w:rFonts w:ascii="Cambria Math" w:hAnsi="Cambria Math"/>
            <w:highlight w:val="yellow"/>
          </w:rPr>
          <m:t>DBH</m:t>
        </m:r>
      </m:oMath>
      <w:r w:rsidRPr="00314D02">
        <w:rPr>
          <w:highlight w:val="yellow"/>
        </w:rPr>
        <w:t xml:space="preserve"> had been reconstructed, we used biomass allometries to estimate the corresponding aboveground biomass and diameter to area equation to get the</w:t>
      </w:r>
      <w:r>
        <w:t xml:space="preserv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w:t>
      </w:r>
      <w:r w:rsidRPr="00314D02">
        <w:rPr>
          <w:highlight w:val="yellow"/>
        </w:rPr>
        <w:t xml:space="preserve">Biomass allometries for temperate and tropical species were calculated using the R packages </w:t>
      </w:r>
      <w:r w:rsidRPr="00314D02">
        <w:rPr>
          <w:i/>
          <w:highlight w:val="yellow"/>
        </w:rPr>
        <w:t>allo-db</w:t>
      </w:r>
      <w:r>
        <w:t xml:space="preserve"> (Gonzalez-Akre et al. in revision) and </w:t>
      </w:r>
      <w:r>
        <w:rPr>
          <w:i/>
        </w:rPr>
        <w:t>biomass</w:t>
      </w:r>
      <w:r>
        <w:t xml:space="preserve"> (Réjou-Méchain et al., 2017), respectively.</w:t>
      </w:r>
    </w:p>
    <w:p w14:paraId="0F86E711" w14:textId="77777777" w:rsidR="00C70DFD" w:rsidRDefault="004C43E4">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455B4327" w14:textId="77777777" w:rsidR="00C70DFD" w:rsidRDefault="004C43E4">
      <w:pPr>
        <w:pStyle w:val="Heading2"/>
      </w:pPr>
      <w:bookmarkStart w:id="4" w:name="Analysis"/>
      <w:r>
        <w:t>Analysis methods</w:t>
      </w:r>
    </w:p>
    <w:p w14:paraId="592C100D" w14:textId="77777777" w:rsidR="00C70DFD" w:rsidRDefault="004C43E4">
      <w:pPr>
        <w:pStyle w:val="FirstParagraph"/>
      </w:pPr>
      <w:r>
        <w:t xml:space="preserve">Our analysis consisted of two main steps: (1) </w:t>
      </w:r>
      <w:commentRangeStart w:id="5"/>
      <w:r w:rsidRPr="00314D02">
        <w:rPr>
          <w:highlight w:val="yellow"/>
        </w:rPr>
        <w:t>identification of the most important climate drivers and the time window over which they operate</w:t>
      </w:r>
      <w:commentRangeEnd w:id="5"/>
      <w:r>
        <w:rPr>
          <w:rStyle w:val="CommentReference"/>
        </w:rPr>
        <w:commentReference w:id="5"/>
      </w:r>
      <w:r>
        <w:t xml:space="preserv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A70973F" w14:textId="77777777" w:rsidR="00C70DFD" w:rsidRDefault="004C43E4">
      <w:pPr>
        <w:pStyle w:val="CaptionedFigure"/>
      </w:pPr>
      <w:r>
        <w:rPr>
          <w:noProof/>
        </w:rPr>
        <w:lastRenderedPageBreak/>
        <w:drawing>
          <wp:inline distT="0" distB="0" distL="0" distR="0" wp14:anchorId="2FFAE934" wp14:editId="47D137BF">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1C66FB2B" w14:textId="77777777" w:rsidR="00C70DFD" w:rsidRDefault="004C43E4">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35BE6BB3" w14:textId="77777777" w:rsidR="00C70DFD" w:rsidRDefault="004C43E4">
      <w:pPr>
        <w:pStyle w:val="Heading3"/>
      </w:pPr>
      <w:r>
        <w:lastRenderedPageBreak/>
        <w:t>Climate variable selection</w:t>
      </w:r>
    </w:p>
    <w:p w14:paraId="65368C04" w14:textId="77777777" w:rsidR="00C70DFD" w:rsidRDefault="004C43E4">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w:t>
      </w:r>
      <w:r w:rsidRPr="004C43E4">
        <w:rPr>
          <w:highlight w:val="yellow"/>
        </w:rPr>
        <w:t xml:space="preserve">). </w:t>
      </w:r>
      <w:r w:rsidRPr="004C43E4">
        <w:rPr>
          <w:i/>
          <w:highlight w:val="yellow"/>
        </w:rPr>
        <w:t>Climwin</w:t>
      </w:r>
      <w:r w:rsidRPr="004C43E4">
        <w:rPr>
          <w:highlight w:val="yellow"/>
        </w:rPr>
        <w:t xml:space="preserve"> runs all potential models to select the best fit (lowest AIC), and does k-fold cross-validation in its computation of AIC to guard against over-fitting (van de Pol et al., 2016)</w:t>
      </w:r>
      <w:r>
        <w:t xml:space="preserve">. For each group of candidate climate variables, we moved forward with the best variable over the time window identified by </w:t>
      </w:r>
      <w:r>
        <w:rPr>
          <w:i/>
        </w:rPr>
        <w:t>climwin</w:t>
      </w:r>
      <w:r>
        <w:t xml:space="preserve"> as a candidate climate variable for the multivariate models.</w:t>
      </w:r>
    </w:p>
    <w:p w14:paraId="78A6550F" w14:textId="77777777" w:rsidR="00C70DFD" w:rsidRDefault="004C43E4">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201A17F6" w14:textId="77777777" w:rsidR="00C70DFD" w:rsidRDefault="004C43E4">
      <w:pPr>
        <w:pStyle w:val="Heading3"/>
      </w:pPr>
      <w:bookmarkStart w:id="6" w:name="Combining"/>
      <w:r>
        <w:t>Combining drivers in GLS model</w:t>
      </w:r>
    </w:p>
    <w:p w14:paraId="2416076B" w14:textId="77777777" w:rsidR="00C70DFD" w:rsidRDefault="004C43E4">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7C275F8C" w14:textId="77777777" w:rsidR="00C70DFD" w:rsidRDefault="004C43E4">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0D89693C" w14:textId="77777777" w:rsidR="00C70DFD" w:rsidRDefault="004C43E4">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B96E182" w14:textId="77777777" w:rsidR="00C70DFD" w:rsidRDefault="004C43E4">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165639B5" w14:textId="77777777" w:rsidR="00C70DFD" w:rsidRDefault="004C43E4">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04F08370" w14:textId="77777777" w:rsidR="00C70DFD" w:rsidRDefault="004C43E4">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19EF1963" w14:textId="77777777" w:rsidR="00C70DFD" w:rsidRDefault="004C43E4">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04AD9933" w14:textId="77777777" w:rsidR="00C70DFD" w:rsidRDefault="004C43E4">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12DAEFC7" w14:textId="77777777" w:rsidR="00C70DFD" w:rsidRDefault="004C43E4">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42D6C3F" w14:textId="77777777" w:rsidR="00C70DFD" w:rsidRDefault="004C43E4">
      <w:pPr>
        <w:pStyle w:val="Heading1"/>
      </w:pPr>
      <w:bookmarkStart w:id="7" w:name="Results"/>
      <w:bookmarkEnd w:id="3"/>
      <w:bookmarkEnd w:id="4"/>
      <w:bookmarkEnd w:id="6"/>
      <w:r>
        <w:t>Results</w:t>
      </w:r>
    </w:p>
    <w:p w14:paraId="0D9EAD9E" w14:textId="77777777" w:rsidR="00C70DFD" w:rsidRDefault="004C43E4">
      <w:pPr>
        <w:pStyle w:val="Heading2"/>
      </w:pPr>
      <w:r>
        <w:t>Climate sensitivity</w:t>
      </w:r>
    </w:p>
    <w:p w14:paraId="1B773C46" w14:textId="77777777" w:rsidR="00C70DFD" w:rsidRDefault="004C43E4">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85013E9" w14:textId="77777777" w:rsidR="00C70DFD" w:rsidRDefault="004C43E4">
      <w:pPr>
        <w:pStyle w:val="CaptionedFigure"/>
      </w:pPr>
      <w:r>
        <w:rPr>
          <w:noProof/>
        </w:rPr>
        <w:lastRenderedPageBreak/>
        <w:drawing>
          <wp:inline distT="0" distB="0" distL="0" distR="0" wp14:anchorId="40547BA5" wp14:editId="041839F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43189A40" w14:textId="77777777" w:rsidR="00C70DFD" w:rsidRDefault="004C43E4">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21E26377" w14:textId="77777777" w:rsidR="00C70DFD" w:rsidRDefault="004C43E4">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w:t>
      </w:r>
      <w:r w:rsidRPr="00BD70E4">
        <w:rPr>
          <w:highlight w:val="yellow"/>
        </w:rPr>
        <w:t>In 8 of 20 cases, both the optimal climate variable and time window were identical across growth metrics (e.g., Fig. S19)</w:t>
      </w:r>
      <w:r>
        <w:t xml:space="preserve">.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50E9A62" w14:textId="77777777" w:rsidR="00C70DFD" w:rsidRDefault="004C43E4">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1C456663" w14:textId="77777777" w:rsidR="00C70DFD" w:rsidRDefault="004C43E4">
      <w:pPr>
        <w:pStyle w:val="CaptionedFigure"/>
      </w:pPr>
      <w:r>
        <w:rPr>
          <w:noProof/>
        </w:rPr>
        <w:lastRenderedPageBreak/>
        <w:drawing>
          <wp:inline distT="0" distB="0" distL="0" distR="0" wp14:anchorId="30739397" wp14:editId="5CF1D4C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D75B411" w14:textId="77777777" w:rsidR="00C70DFD" w:rsidRDefault="004C43E4">
      <w:pPr>
        <w:pStyle w:val="ImageCaption"/>
      </w:pPr>
      <w:r>
        <w:rPr>
          <w:b/>
        </w:rPr>
        <w:t>Figure 3 | Species-</w:t>
      </w:r>
      <w:commentRangeStart w:id="8"/>
      <w:r>
        <w:rPr>
          <w:b/>
        </w:rPr>
        <w:t xml:space="preserve">level responses of </w:t>
      </w:r>
      <m:oMath>
        <m:r>
          <w:rPr>
            <w:rFonts w:ascii="Cambria Math" w:hAnsi="Cambria Math"/>
          </w:rPr>
          <m:t>RW</m:t>
        </m:r>
      </m:oMath>
      <w:r>
        <w:rPr>
          <w:b/>
        </w:rPr>
        <w:t xml:space="preserve"> to climwin-selected variables in precipitation and temperature variable groups.</w:t>
      </w:r>
      <w:r>
        <w:t xml:space="preserve"> </w:t>
      </w:r>
      <w:commentRangeEnd w:id="8"/>
      <w:r w:rsidR="00BD70E4">
        <w:rPr>
          <w:rStyle w:val="CommentReference"/>
          <w:i w:val="0"/>
        </w:rPr>
        <w:commentReference w:id="8"/>
      </w:r>
      <w:r>
        <w:t>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1789AA53" w14:textId="77777777" w:rsidR="00C70DFD" w:rsidRDefault="004C43E4">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757E3D5" w14:textId="77777777" w:rsidR="00C70DFD" w:rsidRDefault="004C43E4">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21CC2644" w14:textId="77777777" w:rsidR="00C70DFD" w:rsidRDefault="004C43E4">
      <w:pPr>
        <w:pStyle w:val="Heading2"/>
      </w:pPr>
      <w:bookmarkStart w:id="9" w:name="Influence"/>
      <w:r>
        <w:lastRenderedPageBreak/>
        <w:t>Influence of DBH</w:t>
      </w:r>
    </w:p>
    <w:p w14:paraId="2FE4C7E9" w14:textId="77777777" w:rsidR="00C70DFD" w:rsidRDefault="004C43E4">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76D5FAE0" w14:textId="77777777" w:rsidR="00C70DFD" w:rsidRDefault="004C43E4">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0A065D49" w14:textId="77777777" w:rsidR="00C70DFD" w:rsidRDefault="004C43E4">
      <w:pPr>
        <w:pStyle w:val="CaptionedFigure"/>
      </w:pPr>
      <w:r>
        <w:rPr>
          <w:noProof/>
        </w:rPr>
        <w:lastRenderedPageBreak/>
        <w:drawing>
          <wp:inline distT="0" distB="0" distL="0" distR="0" wp14:anchorId="447DD194" wp14:editId="29DE0670">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31358161" w14:textId="77777777" w:rsidR="00C70DFD" w:rsidRDefault="004C43E4">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CB12121" w14:textId="77777777" w:rsidR="00C70DFD" w:rsidRDefault="004C43E4">
      <w:pPr>
        <w:pStyle w:val="Heading2"/>
      </w:pPr>
      <w:bookmarkStart w:id="10" w:name="Additive"/>
      <w:bookmarkEnd w:id="9"/>
      <w:r>
        <w:t>Additive and interactive effects of climate and DBH</w:t>
      </w:r>
    </w:p>
    <w:p w14:paraId="6250E659" w14:textId="77777777" w:rsidR="00C70DFD" w:rsidRDefault="004C43E4">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r w:rsidRPr="00BD70E4">
        <w:rPr>
          <w:highlight w:val="yellow"/>
        </w:rPr>
        <w:t xml:space="preserve">Climate responses were generally similar to those described above for models without a </w:t>
      </w:r>
      <m:oMath>
        <m:r>
          <w:rPr>
            <w:rFonts w:ascii="Cambria Math" w:hAnsi="Cambria Math"/>
            <w:highlight w:val="yellow"/>
          </w:rPr>
          <m:t>DBH</m:t>
        </m:r>
      </m:oMath>
      <w:r w:rsidRPr="00BD70E4">
        <w:rPr>
          <w:highlight w:val="yellow"/>
        </w:rPr>
        <w:t xml:space="preserve"> term, although some of the weaker climate responses were not</w:t>
      </w:r>
      <w:r>
        <w:t xml:space="preserve">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54A1CBCF" w14:textId="77777777" w:rsidR="00C70DFD" w:rsidRDefault="004C43E4">
      <w:pPr>
        <w:pStyle w:val="BodyText"/>
      </w:pPr>
      <w:r w:rsidRPr="00BD70E4">
        <w:rPr>
          <w:highlight w:val="yellow"/>
        </w:rPr>
        <w:t xml:space="preserve">In general, </w:t>
      </w:r>
      <m:oMath>
        <m:r>
          <w:rPr>
            <w:rFonts w:ascii="Cambria Math" w:hAnsi="Cambria Math"/>
            <w:highlight w:val="yellow"/>
          </w:rPr>
          <m:t>DBH</m:t>
        </m:r>
      </m:oMath>
      <w:r w:rsidRPr="00BD70E4">
        <w:rPr>
          <w:highlight w:val="yellow"/>
        </w:rPr>
        <w:t xml:space="preserve"> explained more variation in growth rates than did climate, but its relative importance varied across growth metrics and sites</w:t>
      </w:r>
      <w:r>
        <w:t xml:space="preserve">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E14981E" w14:textId="77777777" w:rsidR="00C70DFD" w:rsidRDefault="004C43E4">
      <w:pPr>
        <w:pStyle w:val="BodyText"/>
      </w:pPr>
      <w:r w:rsidRPr="006D1DA2">
        <w:rPr>
          <w:highlight w:val="yellow"/>
        </w:rPr>
        <w:t xml:space="preserve">Interactive effects of climate and </w:t>
      </w:r>
      <m:oMath>
        <m:r>
          <w:rPr>
            <w:rFonts w:ascii="Cambria Math" w:hAnsi="Cambria Math"/>
            <w:highlight w:val="yellow"/>
          </w:rPr>
          <m:t>DBH</m:t>
        </m:r>
      </m:oMath>
      <w:r w:rsidRPr="006D1DA2">
        <w:rPr>
          <w:highlight w:val="yellow"/>
        </w:rPr>
        <w:t xml:space="preserve"> were found for 90 of the 203 (44%) species-variable combinations for which they were tested</w:t>
      </w:r>
      <w:r>
        <w:t xml:space="preserve">.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71CA185" w14:textId="77777777" w:rsidR="00C70DFD" w:rsidRDefault="004C43E4">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w:t>
      </w:r>
      <w:r w:rsidRPr="006D1DA2">
        <w:rPr>
          <w:highlight w:val="yellow"/>
        </w:rPr>
        <w:t xml:space="preserve">Directions of these interactions were mixed, with 5 of 12 significant interactions negative with </w:t>
      </w:r>
      <m:oMath>
        <m:r>
          <w:rPr>
            <w:rFonts w:ascii="Cambria Math" w:hAnsi="Cambria Math"/>
            <w:highlight w:val="yellow"/>
          </w:rPr>
          <m:t>RW</m:t>
        </m:r>
      </m:oMath>
      <w:r w:rsidRPr="006D1DA2">
        <w:rPr>
          <w:highlight w:val="yellow"/>
        </w:rPr>
        <w:t xml:space="preserve"> as the growth metric and 10 of 16 significant interactions negative when </w:t>
      </w:r>
      <m:oMath>
        <m:r>
          <w:rPr>
            <w:rFonts w:ascii="Cambria Math" w:hAnsi="Cambria Math"/>
            <w:highlight w:val="yellow"/>
          </w:rPr>
          <m:t>BAI</m:t>
        </m:r>
      </m:oMath>
      <w:r w:rsidRPr="006D1DA2">
        <w:rPr>
          <w:highlight w:val="yellow"/>
        </w:rPr>
        <w:t xml:space="preserve"> was the growth metric</w:t>
      </w:r>
      <w:r>
        <w:t xml:space="preserve">.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006D575E" w14:textId="77777777" w:rsidR="00C70DFD" w:rsidRDefault="004C43E4">
      <w:pPr>
        <w:pStyle w:val="CaptionedFigure"/>
      </w:pPr>
      <w:r>
        <w:rPr>
          <w:noProof/>
        </w:rPr>
        <w:lastRenderedPageBreak/>
        <w:drawing>
          <wp:inline distT="0" distB="0" distL="0" distR="0" wp14:anchorId="45A9D133" wp14:editId="1ECB7B8E">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7DBD61C6" w14:textId="77777777" w:rsidR="00C70DFD" w:rsidRDefault="004C43E4">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55CE4B6" w14:textId="77777777" w:rsidR="00C70DFD" w:rsidRDefault="004C43E4">
      <w:pPr>
        <w:pStyle w:val="Heading2"/>
      </w:pPr>
      <w:bookmarkStart w:id="11" w:name="Effects"/>
      <w:bookmarkEnd w:id="10"/>
      <w:r>
        <w:t>Effects of year</w:t>
      </w:r>
    </w:p>
    <w:p w14:paraId="37BF0232" w14:textId="77777777" w:rsidR="00C70DFD" w:rsidRDefault="004C43E4">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35C3F71B" w14:textId="77777777" w:rsidR="00C70DFD" w:rsidRDefault="004C43E4">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9EB9077" w14:textId="77777777" w:rsidR="00C70DFD" w:rsidRDefault="004C43E4">
      <w:pPr>
        <w:pStyle w:val="CaptionedFigure"/>
      </w:pPr>
      <w:r>
        <w:rPr>
          <w:noProof/>
        </w:rPr>
        <w:lastRenderedPageBreak/>
        <w:drawing>
          <wp:inline distT="0" distB="0" distL="0" distR="0" wp14:anchorId="7F4FAAE2" wp14:editId="2E5B981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1D11EDEA" w14:textId="77777777" w:rsidR="00C70DFD" w:rsidRDefault="004C43E4">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3E0E4D3" w14:textId="77777777" w:rsidR="00C70DFD" w:rsidRDefault="004C43E4">
      <w:pPr>
        <w:pStyle w:val="Heading1"/>
      </w:pPr>
      <w:bookmarkStart w:id="12" w:name="Discussion"/>
      <w:bookmarkEnd w:id="7"/>
      <w:bookmarkEnd w:id="11"/>
      <w:r>
        <w:t>Discussion</w:t>
      </w:r>
    </w:p>
    <w:p w14:paraId="75B7630B" w14:textId="77777777" w:rsidR="00C70DFD" w:rsidRDefault="004C43E4">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175F8885" w14:textId="77777777" w:rsidR="00C70DFD" w:rsidRDefault="004C43E4">
      <w:pPr>
        <w:pStyle w:val="Heading2"/>
      </w:pPr>
      <w:bookmarkStart w:id="13" w:name="Climate"/>
      <w:r>
        <w:t>Climate sensitivity</w:t>
      </w:r>
    </w:p>
    <w:p w14:paraId="470522F8" w14:textId="77777777" w:rsidR="00C70DFD" w:rsidRDefault="004C43E4">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2B1B56F7" w14:textId="77777777" w:rsidR="00C70DFD" w:rsidRDefault="004C43E4">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w:t>
      </w:r>
      <w:commentRangeStart w:id="14"/>
      <w:r>
        <w:t xml:space="preserve">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commentRangeEnd w:id="14"/>
      <w:r w:rsidR="006D1DA2">
        <w:rPr>
          <w:rStyle w:val="CommentReference"/>
        </w:rPr>
        <w:commentReference w:id="14"/>
      </w:r>
    </w:p>
    <w:p w14:paraId="52E41786" w14:textId="77777777" w:rsidR="00C70DFD" w:rsidRDefault="004C43E4">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136748B3" w14:textId="77777777" w:rsidR="00C70DFD" w:rsidRDefault="004C43E4">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w:t>
      </w:r>
      <w:r w:rsidRPr="006D1DA2">
        <w:rPr>
          <w:highlight w:val="yellow"/>
        </w:rPr>
        <w:t>The most coherent pattern observed in this analysis was a tendency for larger trees to be more sensitive to precipitation and high temperatures</w:t>
      </w:r>
      <w:r>
        <w:t xml:space="preserve">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t>
      </w:r>
      <w:r w:rsidRPr="006D1DA2">
        <w:rPr>
          <w:highlight w:val="yellow"/>
        </w:rPr>
        <w:t>will be critical to using tree-ring records to understand and forecast the effects of climate on tree growth and forest productivity</w:t>
      </w:r>
      <w:r>
        <w:t xml:space="preserve">.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7C5CA668" w14:textId="77777777" w:rsidR="00C70DFD" w:rsidRDefault="004C43E4">
      <w:pPr>
        <w:pStyle w:val="Heading2"/>
      </w:pPr>
      <w:bookmarkStart w:id="15" w:name="Variation"/>
      <w:bookmarkEnd w:id="13"/>
      <w:r>
        <w:t xml:space="preserve">Variation with </w:t>
      </w:r>
      <m:oMath>
        <m:r>
          <m:rPr>
            <m:sty m:val="bi"/>
          </m:rPr>
          <w:rPr>
            <w:rFonts w:ascii="Cambria Math" w:hAnsi="Cambria Math"/>
          </w:rPr>
          <m:t>DBH</m:t>
        </m:r>
      </m:oMath>
    </w:p>
    <w:p w14:paraId="0968EA82" w14:textId="77777777" w:rsidR="00C70DFD" w:rsidRDefault="004C43E4">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18F9211F" w14:textId="77777777" w:rsidR="00C70DFD" w:rsidRDefault="004C43E4">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87855F7" w14:textId="77777777" w:rsidR="00C70DFD" w:rsidRDefault="004C43E4">
      <w:pPr>
        <w:pStyle w:val="Heading2"/>
      </w:pPr>
      <w:bookmarkStart w:id="16" w:name="Changing"/>
      <w:bookmarkEnd w:id="15"/>
      <w:r>
        <w:t>Changing growth rates</w:t>
      </w:r>
    </w:p>
    <w:p w14:paraId="2B86A4F2" w14:textId="77777777" w:rsidR="00C70DFD" w:rsidRDefault="004C43E4">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w:t>
      </w:r>
      <w:r w:rsidRPr="006D1DA2">
        <w:rPr>
          <w:highlight w:val="yellow"/>
        </w:rPr>
        <w:t>These results were similar across growth metrics (Figs. S35-S54), and consistent with an independent analysis of growth-</w:t>
      </w:r>
      <m:oMath>
        <m:r>
          <w:rPr>
            <w:rFonts w:ascii="Cambria Math" w:hAnsi="Cambria Math"/>
            <w:highlight w:val="yellow"/>
          </w:rPr>
          <m:t>DBH</m:t>
        </m:r>
      </m:oMath>
      <w:r w:rsidRPr="006D1DA2">
        <w:rPr>
          <w:highlight w:val="yellow"/>
        </w:rPr>
        <w:t xml:space="preserve"> trends by decade</w:t>
      </w:r>
      <w:r>
        <w:t xml:space="preserv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t>
      </w:r>
      <w:r w:rsidRPr="006D1DA2">
        <w:rPr>
          <w:highlight w:val="yellow"/>
        </w:rPr>
        <w:t>While our analysis was designed to avoid some of the most severe potential biases (Brienen et al., 2012), it is difficult, if not impossible, to control for all potential demography and survivorship biases,</w:t>
      </w:r>
      <w:r>
        <w:t xml:space="preserve">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6772A4F0" w14:textId="77777777" w:rsidR="00C70DFD" w:rsidRDefault="004C43E4">
      <w:pPr>
        <w:pStyle w:val="BodyText"/>
      </w:pPr>
      <w:r w:rsidRPr="006D1DA2">
        <w:rPr>
          <w:highlight w:val="yellow"/>
        </w:rPr>
        <w:t>The majority of negative growth trends observed here (Fig. 6) are probably attributable to successional stand dynamics as cohorts and stands age.</w:t>
      </w:r>
      <w:r>
        <w:t xml:space="preserv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w:t>
      </w:r>
      <w:r w:rsidRPr="006D1DA2">
        <w:rPr>
          <w:highlight w:val="yellow"/>
        </w:rPr>
        <w:t>Such a trend is not indicative of a directional response to changing environmental conditions that would be generalizable across stands</w:t>
      </w:r>
      <w:r>
        <w:t xml:space="preserve">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42E80E7" w14:textId="77777777" w:rsidR="00C70DFD" w:rsidRDefault="004C43E4">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7713DF1A" w14:textId="77777777" w:rsidR="00C70DFD" w:rsidRDefault="004C43E4">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w:t>
      </w:r>
      <w:r w:rsidRPr="006D1DA2">
        <w:rPr>
          <w:highlight w:val="yellow"/>
        </w:rPr>
        <w:t>from elevated CO</w:t>
      </w:r>
      <w:r w:rsidRPr="006D1DA2">
        <w:rPr>
          <w:highlight w:val="yellow"/>
          <w:vertAlign w:val="subscript"/>
        </w:rPr>
        <w:t>2</w:t>
      </w:r>
      <w:r w:rsidRPr="006D1DA2">
        <w:rPr>
          <w:highlight w:val="yellow"/>
        </w:rPr>
        <w:t xml:space="preserve"> was outweighed by some combination of demographic or successional changes and chronic environmental</w:t>
      </w:r>
      <w:r>
        <w:t xml:space="preserve">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062E9B2" w14:textId="77777777" w:rsidR="00C70DFD" w:rsidRDefault="004C43E4">
      <w:pPr>
        <w:pStyle w:val="Heading2"/>
      </w:pPr>
      <w:bookmarkStart w:id="17" w:name="Conclusions"/>
      <w:bookmarkEnd w:id="16"/>
      <w:r>
        <w:lastRenderedPageBreak/>
        <w:t>Conclusions</w:t>
      </w:r>
    </w:p>
    <w:p w14:paraId="7DAC383D" w14:textId="77777777" w:rsidR="00C70DFD" w:rsidRDefault="004C43E4">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52F66F8D" w14:textId="77777777" w:rsidR="00C70DFD" w:rsidRDefault="004C43E4">
      <w:pPr>
        <w:pStyle w:val="Heading1"/>
      </w:pPr>
      <w:bookmarkStart w:id="18" w:name="Acknowledgements"/>
      <w:bookmarkEnd w:id="12"/>
      <w:bookmarkEnd w:id="17"/>
      <w:r>
        <w:t>Acknowledgements</w:t>
      </w:r>
    </w:p>
    <w:p w14:paraId="53224392" w14:textId="77777777" w:rsidR="00C70DFD" w:rsidRDefault="004C43E4">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64871F97" w14:textId="77777777" w:rsidR="00C70DFD" w:rsidRDefault="004C43E4">
      <w:pPr>
        <w:pStyle w:val="Heading1"/>
      </w:pPr>
      <w:bookmarkStart w:id="19" w:name="Authors"/>
      <w:bookmarkEnd w:id="18"/>
      <w:r>
        <w:t>Authors’ contributions</w:t>
      </w:r>
    </w:p>
    <w:p w14:paraId="2ED3BEBF" w14:textId="77777777" w:rsidR="00C70DFD" w:rsidRDefault="004C43E4">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0C496587" w14:textId="77777777" w:rsidR="00C70DFD" w:rsidRDefault="004C43E4">
      <w:pPr>
        <w:pStyle w:val="Heading1"/>
      </w:pPr>
      <w:bookmarkStart w:id="20" w:name="Data"/>
      <w:bookmarkEnd w:id="19"/>
      <w:r>
        <w:t>Data availability</w:t>
      </w:r>
    </w:p>
    <w:p w14:paraId="76C8B219" w14:textId="77777777" w:rsidR="00C70DFD" w:rsidRDefault="004C43E4">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0C6562EB" w14:textId="77777777" w:rsidR="00C70DFD" w:rsidRDefault="004C43E4">
      <w:pPr>
        <w:pStyle w:val="Heading1"/>
      </w:pPr>
      <w:bookmarkStart w:id="21" w:name="Supplementary"/>
      <w:bookmarkEnd w:id="20"/>
      <w:r>
        <w:t>Supplementary files</w:t>
      </w:r>
    </w:p>
    <w:p w14:paraId="28909256" w14:textId="77777777" w:rsidR="00C70DFD" w:rsidRDefault="004C43E4">
      <w:pPr>
        <w:pStyle w:val="FirstParagraph"/>
      </w:pPr>
      <w:r>
        <w:t>Appendix S1. Site Details</w:t>
      </w:r>
    </w:p>
    <w:p w14:paraId="4D4AB33A" w14:textId="77777777" w:rsidR="00C70DFD" w:rsidRDefault="004C43E4">
      <w:pPr>
        <w:pStyle w:val="BodyText"/>
      </w:pPr>
      <w:r>
        <w:lastRenderedPageBreak/>
        <w:t xml:space="preserve">Appendix S2. Methods for reconstruction of </w:t>
      </w:r>
      <m:oMath>
        <m:r>
          <w:rPr>
            <w:rFonts w:ascii="Cambria Math" w:hAnsi="Cambria Math"/>
          </w:rPr>
          <m:t>DBH</m:t>
        </m:r>
      </m:oMath>
    </w:p>
    <w:p w14:paraId="45CA8492" w14:textId="77777777" w:rsidR="00C70DFD" w:rsidRDefault="004C43E4">
      <w:pPr>
        <w:pStyle w:val="BodyText"/>
      </w:pPr>
      <w:r>
        <w:t>Appendix S3. Methods for climate data evaluation and correction</w:t>
      </w:r>
    </w:p>
    <w:p w14:paraId="054CC057" w14:textId="77777777" w:rsidR="00C70DFD" w:rsidRDefault="004C43E4">
      <w:pPr>
        <w:pStyle w:val="BodyText"/>
      </w:pPr>
      <w:r>
        <w:t>Appendix S4. Methods for comparing our approach with traditional methods</w:t>
      </w:r>
    </w:p>
    <w:p w14:paraId="6C7B8146" w14:textId="77777777" w:rsidR="00C70DFD" w:rsidRDefault="004C43E4">
      <w:pPr>
        <w:pStyle w:val="BodyText"/>
      </w:pPr>
      <w:r>
        <w:t>Appendix S5. Dealing with rapidly changing climate and tree growth</w:t>
      </w:r>
    </w:p>
    <w:p w14:paraId="591B590F" w14:textId="77777777" w:rsidR="00C70DFD" w:rsidRDefault="004C43E4">
      <w:pPr>
        <w:pStyle w:val="BodyText"/>
      </w:pPr>
      <w:r>
        <w:t>Table S1. Site Details.</w:t>
      </w:r>
    </w:p>
    <w:p w14:paraId="09346D65" w14:textId="77777777" w:rsidR="00C70DFD" w:rsidRDefault="004C43E4">
      <w:pPr>
        <w:pStyle w:val="BodyText"/>
      </w:pPr>
      <w:r>
        <w:t>Table S2. Species analyzed, their characteristics, and bark allometries applied.</w:t>
      </w:r>
    </w:p>
    <w:p w14:paraId="3B55601B" w14:textId="77777777" w:rsidR="00C70DFD" w:rsidRDefault="004C43E4">
      <w:pPr>
        <w:pStyle w:val="BodyText"/>
      </w:pPr>
      <w:r>
        <w:t>Table S3. Sampling details for species by site.</w:t>
      </w:r>
    </w:p>
    <w:p w14:paraId="5554D049" w14:textId="77777777" w:rsidR="00C70DFD" w:rsidRDefault="004C43E4">
      <w:pPr>
        <w:pStyle w:val="BodyText"/>
      </w:pPr>
      <w:r>
        <w:t>Table S4. Allometric equations for bark thickness.</w:t>
      </w:r>
    </w:p>
    <w:p w14:paraId="31C7709D" w14:textId="77777777" w:rsidR="00C70DFD" w:rsidRDefault="004C43E4">
      <w:pPr>
        <w:pStyle w:val="BodyText"/>
      </w:pPr>
      <w:r>
        <w:t>Table S5. Qualtiative comparison of results from this study with previous studies employing conventional methods.</w:t>
      </w:r>
    </w:p>
    <w:p w14:paraId="4B3806AF" w14:textId="77777777" w:rsidR="00C70DFD" w:rsidRDefault="004C43E4">
      <w:pPr>
        <w:pStyle w:val="BodyText"/>
      </w:pPr>
      <w:r>
        <w:t>Figures S1-S10. Density plots of core record start years by species for all sites.</w:t>
      </w:r>
    </w:p>
    <w:p w14:paraId="3F6544A3" w14:textId="77777777" w:rsidR="00C70DFD" w:rsidRDefault="004C43E4">
      <w:pPr>
        <w:pStyle w:val="BodyText"/>
      </w:pPr>
      <w:r>
        <w:t>Figures S11-S14. Comparison of our approach with traditional methods of identifying climate signals for four species.</w:t>
      </w:r>
    </w:p>
    <w:p w14:paraId="2B06EB9F" w14:textId="77777777" w:rsidR="00C70DFD" w:rsidRDefault="004C43E4">
      <w:pPr>
        <w:pStyle w:val="BodyText"/>
      </w:pPr>
      <w:r>
        <w:t>Figures S15-S34. Climwin output for water and temperature variable groups at all sites.</w:t>
      </w:r>
    </w:p>
    <w:p w14:paraId="4389F466" w14:textId="77777777" w:rsidR="00C70DFD" w:rsidRDefault="004C43E4">
      <w:pPr>
        <w:pStyle w:val="BodyText"/>
      </w:pPr>
      <w:r>
        <w:t>Figures S35-S54. Best GLS models models excluding and including year for all sites.</w:t>
      </w:r>
    </w:p>
    <w:p w14:paraId="1E71CB64" w14:textId="77777777" w:rsidR="00C70DFD" w:rsidRDefault="004C43E4">
      <w:pPr>
        <w:pStyle w:val="BodyText"/>
      </w:pPr>
      <w:r>
        <w:t>Figure S55. Climate responses at SC before and after 1970.</w:t>
      </w:r>
    </w:p>
    <w:p w14:paraId="0E94891B" w14:textId="77777777" w:rsidR="00C70DFD" w:rsidRDefault="004C43E4">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35C991D" w14:textId="77777777" w:rsidR="00C70DFD" w:rsidRDefault="004C43E4">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26AD23D" w14:textId="77777777" w:rsidR="00C70DFD" w:rsidRDefault="004C43E4">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7104CCC" w14:textId="77777777" w:rsidR="00C70DFD" w:rsidRDefault="004C43E4">
      <w:pPr>
        <w:pStyle w:val="Heading1"/>
      </w:pPr>
      <w:bookmarkStart w:id="22" w:name="References"/>
      <w:bookmarkEnd w:id="21"/>
      <w:r>
        <w:t>References</w:t>
      </w:r>
    </w:p>
    <w:p w14:paraId="675EF165" w14:textId="77777777" w:rsidR="00C70DFD" w:rsidRDefault="004C43E4">
      <w:pPr>
        <w:pStyle w:val="Bibliography"/>
      </w:pPr>
      <w:bookmarkStart w:id="23" w:name="ref-alexander_potential_2019"/>
      <w:bookmarkStart w:id="24"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405F8DE0" w14:textId="77777777" w:rsidR="00C70DFD" w:rsidRDefault="004C43E4">
      <w:pPr>
        <w:pStyle w:val="Bibliography"/>
      </w:pPr>
      <w:bookmarkStart w:id="25" w:name="ref-alexander_relative_2018"/>
      <w:bookmarkEnd w:id="23"/>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2CD2B094" w14:textId="77777777" w:rsidR="00C70DFD" w:rsidRDefault="004C43E4">
      <w:pPr>
        <w:pStyle w:val="Bibliography"/>
      </w:pPr>
      <w:bookmarkStart w:id="26" w:name="ref-alfaro-sanchez_growth_2017"/>
      <w:bookmarkEnd w:id="25"/>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29CCEE51" w14:textId="77777777" w:rsidR="00C70DFD" w:rsidRDefault="004C43E4">
      <w:pPr>
        <w:pStyle w:val="Bibliography"/>
      </w:pPr>
      <w:bookmarkStart w:id="27" w:name="ref-amoroso_dendroecology_2017"/>
      <w:bookmarkEnd w:id="26"/>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35DF5705" w14:textId="77777777" w:rsidR="00C70DFD" w:rsidRDefault="004C43E4">
      <w:pPr>
        <w:pStyle w:val="Bibliography"/>
      </w:pPr>
      <w:bookmarkStart w:id="28" w:name="X7472afe191c4e6f910d2bf0bfbf82e114a2f267"/>
      <w:bookmarkEnd w:id="27"/>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541A1A21" w14:textId="77777777" w:rsidR="00C70DFD" w:rsidRDefault="004C43E4">
      <w:pPr>
        <w:pStyle w:val="Bibliography"/>
      </w:pPr>
      <w:bookmarkStart w:id="29" w:name="X004b0b0adcb3b0fd197baeba21c22fc647d3498"/>
      <w:bookmarkEnd w:id="28"/>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0869507D" w14:textId="77777777" w:rsidR="00C70DFD" w:rsidRDefault="004C43E4">
      <w:pPr>
        <w:pStyle w:val="Bibliography"/>
      </w:pPr>
      <w:bookmarkStart w:id="30" w:name="ref-anderson-teixeira_size-related_2015"/>
      <w:bookmarkEnd w:id="29"/>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B417F7C" w14:textId="77777777" w:rsidR="00C70DFD" w:rsidRDefault="004C43E4">
      <w:pPr>
        <w:pStyle w:val="Bibliography"/>
      </w:pPr>
      <w:bookmarkStart w:id="31" w:name="ref-babst_when_2018"/>
      <w:bookmarkEnd w:id="30"/>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2AC49B1B" w14:textId="77777777" w:rsidR="00C70DFD" w:rsidRDefault="004C43E4">
      <w:pPr>
        <w:pStyle w:val="Bibliography"/>
      </w:pPr>
      <w:bookmarkStart w:id="32" w:name="ref-babst_twentieth_2019"/>
      <w:bookmarkEnd w:id="31"/>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537F133B" w14:textId="77777777" w:rsidR="00C70DFD" w:rsidRDefault="004C43E4">
      <w:pPr>
        <w:pStyle w:val="Bibliography"/>
      </w:pPr>
      <w:bookmarkStart w:id="33" w:name="ref-banbury_morgan_global_nodate"/>
      <w:bookmarkEnd w:id="32"/>
      <w:r>
        <w:t xml:space="preserve">Banbury Morgan, B., Herrmann, V., Kunert, N., Bond-Lamberty, B., Muller-Landau, H. C., &amp; Anderson-Teixeira, K. J. (in press). Global patterns of forest autotrophic carbon fluxes. </w:t>
      </w:r>
      <w:r>
        <w:rPr>
          <w:i/>
        </w:rPr>
        <w:t>Global Change Biology</w:t>
      </w:r>
      <w:r>
        <w:t>.</w:t>
      </w:r>
    </w:p>
    <w:p w14:paraId="4D118FA8" w14:textId="77777777" w:rsidR="00C70DFD" w:rsidRDefault="004C43E4">
      <w:pPr>
        <w:pStyle w:val="Bibliography"/>
      </w:pPr>
      <w:bookmarkStart w:id="34" w:name="ref-beedlow_importance_2013"/>
      <w:bookmarkEnd w:id="33"/>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35C0F5FA" w14:textId="77777777" w:rsidR="00C70DFD" w:rsidRDefault="004C43E4">
      <w:pPr>
        <w:pStyle w:val="Bibliography"/>
      </w:pPr>
      <w:bookmarkStart w:id="35" w:name="ref-bennett_larger_2015"/>
      <w:bookmarkEnd w:id="34"/>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46A93869" w14:textId="77777777" w:rsidR="00C70DFD" w:rsidRDefault="004C43E4">
      <w:pPr>
        <w:pStyle w:val="Bibliography"/>
      </w:pPr>
      <w:bookmarkStart w:id="36" w:name="ref-biondi_theory-driven_2008"/>
      <w:bookmarkEnd w:id="35"/>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4E5DDA6" w14:textId="77777777" w:rsidR="00C70DFD" w:rsidRDefault="004C43E4">
      <w:pPr>
        <w:pStyle w:val="Bibliography"/>
      </w:pPr>
      <w:bookmarkStart w:id="37" w:name="ref-birch_birch_2020"/>
      <w:bookmarkEnd w:id="36"/>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61750A69" w14:textId="77777777" w:rsidR="00C70DFD" w:rsidRDefault="004C43E4">
      <w:pPr>
        <w:pStyle w:val="Bibliography"/>
      </w:pPr>
      <w:bookmarkStart w:id="38" w:name="ref-birch_birch_2020-2"/>
      <w:bookmarkEnd w:id="37"/>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621D4791" w14:textId="77777777" w:rsidR="00C70DFD" w:rsidRDefault="004C43E4">
      <w:pPr>
        <w:pStyle w:val="Bibliography"/>
      </w:pPr>
      <w:bookmarkStart w:id="39" w:name="ref-birch_birch_2020-3"/>
      <w:bookmarkEnd w:id="38"/>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184F7552" w14:textId="77777777" w:rsidR="00C70DFD" w:rsidRDefault="004C43E4">
      <w:pPr>
        <w:pStyle w:val="Bibliography"/>
      </w:pPr>
      <w:bookmarkStart w:id="40" w:name="ref-birch_birch_2020-4"/>
      <w:bookmarkEnd w:id="39"/>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3B5496FE" w14:textId="77777777" w:rsidR="00C70DFD" w:rsidRDefault="004C43E4">
      <w:pPr>
        <w:pStyle w:val="Bibliography"/>
      </w:pPr>
      <w:bookmarkStart w:id="41" w:name="ref-bowman_detecting_2013"/>
      <w:bookmarkEnd w:id="40"/>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37315DB3" w14:textId="77777777" w:rsidR="00C70DFD" w:rsidRDefault="004C43E4">
      <w:pPr>
        <w:pStyle w:val="Bibliography"/>
      </w:pPr>
      <w:bookmarkStart w:id="42" w:name="ref-braker_measuring_2002"/>
      <w:bookmarkEnd w:id="41"/>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7BE4642E" w14:textId="77777777" w:rsidR="00C70DFD" w:rsidRDefault="004C43E4">
      <w:pPr>
        <w:pStyle w:val="Bibliography"/>
      </w:pPr>
      <w:bookmarkStart w:id="43" w:name="ref-brienen_detecting_2012"/>
      <w:bookmarkEnd w:id="42"/>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03E435D8" w14:textId="77777777" w:rsidR="00C70DFD" w:rsidRDefault="004C43E4">
      <w:pPr>
        <w:pStyle w:val="Bibliography"/>
      </w:pPr>
      <w:bookmarkStart w:id="44" w:name="ref-brienen_tree_2017"/>
      <w:bookmarkEnd w:id="43"/>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4F26021" w14:textId="77777777" w:rsidR="00C70DFD" w:rsidRDefault="004C43E4">
      <w:pPr>
        <w:pStyle w:val="Bibliography"/>
      </w:pPr>
      <w:bookmarkStart w:id="45" w:name="ref-bumann_assessing_2019"/>
      <w:bookmarkEnd w:id="44"/>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415EC8D3" w14:textId="77777777" w:rsidR="00C70DFD" w:rsidRDefault="004C43E4">
      <w:pPr>
        <w:pStyle w:val="Bibliography"/>
      </w:pPr>
      <w:bookmarkStart w:id="46" w:name="ref-buntgen_2500_2011"/>
      <w:bookmarkEnd w:id="45"/>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6C4B23A3" w14:textId="77777777" w:rsidR="00C70DFD" w:rsidRDefault="004C43E4">
      <w:pPr>
        <w:pStyle w:val="Bibliography"/>
      </w:pPr>
      <w:bookmarkStart w:id="47" w:name="ref-cailleret_synthesis_2017"/>
      <w:bookmarkEnd w:id="46"/>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9A30E04" w14:textId="77777777" w:rsidR="00C70DFD" w:rsidRDefault="004C43E4">
      <w:pPr>
        <w:pStyle w:val="Bibliography"/>
      </w:pPr>
      <w:bookmarkStart w:id="48" w:name="ref-cavin_highest_2017"/>
      <w:bookmarkEnd w:id="47"/>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1F5D7537" w14:textId="77777777" w:rsidR="00C70DFD" w:rsidRDefault="004C43E4">
      <w:pPr>
        <w:pStyle w:val="Bibliography"/>
      </w:pPr>
      <w:bookmarkStart w:id="49" w:name="ref-charney_observed_2016"/>
      <w:bookmarkEnd w:id="48"/>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5F667693" w14:textId="77777777" w:rsidR="00C70DFD" w:rsidRDefault="004C43E4">
      <w:pPr>
        <w:pStyle w:val="Bibliography"/>
      </w:pPr>
      <w:bookmarkStart w:id="50" w:name="ref-cherubini_potential_1998"/>
      <w:bookmarkEnd w:id="49"/>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78DFDD0F" w14:textId="77777777" w:rsidR="00C70DFD" w:rsidRDefault="004C43E4">
      <w:pPr>
        <w:pStyle w:val="Bibliography"/>
      </w:pPr>
      <w:bookmarkStart w:id="51" w:name="ref-cook_climate_1989"/>
      <w:bookmarkEnd w:id="50"/>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3F308BB9" w14:textId="77777777" w:rsidR="00C70DFD" w:rsidRDefault="004C43E4">
      <w:pPr>
        <w:pStyle w:val="Bibliography"/>
      </w:pPr>
      <w:bookmarkStart w:id="52" w:name="ref-cook_calculating_1997"/>
      <w:bookmarkEnd w:id="51"/>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446D1B0A" w14:textId="77777777" w:rsidR="00C70DFD" w:rsidRDefault="004C43E4">
      <w:pPr>
        <w:pStyle w:val="Bibliography"/>
      </w:pPr>
      <w:bookmarkStart w:id="53" w:name="ref-davies_forestgeo_2021"/>
      <w:bookmarkEnd w:id="52"/>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28B31884" w14:textId="77777777" w:rsidR="00C70DFD" w:rsidRDefault="004C43E4">
      <w:pPr>
        <w:pStyle w:val="Bibliography"/>
      </w:pPr>
      <w:bookmarkStart w:id="54" w:name="ref-davis_forest_2009"/>
      <w:bookmarkEnd w:id="53"/>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79C0372C" w14:textId="77777777" w:rsidR="00C70DFD" w:rsidRDefault="004C43E4">
      <w:pPr>
        <w:pStyle w:val="Bibliography"/>
      </w:pPr>
      <w:bookmarkStart w:id="55" w:name="ref-dearborn_permafrost_2020"/>
      <w:bookmarkEnd w:id="54"/>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5E118E2A" w14:textId="77777777" w:rsidR="00C70DFD" w:rsidRDefault="004C43E4">
      <w:pPr>
        <w:pStyle w:val="Bibliography"/>
      </w:pPr>
      <w:bookmarkStart w:id="56" w:name="ref-desoto_low_2020"/>
      <w:bookmarkEnd w:id="55"/>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6287D2C6" w14:textId="77777777" w:rsidR="00C70DFD" w:rsidRDefault="004C43E4">
      <w:pPr>
        <w:pStyle w:val="Bibliography"/>
      </w:pPr>
      <w:bookmarkStart w:id="57" w:name="ref-dye_comparing_2016"/>
      <w:bookmarkEnd w:id="56"/>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0FADD6E4" w14:textId="77777777" w:rsidR="00C70DFD" w:rsidRDefault="004C43E4">
      <w:pPr>
        <w:pStyle w:val="Bibliography"/>
      </w:pPr>
      <w:bookmarkStart w:id="58" w:name="ref-elling_dendroecological_2009"/>
      <w:bookmarkEnd w:id="57"/>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B199DF4" w14:textId="77777777" w:rsidR="00C70DFD" w:rsidRDefault="004C43E4">
      <w:pPr>
        <w:pStyle w:val="Bibliography"/>
      </w:pPr>
      <w:bookmarkStart w:id="59" w:name="ref-enquist_global_2002"/>
      <w:bookmarkEnd w:id="58"/>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40CD6B2A" w14:textId="77777777" w:rsidR="00C70DFD" w:rsidRDefault="004C43E4">
      <w:pPr>
        <w:pStyle w:val="Bibliography"/>
      </w:pPr>
      <w:bookmarkStart w:id="60" w:name="ref-esper_divergence_2009"/>
      <w:bookmarkEnd w:id="59"/>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2394F5B6" w14:textId="77777777" w:rsidR="00C70DFD" w:rsidRDefault="004C43E4">
      <w:pPr>
        <w:pStyle w:val="Bibliography"/>
      </w:pPr>
      <w:bookmarkStart w:id="61" w:name="ref-evans_fusing_2017"/>
      <w:bookmarkEnd w:id="60"/>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24A31D96" w14:textId="77777777" w:rsidR="00C70DFD" w:rsidRDefault="004C43E4">
      <w:pPr>
        <w:pStyle w:val="Bibliography"/>
      </w:pPr>
      <w:bookmarkStart w:id="62" w:name="ref-finzi_carbon_2020"/>
      <w:bookmarkEnd w:id="61"/>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0B2CE7F" w14:textId="77777777" w:rsidR="00C70DFD" w:rsidRDefault="004C43E4">
      <w:pPr>
        <w:pStyle w:val="Bibliography"/>
      </w:pPr>
      <w:bookmarkStart w:id="63" w:name="ref-forrester_does_2021"/>
      <w:bookmarkEnd w:id="62"/>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06A8B129" w14:textId="77777777" w:rsidR="00C70DFD" w:rsidRDefault="004C43E4">
      <w:pPr>
        <w:pStyle w:val="Bibliography"/>
      </w:pPr>
      <w:bookmarkStart w:id="64" w:name="ref-foster_predicting_2016"/>
      <w:bookmarkEnd w:id="63"/>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10A12F44" w14:textId="77777777" w:rsidR="00C70DFD" w:rsidRDefault="004C43E4">
      <w:pPr>
        <w:pStyle w:val="Bibliography"/>
      </w:pPr>
      <w:bookmarkStart w:id="65" w:name="ref-friedlingstein_climatecarbon_2006"/>
      <w:bookmarkEnd w:id="64"/>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129EEE1E" w14:textId="77777777" w:rsidR="00C70DFD" w:rsidRDefault="004C43E4">
      <w:pPr>
        <w:pStyle w:val="Bibliography"/>
      </w:pPr>
      <w:bookmarkStart w:id="66" w:name="ref-fritts_tree_1976"/>
      <w:bookmarkEnd w:id="65"/>
      <w:r>
        <w:t xml:space="preserve">Fritts, H. C. (1976). </w:t>
      </w:r>
      <w:r>
        <w:rPr>
          <w:i/>
        </w:rPr>
        <w:t>Tree rings and climate</w:t>
      </w:r>
      <w:r>
        <w:t>. Academic Press.</w:t>
      </w:r>
    </w:p>
    <w:p w14:paraId="7621A107" w14:textId="77777777" w:rsidR="00C70DFD" w:rsidRDefault="004C43E4">
      <w:pPr>
        <w:pStyle w:val="Bibliography"/>
      </w:pPr>
      <w:bookmarkStart w:id="67" w:name="ref-fritts_dendroecology_1989"/>
      <w:bookmarkEnd w:id="66"/>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032B893A" w14:textId="77777777" w:rsidR="00C70DFD" w:rsidRDefault="004C43E4">
      <w:pPr>
        <w:pStyle w:val="Bibliography"/>
      </w:pPr>
      <w:bookmarkStart w:id="68" w:name="ref-gillerot_tree_2020"/>
      <w:bookmarkEnd w:id="67"/>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383C16F7" w14:textId="77777777" w:rsidR="00C70DFD" w:rsidRDefault="004C43E4">
      <w:pPr>
        <w:pStyle w:val="Bibliography"/>
      </w:pPr>
      <w:bookmarkStart w:id="69" w:name="ref-girardin_no_2016"/>
      <w:bookmarkEnd w:id="68"/>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449D19A" w14:textId="77777777" w:rsidR="00C70DFD" w:rsidRDefault="004C43E4">
      <w:pPr>
        <w:pStyle w:val="Bibliography"/>
      </w:pPr>
      <w:bookmarkStart w:id="70" w:name="X81070c8dded57796bffe4e046459a048702f082"/>
      <w:bookmarkEnd w:id="69"/>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4EFB09EA" w14:textId="77777777" w:rsidR="00C70DFD" w:rsidRDefault="004C43E4">
      <w:pPr>
        <w:pStyle w:val="Bibliography"/>
      </w:pPr>
      <w:bookmarkStart w:id="71" w:name="ref-goulden_patterns_2011"/>
      <w:bookmarkEnd w:id="70"/>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0FB83159" w14:textId="77777777" w:rsidR="00C70DFD" w:rsidRDefault="004C43E4">
      <w:pPr>
        <w:pStyle w:val="Bibliography"/>
      </w:pPr>
      <w:bookmarkStart w:id="72" w:name="ref-graumlich_long-term_1989"/>
      <w:bookmarkEnd w:id="71"/>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2849E6EB" w14:textId="77777777" w:rsidR="00C70DFD" w:rsidRDefault="004C43E4">
      <w:pPr>
        <w:pStyle w:val="Bibliography"/>
      </w:pPr>
      <w:bookmarkStart w:id="73" w:name="ref-groenendijk_no_2015"/>
      <w:bookmarkEnd w:id="72"/>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362C9911" w14:textId="77777777" w:rsidR="00C70DFD" w:rsidRDefault="004C43E4">
      <w:pPr>
        <w:pStyle w:val="Bibliography"/>
      </w:pPr>
      <w:bookmarkStart w:id="74" w:name="ref-hacket-pain_consistent_2016"/>
      <w:bookmarkEnd w:id="73"/>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67F8F6E4" w14:textId="77777777" w:rsidR="00C70DFD" w:rsidRDefault="004C43E4">
      <w:pPr>
        <w:pStyle w:val="Bibliography"/>
      </w:pPr>
      <w:bookmarkStart w:id="75" w:name="ref-hararuk_tree_2019"/>
      <w:bookmarkEnd w:id="74"/>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5524813D" w14:textId="77777777" w:rsidR="00C70DFD" w:rsidRDefault="004C43E4">
      <w:pPr>
        <w:pStyle w:val="Bibliography"/>
      </w:pPr>
      <w:bookmarkStart w:id="76" w:name="ref-harris_updated_2014"/>
      <w:bookmarkEnd w:id="75"/>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747ED706" w14:textId="77777777" w:rsidR="00C70DFD" w:rsidRDefault="004C43E4">
      <w:pPr>
        <w:pStyle w:val="Bibliography"/>
      </w:pPr>
      <w:bookmarkStart w:id="77" w:name="ref-harris_version_2020"/>
      <w:bookmarkEnd w:id="76"/>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410C0787" w14:textId="77777777" w:rsidR="00C70DFD" w:rsidRDefault="004C43E4">
      <w:pPr>
        <w:pStyle w:val="Bibliography"/>
      </w:pPr>
      <w:bookmarkStart w:id="78" w:name="ref-helcoski_growing_2019"/>
      <w:bookmarkEnd w:id="77"/>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058993BF" w14:textId="77777777" w:rsidR="00C70DFD" w:rsidRDefault="004C43E4">
      <w:pPr>
        <w:pStyle w:val="Bibliography"/>
      </w:pPr>
      <w:bookmarkStart w:id="79" w:name="ref-hember_tree_2019"/>
      <w:bookmarkEnd w:id="78"/>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09F5C7BA" w14:textId="77777777" w:rsidR="00C70DFD" w:rsidRDefault="004C43E4">
      <w:pPr>
        <w:pStyle w:val="Bibliography"/>
      </w:pPr>
      <w:bookmarkStart w:id="80" w:name="ref-kaspar_species-specific_nodate"/>
      <w:bookmarkEnd w:id="79"/>
      <w:r>
        <w:t xml:space="preserve">Kašpar, K., Tumajer, J., Vašíčková, I., &amp; Šamonil, P. (in review). </w:t>
      </w:r>
      <w:r>
        <w:rPr>
          <w:i/>
        </w:rPr>
        <w:t>Species-specific climate-growth interactions determine the future tree species dynamics of the mixed Central European mountain forests</w:t>
      </w:r>
      <w:r>
        <w:t>.</w:t>
      </w:r>
    </w:p>
    <w:p w14:paraId="34FBED08" w14:textId="77777777" w:rsidR="00C70DFD" w:rsidRDefault="004C43E4">
      <w:pPr>
        <w:pStyle w:val="Bibliography"/>
      </w:pPr>
      <w:bookmarkStart w:id="81" w:name="ref-klesse_sampling_2018"/>
      <w:bookmarkEnd w:id="80"/>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FC12A2B" w14:textId="77777777" w:rsidR="00C70DFD" w:rsidRDefault="004C43E4">
      <w:pPr>
        <w:pStyle w:val="Bibliography"/>
      </w:pPr>
      <w:bookmarkStart w:id="82" w:name="ref-klesse_amplifying_2020"/>
      <w:bookmarkEnd w:id="81"/>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707B7A6D" w14:textId="77777777" w:rsidR="00C70DFD" w:rsidRDefault="004C43E4">
      <w:pPr>
        <w:pStyle w:val="Bibliography"/>
      </w:pPr>
      <w:bookmarkStart w:id="83" w:name="ref-kumarathunge_acclimation_2019"/>
      <w:bookmarkEnd w:id="82"/>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4C149A63" w14:textId="77777777" w:rsidR="00C70DFD" w:rsidRDefault="004C43E4">
      <w:pPr>
        <w:pStyle w:val="Bibliography"/>
      </w:pPr>
      <w:bookmarkStart w:id="84" w:name="ref-levesque_water_2017"/>
      <w:bookmarkEnd w:id="83"/>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D73AC4B" w14:textId="77777777" w:rsidR="00C70DFD" w:rsidRDefault="004C43E4">
      <w:pPr>
        <w:pStyle w:val="Bibliography"/>
      </w:pPr>
      <w:bookmarkStart w:id="85" w:name="ref-ljungqvist_assessing_2020"/>
      <w:bookmarkEnd w:id="84"/>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69A59B66" w14:textId="77777777" w:rsidR="00C70DFD" w:rsidRDefault="004C43E4">
      <w:pPr>
        <w:pStyle w:val="Bibliography"/>
      </w:pPr>
      <w:bookmarkStart w:id="86" w:name="ref-mathias_disentangling_2018"/>
      <w:bookmarkEnd w:id="85"/>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11479650" w14:textId="77777777" w:rsidR="00C70DFD" w:rsidRDefault="004C43E4">
      <w:pPr>
        <w:pStyle w:val="Bibliography"/>
      </w:pPr>
      <w:bookmarkStart w:id="87" w:name="ref-maxwell_declining_2016"/>
      <w:bookmarkEnd w:id="86"/>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025E3104" w14:textId="77777777" w:rsidR="00C70DFD" w:rsidRDefault="004C43E4">
      <w:pPr>
        <w:pStyle w:val="Bibliography"/>
      </w:pPr>
      <w:bookmarkStart w:id="88" w:name="ref-mcdowell_pervasive_2020"/>
      <w:bookmarkEnd w:id="87"/>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8B1189" w14:textId="77777777" w:rsidR="00C70DFD" w:rsidRDefault="004C43E4">
      <w:pPr>
        <w:pStyle w:val="Bibliography"/>
      </w:pPr>
      <w:bookmarkStart w:id="89" w:name="ref-mcgregor_tree_2020"/>
      <w:bookmarkEnd w:id="88"/>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5C2C9F9E" w14:textId="77777777" w:rsidR="00C70DFD" w:rsidRDefault="004C43E4">
      <w:pPr>
        <w:pStyle w:val="Bibliography"/>
      </w:pPr>
      <w:bookmarkStart w:id="90" w:name="ref-meakem_role_2018"/>
      <w:bookmarkEnd w:id="89"/>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36F46211" w14:textId="77777777" w:rsidR="00C70DFD" w:rsidRDefault="004C43E4">
      <w:pPr>
        <w:pStyle w:val="Bibliography"/>
      </w:pPr>
      <w:bookmarkStart w:id="91" w:name="ref-meko_seascorr_2011"/>
      <w:bookmarkEnd w:id="90"/>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5862EEB5" w14:textId="77777777" w:rsidR="00C70DFD" w:rsidRDefault="004C43E4">
      <w:pPr>
        <w:pStyle w:val="Bibliography"/>
      </w:pPr>
      <w:bookmarkStart w:id="92" w:name="ref-muller-landau_testing_2006"/>
      <w:bookmarkEnd w:id="91"/>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66C68FF" w14:textId="77777777" w:rsidR="00C70DFD" w:rsidRDefault="004C43E4">
      <w:pPr>
        <w:pStyle w:val="Bibliography"/>
      </w:pPr>
      <w:bookmarkStart w:id="93" w:name="ref-naimi_where_2014"/>
      <w:bookmarkEnd w:id="92"/>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6804F745" w14:textId="77777777" w:rsidR="00C70DFD" w:rsidRDefault="004C43E4">
      <w:pPr>
        <w:pStyle w:val="Bibliography"/>
      </w:pPr>
      <w:bookmarkStart w:id="94" w:name="ref-nehrbassahles_influence_2014"/>
      <w:bookmarkEnd w:id="93"/>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18EFCD7" w14:textId="77777777" w:rsidR="00C70DFD" w:rsidRDefault="004C43E4">
      <w:pPr>
        <w:pStyle w:val="Bibliography"/>
      </w:pPr>
      <w:bookmarkStart w:id="95" w:name="ref-nock_longterm_2011"/>
      <w:bookmarkEnd w:id="94"/>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058697BB" w14:textId="77777777" w:rsidR="00C70DFD" w:rsidRDefault="004C43E4">
      <w:pPr>
        <w:pStyle w:val="Bibliography"/>
      </w:pPr>
      <w:bookmarkStart w:id="96" w:name="ref-pederson_framework_2020"/>
      <w:bookmarkEnd w:id="95"/>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7778953" w14:textId="77777777" w:rsidR="00C70DFD" w:rsidRDefault="004C43E4">
      <w:pPr>
        <w:pStyle w:val="Bibliography"/>
      </w:pPr>
      <w:bookmarkStart w:id="97" w:name="ref-peltier_tree_2020"/>
      <w:bookmarkEnd w:id="96"/>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5FDBE4F4" w14:textId="77777777" w:rsidR="00C70DFD" w:rsidRDefault="004C43E4">
      <w:pPr>
        <w:pStyle w:val="Bibliography"/>
      </w:pPr>
      <w:bookmarkStart w:id="98" w:name="ref-peters_detecting_2015"/>
      <w:bookmarkEnd w:id="97"/>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11EB6080" w14:textId="77777777" w:rsidR="00C70DFD" w:rsidRDefault="004C43E4">
      <w:pPr>
        <w:pStyle w:val="Bibliography"/>
      </w:pPr>
      <w:bookmarkStart w:id="99" w:name="ref-pregitzer_carbon_2004"/>
      <w:bookmarkEnd w:id="98"/>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0DE1CBA5" w14:textId="77777777" w:rsidR="00C70DFD" w:rsidRDefault="004C43E4">
      <w:pPr>
        <w:pStyle w:val="Bibliography"/>
      </w:pPr>
      <w:bookmarkStart w:id="100" w:name="ref-pretzsch_drought_2018"/>
      <w:bookmarkEnd w:id="99"/>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A4E34D0" w14:textId="77777777" w:rsidR="00C70DFD" w:rsidRDefault="004C43E4">
      <w:pPr>
        <w:pStyle w:val="Bibliography"/>
      </w:pPr>
      <w:bookmarkStart w:id="101" w:name="ref-rayback_dendroecological_2020"/>
      <w:bookmarkEnd w:id="100"/>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154CC810" w14:textId="77777777" w:rsidR="00C70DFD" w:rsidRDefault="004C43E4">
      <w:pPr>
        <w:pStyle w:val="Bibliography"/>
      </w:pPr>
      <w:bookmarkStart w:id="102" w:name="ref-rejoumechain_biomass_2017"/>
      <w:bookmarkEnd w:id="101"/>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3DA3BFA4" w14:textId="77777777" w:rsidR="00C70DFD" w:rsidRDefault="004C43E4">
      <w:pPr>
        <w:pStyle w:val="Bibliography"/>
      </w:pPr>
      <w:bookmarkStart w:id="103" w:name="ref-rollinson_climate_2021"/>
      <w:bookmarkEnd w:id="102"/>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4DFBC866" w14:textId="77777777" w:rsidR="00C70DFD" w:rsidRDefault="004C43E4">
      <w:pPr>
        <w:pStyle w:val="Bibliography"/>
      </w:pPr>
      <w:bookmarkStart w:id="104" w:name="ref-rossi_age-dependent_2007"/>
      <w:bookmarkEnd w:id="103"/>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4F43D861" w14:textId="77777777" w:rsidR="00C70DFD" w:rsidRDefault="004C43E4">
      <w:pPr>
        <w:pStyle w:val="Bibliography"/>
      </w:pPr>
      <w:bookmarkStart w:id="105" w:name="ref-sanchez-salguero_disentangling_2015"/>
      <w:bookmarkEnd w:id="104"/>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78D0ED95" w14:textId="77777777" w:rsidR="00C70DFD" w:rsidRDefault="004C43E4">
      <w:pPr>
        <w:pStyle w:val="Bibliography"/>
      </w:pPr>
      <w:bookmarkStart w:id="106" w:name="ref-schelhaas_species-specific_2018"/>
      <w:bookmarkEnd w:id="105"/>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2376000" w14:textId="77777777" w:rsidR="00C70DFD" w:rsidRDefault="004C43E4">
      <w:pPr>
        <w:pStyle w:val="Bibliography"/>
      </w:pPr>
      <w:bookmarkStart w:id="107" w:name="ref-sheil_does_2017"/>
      <w:bookmarkEnd w:id="106"/>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216A7EA6" w14:textId="77777777" w:rsidR="00C70DFD" w:rsidRDefault="004C43E4">
      <w:pPr>
        <w:pStyle w:val="Bibliography"/>
      </w:pPr>
      <w:bookmarkStart w:id="108" w:name="ref-sniderhan_growth_2016"/>
      <w:bookmarkEnd w:id="107"/>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0D8964F3" w14:textId="77777777" w:rsidR="00C70DFD" w:rsidRDefault="004C43E4">
      <w:pPr>
        <w:pStyle w:val="Bibliography"/>
      </w:pPr>
      <w:bookmarkStart w:id="109" w:name="ref-speer_fundamentals_2010"/>
      <w:bookmarkEnd w:id="108"/>
      <w:r>
        <w:t xml:space="preserve">Speer, J. H. (2010). </w:t>
      </w:r>
      <w:r>
        <w:rPr>
          <w:i/>
        </w:rPr>
        <w:t>Fundamentals of tree-ring research</w:t>
      </w:r>
      <w:r>
        <w:t>. Univ. of Arizona Press.</w:t>
      </w:r>
    </w:p>
    <w:p w14:paraId="6AF2830F" w14:textId="77777777" w:rsidR="00C70DFD" w:rsidRDefault="004C43E4">
      <w:pPr>
        <w:pStyle w:val="Bibliography"/>
      </w:pPr>
      <w:bookmarkStart w:id="110" w:name="ref-stephenson_rate_2014"/>
      <w:bookmarkEnd w:id="109"/>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749ACCE8" w14:textId="77777777" w:rsidR="00C70DFD" w:rsidRDefault="004C43E4">
      <w:pPr>
        <w:pStyle w:val="Bibliography"/>
      </w:pPr>
      <w:bookmarkStart w:id="111" w:name="ref-stokes_introduction_1968"/>
      <w:bookmarkEnd w:id="110"/>
      <w:r>
        <w:t xml:space="preserve">Stokes, M. A. (1968). </w:t>
      </w:r>
      <w:r>
        <w:rPr>
          <w:i/>
        </w:rPr>
        <w:t>An Introduction to Tree-ring Dating</w:t>
      </w:r>
      <w:r>
        <w:t>. University of Arizona Press.</w:t>
      </w:r>
    </w:p>
    <w:p w14:paraId="71B3E739" w14:textId="77777777" w:rsidR="00C70DFD" w:rsidRDefault="004C43E4">
      <w:pPr>
        <w:pStyle w:val="Bibliography"/>
      </w:pPr>
      <w:bookmarkStart w:id="112" w:name="ref-sullivan_long-term_2020"/>
      <w:bookmarkEnd w:id="111"/>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1DBA7B28" w14:textId="77777777" w:rsidR="00C70DFD" w:rsidRDefault="004C43E4">
      <w:pPr>
        <w:pStyle w:val="Bibliography"/>
      </w:pPr>
      <w:bookmarkStart w:id="113" w:name="ref-sullivan_effect_2016"/>
      <w:bookmarkEnd w:id="112"/>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16137457" w14:textId="77777777" w:rsidR="00C70DFD" w:rsidRDefault="004C43E4">
      <w:pPr>
        <w:pStyle w:val="Bibliography"/>
      </w:pPr>
      <w:bookmarkStart w:id="114" w:name="ref-samonil_individual-based_2013"/>
      <w:bookmarkEnd w:id="113"/>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362FA09" w14:textId="77777777" w:rsidR="00C70DFD" w:rsidRDefault="004C43E4">
      <w:pPr>
        <w:pStyle w:val="Bibliography"/>
      </w:pPr>
      <w:bookmarkStart w:id="115" w:name="ref-samonil_long-term_2008"/>
      <w:bookmarkEnd w:id="114"/>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071EE93D" w14:textId="77777777" w:rsidR="00C70DFD" w:rsidRDefault="004C43E4">
      <w:pPr>
        <w:pStyle w:val="Bibliography"/>
      </w:pPr>
      <w:bookmarkStart w:id="116" w:name="ref-teets_linking_2018"/>
      <w:bookmarkEnd w:id="115"/>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47E684F4" w14:textId="77777777" w:rsidR="00C70DFD" w:rsidRDefault="004C43E4">
      <w:pPr>
        <w:pStyle w:val="Bibliography"/>
      </w:pPr>
      <w:bookmarkStart w:id="117" w:name="ref-teets_quantifying_2018"/>
      <w:bookmarkEnd w:id="116"/>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71875C87" w14:textId="77777777" w:rsidR="00C70DFD" w:rsidRDefault="004C43E4">
      <w:pPr>
        <w:pStyle w:val="Bibliography"/>
      </w:pPr>
      <w:bookmarkStart w:id="118" w:name="ref-meinzer_age-related_2011"/>
      <w:bookmarkEnd w:id="117"/>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70F5A9B7" w14:textId="77777777" w:rsidR="00C70DFD" w:rsidRDefault="004C43E4">
      <w:pPr>
        <w:pStyle w:val="Bibliography"/>
      </w:pPr>
      <w:bookmarkStart w:id="119" w:name="ref-tolwinski-ward_bayesian_2013"/>
      <w:bookmarkEnd w:id="118"/>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7CC94B" w14:textId="77777777" w:rsidR="00C70DFD" w:rsidRDefault="004C43E4">
      <w:pPr>
        <w:pStyle w:val="Bibliography"/>
      </w:pPr>
      <w:bookmarkStart w:id="120" w:name="ref-touchan_millennial_2011"/>
      <w:bookmarkEnd w:id="119"/>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1D4306CF" w14:textId="77777777" w:rsidR="00C70DFD" w:rsidRDefault="004C43E4">
      <w:pPr>
        <w:pStyle w:val="Bibliography"/>
      </w:pPr>
      <w:bookmarkStart w:id="121" w:name="ref-trouillier_size_2019"/>
      <w:bookmarkEnd w:id="120"/>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2F68EE65" w14:textId="77777777" w:rsidR="00C70DFD" w:rsidRDefault="004C43E4">
      <w:pPr>
        <w:pStyle w:val="Bibliography"/>
      </w:pPr>
      <w:bookmarkStart w:id="122" w:name="ref-tumajer_increasing_2017"/>
      <w:bookmarkEnd w:id="121"/>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678E5F32" w14:textId="77777777" w:rsidR="00C70DFD" w:rsidRDefault="004C43E4">
      <w:pPr>
        <w:pStyle w:val="Bibliography"/>
      </w:pPr>
      <w:bookmarkStart w:id="123" w:name="ref-van_de_pol_identifying_2016"/>
      <w:bookmarkEnd w:id="122"/>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BE6FE71" w14:textId="77777777" w:rsidR="00C70DFD" w:rsidRDefault="004C43E4">
      <w:pPr>
        <w:pStyle w:val="Bibliography"/>
      </w:pPr>
      <w:bookmarkStart w:id="124" w:name="ref-van_der_sleen_no_2015"/>
      <w:bookmarkEnd w:id="123"/>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47BC29DD" w14:textId="77777777" w:rsidR="00C70DFD" w:rsidRDefault="004C43E4">
      <w:pPr>
        <w:pStyle w:val="Bibliography"/>
      </w:pPr>
      <w:bookmarkStart w:id="125" w:name="ref-vlam_temperature_2014"/>
      <w:bookmarkEnd w:id="124"/>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189EE3F2" w14:textId="77777777" w:rsidR="00C70DFD" w:rsidRDefault="004C43E4">
      <w:pPr>
        <w:pStyle w:val="Bibliography"/>
      </w:pPr>
      <w:bookmarkStart w:id="126" w:name="ref-voelker_historical_2006"/>
      <w:bookmarkEnd w:id="125"/>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229B7A88" w14:textId="77777777" w:rsidR="00C70DFD" w:rsidRDefault="004C43E4">
      <w:pPr>
        <w:pStyle w:val="Bibliography"/>
      </w:pPr>
      <w:bookmarkStart w:id="127" w:name="ref-vrska_european_2009"/>
      <w:bookmarkEnd w:id="126"/>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41B86F0D" w14:textId="77777777" w:rsidR="00C70DFD" w:rsidRDefault="004C43E4">
      <w:pPr>
        <w:pStyle w:val="Bibliography"/>
      </w:pPr>
      <w:bookmarkStart w:id="128" w:name="ref-walker_integrating_2020"/>
      <w:bookmarkEnd w:id="127"/>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B890FAD" w14:textId="77777777" w:rsidR="00C70DFD" w:rsidRDefault="004C43E4">
      <w:pPr>
        <w:pStyle w:val="Bibliography"/>
      </w:pPr>
      <w:bookmarkStart w:id="129" w:name="ref-williams_temperature_2013"/>
      <w:bookmarkEnd w:id="128"/>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342B4467" w14:textId="77777777" w:rsidR="00C70DFD" w:rsidRDefault="004C43E4">
      <w:pPr>
        <w:pStyle w:val="Bibliography"/>
      </w:pPr>
      <w:bookmarkStart w:id="130" w:name="ref-wilmking_global_2020"/>
      <w:bookmarkEnd w:id="129"/>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AEBF41D" w14:textId="77777777" w:rsidR="00C70DFD" w:rsidRDefault="004C43E4">
      <w:pPr>
        <w:pStyle w:val="Bibliography"/>
      </w:pPr>
      <w:bookmarkStart w:id="131" w:name="ref-wood_fast_2011"/>
      <w:bookmarkEnd w:id="130"/>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4900EE6D" w14:textId="77777777" w:rsidR="00C70DFD" w:rsidRDefault="004C43E4">
      <w:pPr>
        <w:pStyle w:val="Bibliography"/>
      </w:pPr>
      <w:bookmarkStart w:id="132" w:name="ref-woodhouse_artificial_1999"/>
      <w:bookmarkEnd w:id="131"/>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43C7A909" w14:textId="77777777" w:rsidR="00C70DFD" w:rsidRDefault="004C43E4">
      <w:pPr>
        <w:pStyle w:val="Bibliography"/>
      </w:pPr>
      <w:bookmarkStart w:id="133" w:name="ref-zang_dendroclimatic_2013"/>
      <w:bookmarkEnd w:id="132"/>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5DAC8526" w14:textId="77777777" w:rsidR="00C70DFD" w:rsidRDefault="004C43E4">
      <w:pPr>
        <w:pStyle w:val="Bibliography"/>
      </w:pPr>
      <w:bookmarkStart w:id="134" w:name="ref-zang_treeclim_2015"/>
      <w:bookmarkEnd w:id="133"/>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3E7CFC90" w14:textId="77777777" w:rsidR="00C70DFD" w:rsidRDefault="004C43E4">
      <w:pPr>
        <w:pStyle w:val="Bibliography"/>
      </w:pPr>
      <w:bookmarkStart w:id="135" w:name="ref-zuidema_recent_2020"/>
      <w:bookmarkEnd w:id="134"/>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22"/>
      <w:bookmarkEnd w:id="24"/>
      <w:bookmarkEnd w:id="135"/>
    </w:p>
    <w:sectPr w:rsidR="00C70DF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Gonzalez, Bianca" w:date="2021-03-05T08:30:00Z" w:initials="GB">
    <w:p w14:paraId="019155FF" w14:textId="77777777" w:rsidR="004C43E4" w:rsidRDefault="004C43E4">
      <w:pPr>
        <w:pStyle w:val="CommentText"/>
      </w:pPr>
      <w:r>
        <w:rPr>
          <w:rStyle w:val="CommentReference"/>
        </w:rPr>
        <w:annotationRef/>
      </w:r>
      <w:r>
        <w:t>So testing for two 1. Pollution influence 2. Interstand dynamics</w:t>
      </w:r>
    </w:p>
  </w:comment>
  <w:comment w:id="5" w:author="Gonzalez, Bianca" w:date="2021-03-05T08:43:00Z" w:initials="GB">
    <w:p w14:paraId="3F9CBCE0" w14:textId="77777777" w:rsidR="004C43E4" w:rsidRDefault="004C43E4">
      <w:pPr>
        <w:pStyle w:val="CommentText"/>
      </w:pPr>
      <w:r>
        <w:rPr>
          <w:rStyle w:val="CommentReference"/>
        </w:rPr>
        <w:annotationRef/>
      </w:r>
      <w:r>
        <w:t>Not sure if important but mentioning the type of model used to obtain residuals (even if just a spline) so people can understand the process from start to finish</w:t>
      </w:r>
    </w:p>
    <w:p w14:paraId="7B06C1C7" w14:textId="77777777" w:rsidR="004C43E4" w:rsidRDefault="004C43E4">
      <w:pPr>
        <w:pStyle w:val="CommentText"/>
      </w:pPr>
    </w:p>
    <w:p w14:paraId="4D44E3E2" w14:textId="77777777" w:rsidR="004C43E4" w:rsidRDefault="004C43E4">
      <w:pPr>
        <w:pStyle w:val="CommentText"/>
      </w:pPr>
      <w:r>
        <w:t xml:space="preserve">I could also see it being two papers if we have one with real DBH and reconstructed DBH – I’m sure the methods to reconstruct are robust – but I imagine you may get some pushback here. </w:t>
      </w:r>
    </w:p>
  </w:comment>
  <w:comment w:id="8" w:author="Gonzalez, Bianca" w:date="2021-03-05T08:55:00Z" w:initials="GB">
    <w:p w14:paraId="66E720DA" w14:textId="77777777" w:rsidR="00BD70E4" w:rsidRDefault="00BD70E4">
      <w:pPr>
        <w:pStyle w:val="CommentText"/>
      </w:pPr>
      <w:r>
        <w:rPr>
          <w:rStyle w:val="CommentReference"/>
        </w:rPr>
        <w:annotationRef/>
      </w:r>
      <w:r>
        <w:t xml:space="preserve">For LT this brings up clim vars that have the greatest effect, but a follow-up question might be what are the drivers or peak sensitive times that cause the lack of resiliency in trees during these most effected months? </w:t>
      </w:r>
      <w:r>
        <w:br/>
      </w:r>
    </w:p>
    <w:p w14:paraId="4BE43D89" w14:textId="77777777" w:rsidR="00BD70E4" w:rsidRDefault="00BD70E4">
      <w:pPr>
        <w:pStyle w:val="CommentText"/>
      </w:pPr>
    </w:p>
  </w:comment>
  <w:comment w:id="14" w:author="Gonzalez, Bianca" w:date="2021-03-05T09:06:00Z" w:initials="GB">
    <w:p w14:paraId="0E1991A8" w14:textId="77777777" w:rsidR="006D1DA2" w:rsidRPr="006D1DA2" w:rsidRDefault="006D1DA2">
      <w:pPr>
        <w:pStyle w:val="CommentText"/>
        <w:rPr>
          <w:sz w:val="16"/>
          <w:szCs w:val="16"/>
        </w:rPr>
      </w:pPr>
      <w:r>
        <w:rPr>
          <w:rStyle w:val="CommentReference"/>
        </w:rPr>
        <w:annotationRef/>
      </w:r>
      <w:r>
        <w:rPr>
          <w:rStyle w:val="CommentReference"/>
        </w:rPr>
        <w:t xml:space="preserve">I like this paragraph because the more clarity for the reader, the better, this breaks it down in laymans’ terms. </w:t>
      </w:r>
      <w:r>
        <w:rPr>
          <w:rStyle w:val="CommentReference"/>
        </w:rP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9155FF" w15:done="0"/>
  <w15:commentEx w15:paraId="4D44E3E2" w15:done="0"/>
  <w15:commentEx w15:paraId="4BE43D89" w15:done="0"/>
  <w15:commentEx w15:paraId="0E1991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6AC2" w16cex:dateUtc="2021-03-05T15:30:00Z"/>
  <w16cex:commentExtensible w16cex:durableId="23EC6DC0" w16cex:dateUtc="2021-03-05T15:43:00Z"/>
  <w16cex:commentExtensible w16cex:durableId="23EC706C" w16cex:dateUtc="2021-03-05T15:55:00Z"/>
  <w16cex:commentExtensible w16cex:durableId="23EC732D" w16cex:dateUtc="2021-03-05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9155FF" w16cid:durableId="23EC6AC2"/>
  <w16cid:commentId w16cid:paraId="4D44E3E2" w16cid:durableId="23EC6DC0"/>
  <w16cid:commentId w16cid:paraId="4BE43D89" w16cid:durableId="23EC706C"/>
  <w16cid:commentId w16cid:paraId="0E1991A8" w16cid:durableId="23EC73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0870C" w14:textId="77777777" w:rsidR="00B07591" w:rsidRDefault="00B07591">
      <w:pPr>
        <w:spacing w:after="0"/>
      </w:pPr>
      <w:r>
        <w:separator/>
      </w:r>
    </w:p>
  </w:endnote>
  <w:endnote w:type="continuationSeparator" w:id="0">
    <w:p w14:paraId="4B234F36" w14:textId="77777777" w:rsidR="00B07591" w:rsidRDefault="00B075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824B3" w14:textId="77777777" w:rsidR="00B07591" w:rsidRDefault="00B07591">
      <w:r>
        <w:separator/>
      </w:r>
    </w:p>
  </w:footnote>
  <w:footnote w:type="continuationSeparator" w:id="0">
    <w:p w14:paraId="3BFC990E" w14:textId="77777777" w:rsidR="00B07591" w:rsidRDefault="00B07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alez, Bianca">
    <w15:presenceInfo w15:providerId="AD" w15:userId="S::gonzalezb2@si.edu::bad1c9b1-2c71-42bf-97f1-837b92ae5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6159"/>
    <w:rsid w:val="00314D02"/>
    <w:rsid w:val="004C43E4"/>
    <w:rsid w:val="004E29B3"/>
    <w:rsid w:val="00590D07"/>
    <w:rsid w:val="006D1DA2"/>
    <w:rsid w:val="00727306"/>
    <w:rsid w:val="00784D58"/>
    <w:rsid w:val="008D6863"/>
    <w:rsid w:val="00B07591"/>
    <w:rsid w:val="00B86B75"/>
    <w:rsid w:val="00BC48D5"/>
    <w:rsid w:val="00BD70E4"/>
    <w:rsid w:val="00C36279"/>
    <w:rsid w:val="00C70DFD"/>
    <w:rsid w:val="00E315A3"/>
    <w:rsid w:val="00E90AF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917F9E"/>
  <w15:docId w15:val="{3E84105E-CB41-054B-9BD9-38A235BC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727306"/>
    <w:rPr>
      <w:sz w:val="16"/>
      <w:szCs w:val="16"/>
    </w:rPr>
  </w:style>
  <w:style w:type="paragraph" w:styleId="CommentText">
    <w:name w:val="annotation text"/>
    <w:basedOn w:val="Normal"/>
    <w:link w:val="CommentTextChar"/>
    <w:semiHidden/>
    <w:unhideWhenUsed/>
    <w:rsid w:val="00727306"/>
    <w:rPr>
      <w:sz w:val="20"/>
      <w:szCs w:val="20"/>
    </w:rPr>
  </w:style>
  <w:style w:type="character" w:customStyle="1" w:styleId="CommentTextChar">
    <w:name w:val="Comment Text Char"/>
    <w:basedOn w:val="DefaultParagraphFont"/>
    <w:link w:val="CommentText"/>
    <w:semiHidden/>
    <w:rsid w:val="00727306"/>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727306"/>
    <w:rPr>
      <w:b/>
      <w:bCs/>
    </w:rPr>
  </w:style>
  <w:style w:type="character" w:customStyle="1" w:styleId="CommentSubjectChar">
    <w:name w:val="Comment Subject Char"/>
    <w:basedOn w:val="CommentTextChar"/>
    <w:link w:val="CommentSubject"/>
    <w:semiHidden/>
    <w:rsid w:val="00727306"/>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BiancaGonzalez/Downloads/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BiancaGonzalez/Downloads/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BiancaGonzalez/Downloads/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BiancaGonzalez/Downloads/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BiancaGonzalez/Downloads/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14879</Words>
  <Characters>84813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Gonzalez, Bianca</dc:creator>
  <cp:keywords/>
  <cp:lastModifiedBy>Gonzalez, Bianca</cp:lastModifiedBy>
  <cp:revision>2</cp:revision>
  <dcterms:created xsi:type="dcterms:W3CDTF">2021-03-05T16:16:00Z</dcterms:created>
  <dcterms:modified xsi:type="dcterms:W3CDTF">2021-03-05T16:16:00Z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