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 to submit a revised version of our manuscript,</w:t>
      </w:r>
      <w:r>
        <w:t xml:space="preserve"> </w:t>
      </w:r>
      <w:r>
        <w:t xml:space="preserve">“</w:t>
      </w:r>
      <w:r>
        <w:t xml:space="preserve">Joint effects of climate, tree size, and year on annual tree growth derived from tree-ring records of ten globally distributed forests</w:t>
      </w:r>
      <w:r>
        <w:t xml:space="preserve">”</w:t>
      </w:r>
      <w:r>
        <w:t xml:space="preserve"> </w:t>
      </w:r>
      <w:r>
        <w:t xml:space="preserve">(GCB-21-1209, for consideration for publication in</w:t>
      </w:r>
      <w:r>
        <w:t xml:space="preserve"> </w:t>
      </w:r>
      <w:r>
        <w:rPr>
          <w:iCs/>
          <w:i/>
        </w:rPr>
        <w:t xml:space="preserve">Global Change Biology</w:t>
      </w:r>
      <w:r>
        <w:t xml:space="preserve">. We have addressed all points raised by the reviewers, as detailed below. The most significant changes include:</w:t>
      </w:r>
    </w:p>
    <w:p>
      <w:pPr>
        <w:numPr>
          <w:ilvl w:val="0"/>
          <w:numId w:val="1001"/>
        </w:numPr>
      </w:pPr>
      <w:r>
        <w:t xml:space="preserve">At the request of Reviewer 1, we have added a summary figure (new Fig. 3) that we believe provides a very helpful overview. Accompanying this, we have done some modest rearrangement of the text to create a Results sub-section entitled</w:t>
      </w:r>
      <w:r>
        <w:t xml:space="preserve"> </w:t>
      </w:r>
      <w:r>
        <w:t xml:space="preserve">“</w:t>
      </w:r>
      <w:r>
        <w:t xml:space="preserve">Full model results overview.</w:t>
      </w:r>
      <w:r>
        <w:t xml:space="preserve">”</w:t>
      </w:r>
    </w:p>
    <w:p>
      <w:pPr>
        <w:numPr>
          <w:ilvl w:val="0"/>
          <w:numId w:val="1001"/>
        </w:numPr>
      </w:pPr>
      <w:r>
        <w:t xml:space="preserve">At the request of Reviewer 2, we have modified the schematic figure illustrating the method (Fig. 1) to show raw data for one example species.</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Kristina Anderson-Teixeira (on behalf of all coauthors)</w:t>
      </w:r>
    </w:p>
    <w:p>
      <w:r>
        <w:br w:type="page"/>
      </w:r>
    </w:p>
    <w:bookmarkStart w:id="23"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rPr>
          <w:bCs/>
          <w:b/>
        </w:rPr>
        <w:t xml:space="preserve">We have added a summary figure (new Fig. 3) that we believe provides a very helpful overview. (Thanks for the suggestion!) Accompanying this, we have done some modest rearrangement of the text to create a Results sub-section entitled</w:t>
      </w:r>
      <w:r>
        <w:rPr>
          <w:bCs/>
          <w:b/>
        </w:rPr>
        <w:t xml:space="preserve"> </w:t>
      </w:r>
      <w:r>
        <w:rPr>
          <w:bCs/>
          <w:b/>
        </w:rPr>
        <w:t xml:space="preserve">“</w:t>
      </w:r>
      <w:r>
        <w:rPr>
          <w:bCs/>
          <w:b/>
        </w:rPr>
        <w:t xml:space="preserve">Full model results overview.</w:t>
      </w:r>
      <w:r>
        <w:rPr>
          <w:bCs/>
          <w:b/>
        </w:rPr>
        <w:t xml:space="preserve">”</w:t>
      </w:r>
      <w:r>
        <w:rPr>
          <w:bCs/>
          <w:b/>
        </w:rPr>
        <w:t xml:space="preserve"> </w:t>
      </w:r>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t xml:space="preserve">Lines 180-182 please quote at least one supporting reference.</w:t>
      </w:r>
    </w:p>
    <w:p>
      <w:pPr>
        <w:pStyle w:val="BodyText"/>
      </w:pPr>
      <w:r>
        <w:rPr>
          <w:iCs/>
          <w:i/>
        </w:rPr>
        <w:t xml:space="preserve">INSERT REF: Tree growth rates are sensitive to stand dynamics, with competition – the intensity of which tends to increase as forests mature – affecting ecosystem-level patterns of C allocation (</w:t>
      </w:r>
      <w:r>
        <w:rPr>
          <w:bCs/>
          <w:b/>
          <w:iCs/>
          <w:i/>
        </w:rPr>
        <w:t xml:space="preserve">REF</w:t>
      </w:r>
      <w:r>
        <w:rPr>
          <w:iCs/>
          <w:i/>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iCs/>
          <w:i/>
        </w:rPr>
        <w:t xml:space="preserve">Refers to this statement: For instance, older trees, which provide the only records available for the earliest decades, are competitive winners that may have had above-average growth rates</w:t>
      </w:r>
      <w:r>
        <w:rPr>
          <w:iCs/>
          <w:i/>
        </w:rPr>
        <w:t xml:space="preserve"> </w:t>
      </w:r>
      <w:r>
        <w:rPr>
          <w:iCs/>
          <w:i/>
        </w:rPr>
        <w:t xml:space="preserve">(Aubry-Kientz et al., 2015)</w:t>
      </w:r>
      <w:r>
        <w:rPr>
          <w:iCs/>
          <w:i/>
        </w:rPr>
        <w:t xml:space="preserve">, which would upwardly bias average growth rate estimates for early decades</w:t>
      </w:r>
      <w:r>
        <w:rPr>
          <w:iCs/>
          <w:i/>
        </w:rPr>
        <w:t xml:space="preserve"> </w:t>
      </w:r>
      <w:r>
        <w:rPr>
          <w:iCs/>
          <w:i/>
        </w:rPr>
        <w:t xml:space="preserve">(Groenendijk et al., 2015)</w:t>
      </w:r>
      <w:r>
        <w:rPr>
          <w:iCs/>
          <w:i/>
        </w:rPr>
        <w:t xml:space="preserve">.</w:t>
      </w:r>
    </w:p>
    <w:p>
      <w:pPr>
        <w:pStyle w:val="BodyText"/>
      </w:pPr>
      <w:r>
        <w:rPr>
          <w:iCs/>
          <w:i/>
        </w:rPr>
        <w:t xml:space="preserve">review/ change text/ cite Piovesan paper</w:t>
      </w:r>
    </w:p>
    <w:p>
      <w:pPr>
        <w:pStyle w:val="BodyText"/>
      </w:pPr>
      <w:r>
        <w:rPr>
          <w:iCs/>
          <w:i/>
        </w:rPr>
        <w:t xml:space="preserve">add Duchense ref to discussion?</w:t>
      </w:r>
    </w:p>
    <w:bookmarkEnd w:id="20"/>
    <w:bookmarkStart w:id="22"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1">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iCs/>
          <w:i/>
        </w:rPr>
        <w:t xml:space="preserve">This is a good point– requires some more careful thought/ wording. I believe the answer to the specific point is that we were a bit careless with the wording, where</w:t>
      </w:r>
      <w:r>
        <w:rPr>
          <w:iCs/>
          <w:i/>
        </w:rPr>
        <w:t xml:space="preserve"> </w:t>
      </w:r>
      <w:r>
        <w:rPr>
          <w:iCs/>
          <w:i/>
        </w:rPr>
        <w:t xml:space="preserve">“</w:t>
      </w:r>
      <w:r>
        <w:rPr>
          <w:iCs/>
          <w:i/>
        </w:rPr>
        <w:t xml:space="preserve">increase</w:t>
      </w:r>
      <w:r>
        <w:rPr>
          <w:iCs/>
          <w:i/>
        </w:rPr>
        <w:t xml:space="preserve">”</w:t>
      </w:r>
      <w:r>
        <w:rPr>
          <w:iCs/>
          <w:i/>
        </w:rPr>
        <w:t xml:space="preserve"> </w:t>
      </w:r>
      <w:r>
        <w:rPr>
          <w:iCs/>
          <w:i/>
        </w:rPr>
        <w:t xml:space="preserve">should really be</w:t>
      </w:r>
      <w:r>
        <w:rPr>
          <w:iCs/>
          <w:i/>
        </w:rPr>
        <w:t xml:space="preserve"> </w:t>
      </w:r>
      <w:r>
        <w:rPr>
          <w:iCs/>
          <w:i/>
        </w:rPr>
        <w:t xml:space="preserve">“</w:t>
      </w:r>
      <w:r>
        <w:rPr>
          <w:iCs/>
          <w:i/>
        </w:rPr>
        <w:t xml:space="preserve">initial increase</w:t>
      </w:r>
      <w:r>
        <w:rPr>
          <w:iCs/>
          <w:i/>
        </w:rPr>
        <w:t xml:space="preserve">”</w:t>
      </w:r>
      <w:r>
        <w:rPr>
          <w:iCs/>
          <w:i/>
        </w:rPr>
        <w:t xml:space="preserve"> </w:t>
      </w:r>
      <w:r>
        <w:rPr>
          <w:iCs/>
          <w:i/>
        </w:rPr>
        <w:t xml:space="preserve">(usually followed by peak and decline).</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iCs/>
          <w:i/>
        </w:rPr>
        <w:t xml:space="preserve">increased mortality–&gt; decreased competition –&gt; increased growth. This should be mentioned in the discussion.</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iCs/>
          <w:i/>
        </w:rPr>
        <w:t xml:space="preserve">a bit of wording adjustment, and discuss detremding method (need help from dendro co-authors)</w:t>
      </w:r>
    </w:p>
    <w:p>
      <w:pPr>
        <w:pStyle w:val="BodyText"/>
      </w:pPr>
      <w:r>
        <w:rPr>
          <w:bCs/>
          <w:b/>
        </w:rPr>
        <w:t xml:space="preserve">Regarding the detrending method, most detrending methods have been shown to retain the climate signal in many paleoclimate reconstructions. There are some ongoing nuanced discussions that are important for paleoclimate reconstructions such as retaining the medium frequency variance and examining the how segment length impacts that frequency, and about how changes near the end of the series (increasing or decreasing trend in growth) can impact the detrending and thus climate signal. However, for the purposes of this paper, the methods used here have been shown over and over again to retain the climate signal. We have added the following sentence to make this point:</w:t>
      </w:r>
      <w:r>
        <w:rPr>
          <w:bCs/>
          <w:b/>
        </w:rPr>
        <w:t xml:space="preserve"> </w:t>
      </w:r>
      <w:r>
        <w:rPr>
          <w:bCs/>
          <w:b/>
        </w:rPr>
        <w:t xml:space="preserve">“</w:t>
      </w:r>
      <w:r>
        <w:rPr>
          <w:bCs/>
          <w:b/>
        </w:rPr>
        <w:t xml:space="preserve">These types of detrending methods are used to maximize the climate signal in tree-ring paleoclimate reconstructions and thus have been shown to retain the climate signal while removing the influence of other non-climatic drivers</w:t>
      </w:r>
      <w:r>
        <w:rPr>
          <w:bCs/>
          <w:b/>
        </w:rPr>
        <w:t xml:space="preserve"> </w:t>
      </w:r>
      <w:r>
        <w:rPr>
          <w:bCs/>
          <w:b/>
        </w:rPr>
        <w:t xml:space="preserve">(Cook, 1985; Fritts, 1976)</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iCs/>
          <w:i/>
        </w:rPr>
        <w:t xml:space="preserve">add a statement about this</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(new Fig. 3) to help to highlight some of the general patterns. There is obviously a lot more work to be done on this theme that is beyond the scope of the current analysis.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iCs/>
          <w:i/>
        </w:rPr>
        <w:t xml:space="preserve">find and cite this reference. Probably</w:t>
      </w:r>
      <w:r>
        <w:rPr>
          <w:iCs/>
          <w:i/>
        </w:rPr>
        <w:t xml:space="preserve"> </w:t>
      </w:r>
      <w:r>
        <w:rPr>
          <w:iCs/>
          <w:i/>
        </w:rPr>
        <w:t xml:space="preserve">Clark et al. (2011)</w:t>
      </w:r>
      <w:r>
        <w:rPr>
          <w:iCs/>
          <w:i/>
        </w:rPr>
        <w:t xml:space="preserve">. Also look at</w:t>
      </w:r>
      <w:r>
        <w:rPr>
          <w:iCs/>
          <w:i/>
        </w:rPr>
        <w:t xml:space="preserve"> </w:t>
      </w:r>
      <w:r>
        <w:rPr>
          <w:iCs/>
          <w:i/>
        </w:rPr>
        <w:t xml:space="preserve">Germain &amp; Lutz (2020)</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iCs/>
          <w:i/>
        </w:rPr>
        <w:t xml:space="preserve">reword</w:t>
      </w:r>
    </w:p>
    <w:p>
      <w:pPr>
        <w:pStyle w:val="BodyText"/>
      </w:pPr>
      <w:r>
        <w:t xml:space="preserve">L269: Defined</w:t>
      </w:r>
      <w:r>
        <w:t xml:space="preserve"> </w:t>
      </w:r>
      <w:r>
        <w:t xml:space="preserve">‘</w:t>
      </w:r>
      <w:r>
        <w:t xml:space="preserve">most important</w:t>
      </w:r>
      <w:r>
        <w:t xml:space="preserve">’</w:t>
      </w:r>
    </w:p>
    <w:p>
      <w:pPr>
        <w:pStyle w:val="BodyText"/>
      </w:pPr>
      <w:r>
        <w:rPr>
          <w:iCs/>
          <w:i/>
        </w:rPr>
        <w:t xml:space="preserve">wording</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iCs/>
          <w:i/>
        </w:rPr>
        <w:t xml:space="preserve">wording</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iCs/>
          <w:i/>
        </w:rPr>
        <w:t xml:space="preserve">wording</w:t>
      </w:r>
    </w:p>
    <w:p>
      <w:pPr>
        <w:pStyle w:val="BodyText"/>
      </w:pPr>
      <w:r>
        <w:t xml:space="preserve">L318: Define</w:t>
      </w:r>
      <w:r>
        <w:t xml:space="preserve"> </w:t>
      </w:r>
      <w:r>
        <w:t xml:space="preserve">“</w:t>
      </w:r>
      <w:r>
        <w:t xml:space="preserve">complete data set</w:t>
      </w:r>
      <w:r>
        <w:t xml:space="preserve">”</w:t>
      </w:r>
    </w:p>
    <w:p>
      <w:pPr>
        <w:pStyle w:val="BodyText"/>
      </w:pPr>
      <w:r>
        <w:rPr>
          <w:bCs/>
          <w:b/>
        </w:rPr>
        <w:t xml:space="preserve">We have reworded as follows:</w:t>
      </w:r>
      <w:r>
        <w:rPr>
          <w:bCs/>
          <w:b/>
        </w:rPr>
        <w:t xml:space="preserve"> </w:t>
      </w:r>
      <w:r>
        <w:rPr>
          <w:bCs/>
          <w:b/>
        </w:rPr>
        <w:t xml:space="preserve">“</w:t>
      </w:r>
      <w:r>
        <w:rPr>
          <w:bCs/>
          <w:b/>
        </w:rPr>
        <w:t xml:space="preserve">…where</w:t>
      </w:r>
      <w:r>
        <w:rPr>
          <w:bCs/>
          <w:b/>
        </w:rPr>
        <w:t xml:space="preserve"> </w:t>
      </w:r>
      <w:r>
        <w:rPr>
          <w:iCs/>
          <w:i/>
          <w:bCs/>
          <w:b/>
        </w:rPr>
        <w:t xml:space="preserve">x</w:t>
      </w:r>
      <w:r>
        <w:rPr>
          <w:bCs/>
          <w:b/>
        </w:rPr>
        <w:t xml:space="preserve"> </w:t>
      </w:r>
      <w:r>
        <w:rPr>
          <w:bCs/>
          <w:b/>
        </w:rPr>
        <w:t xml:space="preserve">is a complete data set for one species at one site (all records after excluding cores as described above, and with no missing values).</w:t>
      </w:r>
      <w:r>
        <w:rPr>
          <w:bCs/>
          <w:b/>
        </w:rPr>
        <w:t xml:space="preserve">”</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bCs/>
          <w:b/>
        </w:rPr>
        <w:t xml:space="preserve">We have reworded this to read,</w:t>
      </w:r>
      <w:r>
        <w:rPr>
          <w:bCs/>
          <w:b/>
        </w:rPr>
        <w:t xml:space="preserve"> </w:t>
      </w:r>
      <w:r>
        <w:rPr>
          <w:bCs/>
          <w:b/>
        </w:rPr>
        <w:t xml:space="preserve">“</w:t>
      </w:r>
      <w:r>
        <w:rPr>
          <w:bCs/>
          <w:b/>
        </w:rPr>
        <w:t xml:space="preserve">While one-to-one correspondence of estimated slope coefficients describing the response of tree growth to interannual climatic variation was neither expected nor observed, estimates obtained using the two methods were correlated and rarely differed significantly from one another.</w:t>
      </w:r>
      <w:r>
        <w:rPr>
          <w:bCs/>
          <w:b/>
        </w:rPr>
        <w:t xml:space="preserve">”</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bCs/>
          <w:b/>
        </w:rPr>
        <w:t xml:space="preserve">We have re-worded as follows:</w:t>
      </w:r>
      <w:r>
        <w:rPr>
          <w:bCs/>
          <w:b/>
        </w:rPr>
        <w:t xml:space="preserve"> </w:t>
      </w:r>
      <w:r>
        <w:rPr>
          <w:bCs/>
          <w:b/>
        </w:rPr>
        <w:t xml:space="preserve">“</w:t>
      </w:r>
      <w:r>
        <w:rPr>
          <w:bCs/>
          <w:b/>
        </w:rPr>
        <w:t xml:space="preserve">Panels (</w:t>
      </w:r>
      <w:r>
        <w:rPr>
          <w:bCs/>
          <w:b/>
          <w:bCs/>
          <w:b/>
        </w:rPr>
        <w:t xml:space="preserve">b-d</w:t>
      </w:r>
      <w:r>
        <w:rPr>
          <w:bCs/>
          <w:b/>
        </w:rPr>
        <w:t xml:space="preserve">) give statistics for seasonal windows tested in</w:t>
      </w:r>
      <w:r>
        <w:rPr>
          <w:bCs/>
          <w:b/>
        </w:rPr>
        <w:t xml:space="preserve"> </w:t>
      </w:r>
      <w:r>
        <w:rPr>
          <w:iCs/>
          <w:i/>
          <w:bCs/>
          <w:b/>
        </w:rPr>
        <w:t xml:space="preserve">climwin</w:t>
      </w:r>
      <w:r>
        <w:rPr>
          <w:bCs/>
          <w:b/>
        </w:rPr>
        <w:t xml:space="preserve">, where window open and close refer to the start- and end-months of the window tested, expressed as months prior to current August, and cells across the lower diagonal indicate single-month tests (akin to panel</w:t>
      </w:r>
      <w:r>
        <w:rPr>
          <w:bCs/>
          <w:b/>
        </w:rPr>
        <w:t xml:space="preserve"> </w:t>
      </w:r>
      <w:r>
        <w:rPr>
          <w:bCs/>
          <w:b/>
          <w:bCs/>
          <w:b/>
        </w:rPr>
        <w:t xml:space="preserve">a</w:t>
      </w:r>
      <w:r>
        <w:rPr>
          <w:bCs/>
          <w:b/>
        </w:rPr>
        <w:t xml:space="preserve">).</w:t>
      </w:r>
      <w:r>
        <w:rPr>
          <w:bCs/>
          <w:b/>
        </w:rPr>
        <w:t xml:space="preserve">”</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bCs/>
          <w:b/>
        </w:rPr>
        <w:t xml:space="preserve">We have clarified the definition in the preceding paragraph:</w:t>
      </w:r>
      <w:r>
        <w:rPr>
          <w:bCs/>
          <w:b/>
        </w:rPr>
        <w:t xml:space="preserve"> </w:t>
      </w:r>
      <w:r>
        <w:rPr>
          <w:bCs/>
          <w:b/>
        </w:rPr>
        <w:t xml:space="preserve">“</w:t>
      </w:r>
      <w:r>
        <w:rPr>
          <w:bCs/>
          <w:b/>
        </w:rPr>
        <w:t xml:space="preserve">This latter pattern is consistent with the observation that when contemporary growth rates are compared across individuals within a closed-canopy stand (e.g., a</w:t>
      </w:r>
      <w:r>
        <w:rPr>
          <w:bCs/>
          <w:b/>
        </w:rPr>
        <w:t xml:space="preserve">”</w:t>
      </w:r>
      <w:r>
        <w:rPr>
          <w:bCs/>
          <w:b/>
        </w:rPr>
        <w:t xml:space="preserve">cross-sectional" analysis of census data)…"</w:t>
      </w:r>
    </w:p>
    <w:p>
      <w:pPr>
        <w:pStyle w:val="BodyText"/>
      </w:pPr>
      <w:r>
        <w:t xml:space="preserve">L627: What are you reconstructing? You mean back-calculating DBH? Probably a terminology thing.</w:t>
      </w:r>
    </w:p>
    <w:p>
      <w:pPr>
        <w:pStyle w:val="BodyText"/>
      </w:pPr>
      <w:r>
        <w:rPr>
          <w:bCs/>
          <w:b/>
        </w:rPr>
        <w:t xml:space="preserve">“</w:t>
      </w:r>
      <w:r>
        <w:rPr>
          <w:bCs/>
          <w:b/>
        </w:rPr>
        <w:t xml:space="preserve">Reconstructing</w:t>
      </w:r>
      <w:r>
        <w:rPr>
          <w:bCs/>
          <w:b/>
        </w:rPr>
        <w:t xml:space="preserve">”</w:t>
      </w:r>
      <w:r>
        <w:rPr>
          <w:bCs/>
          <w:b/>
        </w:rPr>
        <w:t xml:space="preserve"> </w:t>
      </w:r>
      <w:r>
        <w:rPr>
          <w:bCs/>
          <w:b/>
        </w:rPr>
        <w:t xml:space="preserve">refers primarily to back-calculating, although in some cases DBH is projected slightly forward (e.g., at SCBI, where cores were taken a couple years after a census was conducted). For this reason, we prefer to stick with the</w:t>
      </w:r>
      <w:r>
        <w:rPr>
          <w:bCs/>
          <w:b/>
        </w:rPr>
        <w:t xml:space="preserve"> </w:t>
      </w:r>
      <w:r>
        <w:rPr>
          <w:bCs/>
          <w:b/>
        </w:rPr>
        <w:t xml:space="preserve">“</w:t>
      </w:r>
      <w:r>
        <w:rPr>
          <w:bCs/>
          <w:b/>
        </w:rPr>
        <w:t xml:space="preserve">reconstructed</w:t>
      </w:r>
      <w:r>
        <w:rPr>
          <w:bCs/>
          <w:b/>
        </w:rPr>
        <w:t xml:space="preserve">”</w:t>
      </w:r>
      <w:r>
        <w:rPr>
          <w:bCs/>
          <w:b/>
        </w:rPr>
        <w:t xml:space="preserve"> </w:t>
      </w:r>
      <w:r>
        <w:rPr>
          <w:bCs/>
          <w:b/>
        </w:rPr>
        <w:t xml:space="preserve">term. To make sure this is clear, we now refer to the term</w:t>
      </w:r>
      <w:r>
        <w:rPr>
          <w:bCs/>
          <w:b/>
        </w:rPr>
        <w:t xml:space="preserve"> </w:t>
      </w:r>
      <w:r>
        <w:rPr>
          <w:bCs/>
          <w:b/>
        </w:rPr>
        <w:t xml:space="preserve">“</w:t>
      </w:r>
      <w:r>
        <w:rPr>
          <w:bCs/>
          <w:b/>
        </w:rPr>
        <w:t xml:space="preserve">back-calculated</w:t>
      </w:r>
      <w:r>
        <w:rPr>
          <w:bCs/>
          <w:b/>
        </w:rPr>
        <w:t xml:space="preserve">”</w:t>
      </w:r>
      <w:r>
        <w:rPr>
          <w:bCs/>
          <w:b/>
        </w:rPr>
        <w:t xml:space="preserve"> </w:t>
      </w:r>
      <w:r>
        <w:rPr>
          <w:bCs/>
          <w:b/>
        </w:rPr>
        <w:t xml:space="preserve">in the methods section when we introduce the concept: " For each year in the tree-ring records, we reconstructed (</w:t>
      </w:r>
      <w:r>
        <w:rPr>
          <w:iCs/>
          <w:i/>
          <w:bCs/>
          <w:b/>
        </w:rPr>
        <w:t xml:space="preserve">i.e.</w:t>
      </w:r>
      <w:r>
        <w:rPr>
          <w:bCs/>
          <w:b/>
        </w:rPr>
        <w:t xml:space="preserve">, back-calculated) DBH, as detailed in Appendix S2."</w:t>
      </w:r>
    </w:p>
    <w:p>
      <w:pPr>
        <w:pStyle w:val="BodyText"/>
      </w:pPr>
      <w:r>
        <w:t xml:space="preserve">L678, 683: Weird formatting issue in ref. Maybe journal software?</w:t>
      </w:r>
    </w:p>
    <w:p>
      <w:pPr>
        <w:pStyle w:val="BodyText"/>
      </w:pPr>
      <w:r>
        <w:rPr>
          <w:iCs/>
          <w:i/>
        </w:rPr>
        <w:t xml:space="preserve">(These are citations with special characters in the name). Look into this. I don’t see a problem in the draft proof.</w:t>
      </w:r>
    </w:p>
    <w:bookmarkEnd w:id="22"/>
    <w:bookmarkEnd w:id="23"/>
    <w:bookmarkStart w:id="51" w:name="References"/>
    <w:p>
      <w:pPr>
        <w:pStyle w:val="Heading1"/>
      </w:pPr>
      <w:r>
        <w:t xml:space="preserve">References cited in responses</w:t>
      </w:r>
    </w:p>
    <w:bookmarkStart w:id="50" w:name="refs"/>
    <w:bookmarkStart w:id="25"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4">
        <w:r>
          <w:rPr>
            <w:rStyle w:val="Hyperlink"/>
          </w:rPr>
          <w:t xml:space="preserve">https://doi.org/10.1002/ece3.1532</w:t>
        </w:r>
      </w:hyperlink>
    </w:p>
    <w:bookmarkEnd w:id="25"/>
    <w:bookmarkStart w:id="27"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26">
        <w:r>
          <w:rPr>
            <w:rStyle w:val="Hyperlink"/>
          </w:rPr>
          <w:t xml:space="preserve">https://doi.org/10.1016/j.tplants.2012.08.005</w:t>
        </w:r>
      </w:hyperlink>
    </w:p>
    <w:bookmarkEnd w:id="27"/>
    <w:bookmarkStart w:id="29"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28">
        <w:r>
          <w:rPr>
            <w:rStyle w:val="Hyperlink"/>
          </w:rPr>
          <w:t xml:space="preserve">https://doi.org/10.1029/2011GB004143</w:t>
        </w:r>
      </w:hyperlink>
    </w:p>
    <w:bookmarkEnd w:id="29"/>
    <w:bookmarkStart w:id="31"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0">
        <w:r>
          <w:rPr>
            <w:rStyle w:val="Hyperlink"/>
          </w:rPr>
          <w:t xml:space="preserve">https://doi.org/10.1111/gcb.13410</w:t>
        </w:r>
      </w:hyperlink>
    </w:p>
    <w:bookmarkEnd w:id="31"/>
    <w:bookmarkStart w:id="33"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2">
        <w:r>
          <w:rPr>
            <w:rStyle w:val="Hyperlink"/>
          </w:rPr>
          <w:t xml:space="preserve">https://doi.org/10.1016/S0378-1127(98)00242-4</w:t>
        </w:r>
      </w:hyperlink>
    </w:p>
    <w:bookmarkEnd w:id="33"/>
    <w:bookmarkStart w:id="35"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34">
        <w:r>
          <w:rPr>
            <w:rStyle w:val="Hyperlink"/>
          </w:rPr>
          <w:t xml:space="preserve">https://doi.org/10.1111/j.1461-0248.2011.01685.x</w:t>
        </w:r>
      </w:hyperlink>
    </w:p>
    <w:bookmarkEnd w:id="35"/>
    <w:bookmarkStart w:id="36" w:name="ref-cook_time_1985"/>
    <w:p>
      <w:pPr>
        <w:pStyle w:val="Bibliography"/>
      </w:pPr>
      <w:r>
        <w:t xml:space="preserve">Cook, E. R. (1985).</w:t>
      </w:r>
      <w:r>
        <w:t xml:space="preserve"> </w:t>
      </w:r>
      <w:r>
        <w:rPr>
          <w:iCs/>
          <w:i/>
        </w:rPr>
        <w:t xml:space="preserve">A</w:t>
      </w:r>
      <w:r>
        <w:rPr>
          <w:iCs/>
          <w:i/>
        </w:rPr>
        <w:t xml:space="preserve"> </w:t>
      </w:r>
      <w:r>
        <w:rPr>
          <w:iCs/>
          <w:i/>
        </w:rPr>
        <w:t xml:space="preserve">Time Series Analysis Approach</w:t>
      </w:r>
      <w:r>
        <w:rPr>
          <w:iCs/>
          <w:i/>
        </w:rPr>
        <w:t xml:space="preserve"> </w:t>
      </w:r>
      <w:r>
        <w:rPr>
          <w:iCs/>
          <w:i/>
        </w:rPr>
        <w:t xml:space="preserve">to</w:t>
      </w:r>
      <w:r>
        <w:rPr>
          <w:iCs/>
          <w:i/>
        </w:rPr>
        <w:t xml:space="preserve"> </w:t>
      </w:r>
      <w:r>
        <w:rPr>
          <w:iCs/>
          <w:i/>
        </w:rPr>
        <w:t xml:space="preserve">Tree Ring Standardization</w:t>
      </w:r>
      <w:r>
        <w:rPr>
          <w:iCs/>
          <w:i/>
        </w:rPr>
        <w:t xml:space="preserve">: Vol. PhD</w:t>
      </w:r>
      <w:r>
        <w:t xml:space="preserve"> </w:t>
      </w:r>
      <w:r>
        <w:t xml:space="preserve">[PhD thesis]. University of Arizona.</w:t>
      </w:r>
    </w:p>
    <w:bookmarkEnd w:id="36"/>
    <w:bookmarkStart w:id="38"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37">
        <w:r>
          <w:rPr>
            <w:rStyle w:val="Hyperlink"/>
          </w:rPr>
          <w:t xml:space="preserve">https://doi.org/10.1038/s41598-019-43243-1</w:t>
        </w:r>
      </w:hyperlink>
    </w:p>
    <w:bookmarkEnd w:id="38"/>
    <w:bookmarkStart w:id="39" w:name="ref-fritts_tree_1976"/>
    <w:p>
      <w:pPr>
        <w:pStyle w:val="Bibliography"/>
      </w:pPr>
      <w:r>
        <w:t xml:space="preserve">Fritts, H. C. (1976).</w:t>
      </w:r>
      <w:r>
        <w:t xml:space="preserve"> </w:t>
      </w:r>
      <w:r>
        <w:rPr>
          <w:iCs/>
          <w:i/>
        </w:rPr>
        <w:t xml:space="preserve">Tree rings and climate</w:t>
      </w:r>
      <w:r>
        <w:t xml:space="preserve">.</w:t>
      </w:r>
      <w:r>
        <w:t xml:space="preserve"> </w:t>
      </w:r>
      <w:r>
        <w:t xml:space="preserve">Academic Press</w:t>
      </w:r>
      <w:r>
        <w:t xml:space="preserve">.</w:t>
      </w:r>
    </w:p>
    <w:bookmarkEnd w:id="39"/>
    <w:bookmarkStart w:id="41" w:name="ref-germain_climate_2020"/>
    <w:p>
      <w:pPr>
        <w:pStyle w:val="Bibliography"/>
      </w:pPr>
      <w:r>
        <w:t xml:space="preserve">Germain, S. J., &amp; Lutz, J. A. (2020). Climate extremes may be more important than climate means when predicting species range shifts.</w:t>
      </w:r>
      <w:r>
        <w:t xml:space="preserve"> </w:t>
      </w:r>
      <w:r>
        <w:rPr>
          <w:iCs/>
          <w:i/>
        </w:rPr>
        <w:t xml:space="preserve">Climatic Change</w:t>
      </w:r>
      <w:r>
        <w:t xml:space="preserve">,</w:t>
      </w:r>
      <w:r>
        <w:t xml:space="preserve"> </w:t>
      </w:r>
      <w:r>
        <w:rPr>
          <w:iCs/>
          <w:i/>
        </w:rPr>
        <w:t xml:space="preserve">163</w:t>
      </w:r>
      <w:r>
        <w:t xml:space="preserve">(1), 579–598.</w:t>
      </w:r>
      <w:r>
        <w:t xml:space="preserve"> </w:t>
      </w:r>
      <w:hyperlink r:id="rId40">
        <w:r>
          <w:rPr>
            <w:rStyle w:val="Hyperlink"/>
          </w:rPr>
          <w:t xml:space="preserve">https://doi.org/10.1007/s10584-020-02868-2</w:t>
        </w:r>
      </w:hyperlink>
    </w:p>
    <w:bookmarkEnd w:id="41"/>
    <w:bookmarkStart w:id="43"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42">
        <w:r>
          <w:rPr>
            <w:rStyle w:val="Hyperlink"/>
          </w:rPr>
          <w:t xml:space="preserve">https://doi.org/10.1111/gcb.12955</w:t>
        </w:r>
      </w:hyperlink>
    </w:p>
    <w:bookmarkEnd w:id="43"/>
    <w:bookmarkStart w:id="45"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44">
        <w:r>
          <w:rPr>
            <w:rStyle w:val="Hyperlink"/>
          </w:rPr>
          <w:t xml:space="preserve">https://doi.org/10.1029/2018JG004573</w:t>
        </w:r>
      </w:hyperlink>
    </w:p>
    <w:bookmarkEnd w:id="45"/>
    <w:bookmarkStart w:id="47"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46">
        <w:r>
          <w:rPr>
            <w:rStyle w:val="Hyperlink"/>
          </w:rPr>
          <w:t xml:space="preserve">https://doi.org/10.1111/gcb.12599</w:t>
        </w:r>
      </w:hyperlink>
    </w:p>
    <w:bookmarkEnd w:id="47"/>
    <w:bookmarkStart w:id="49"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48">
        <w:r>
          <w:rPr>
            <w:rStyle w:val="Hyperlink"/>
          </w:rPr>
          <w:t xml:space="preserve">https://doi.org/10.1088/1748-9326/11/11/114007</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02/ece3.1532" TargetMode="External" /><Relationship Type="http://schemas.openxmlformats.org/officeDocument/2006/relationships/hyperlink" Id="rId40" Target="https://doi.org/10.1007/s10584-020-02868-2" TargetMode="External" /><Relationship Type="http://schemas.openxmlformats.org/officeDocument/2006/relationships/hyperlink" Id="rId32" Target="https://doi.org/10.1016/S0378-1127(98)00242-4" TargetMode="External" /><Relationship Type="http://schemas.openxmlformats.org/officeDocument/2006/relationships/hyperlink" Id="rId26" Target="https://doi.org/10.1016/j.tplants.2012.08.005" TargetMode="External" /><Relationship Type="http://schemas.openxmlformats.org/officeDocument/2006/relationships/hyperlink" Id="rId28" Target="https://doi.org/10.1029/2011GB004143" TargetMode="External" /><Relationship Type="http://schemas.openxmlformats.org/officeDocument/2006/relationships/hyperlink" Id="rId44" Target="https://doi.org/10.1029/2018JG004573" TargetMode="External" /><Relationship Type="http://schemas.openxmlformats.org/officeDocument/2006/relationships/hyperlink" Id="rId37" Target="https://doi.org/10.1038/s41598-019-43243-1" TargetMode="External" /><Relationship Type="http://schemas.openxmlformats.org/officeDocument/2006/relationships/hyperlink" Id="rId48" Target="https://doi.org/10.1088/1748-9326/11/11/114007" TargetMode="External" /><Relationship Type="http://schemas.openxmlformats.org/officeDocument/2006/relationships/hyperlink" Id="rId46" Target="https://doi.org/10.1111/gcb.12599" TargetMode="External" /><Relationship Type="http://schemas.openxmlformats.org/officeDocument/2006/relationships/hyperlink" Id="rId42" Target="https://doi.org/10.1111/gcb.12955" TargetMode="External" /><Relationship Type="http://schemas.openxmlformats.org/officeDocument/2006/relationships/hyperlink" Id="rId30" Target="https://doi.org/10.1111/gcb.13410" TargetMode="External" /><Relationship Type="http://schemas.openxmlformats.org/officeDocument/2006/relationships/hyperlink" Id="rId34" Target="https://doi.org/10.1111/j.1461-0248.2011.01685.x" TargetMode="External" /><Relationship Type="http://schemas.openxmlformats.org/officeDocument/2006/relationships/hyperlink" Id="rId21" Target="https://github.com/EcoClimLab/ForestGEO-tree-rings"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02/ece3.1532" TargetMode="External" /><Relationship Type="http://schemas.openxmlformats.org/officeDocument/2006/relationships/hyperlink" Id="rId40" Target="https://doi.org/10.1007/s10584-020-02868-2" TargetMode="External" /><Relationship Type="http://schemas.openxmlformats.org/officeDocument/2006/relationships/hyperlink" Id="rId32" Target="https://doi.org/10.1016/S0378-1127(98)00242-4" TargetMode="External" /><Relationship Type="http://schemas.openxmlformats.org/officeDocument/2006/relationships/hyperlink" Id="rId26" Target="https://doi.org/10.1016/j.tplants.2012.08.005" TargetMode="External" /><Relationship Type="http://schemas.openxmlformats.org/officeDocument/2006/relationships/hyperlink" Id="rId28" Target="https://doi.org/10.1029/2011GB004143" TargetMode="External" /><Relationship Type="http://schemas.openxmlformats.org/officeDocument/2006/relationships/hyperlink" Id="rId44" Target="https://doi.org/10.1029/2018JG004573" TargetMode="External" /><Relationship Type="http://schemas.openxmlformats.org/officeDocument/2006/relationships/hyperlink" Id="rId37" Target="https://doi.org/10.1038/s41598-019-43243-1" TargetMode="External" /><Relationship Type="http://schemas.openxmlformats.org/officeDocument/2006/relationships/hyperlink" Id="rId48" Target="https://doi.org/10.1088/1748-9326/11/11/114007" TargetMode="External" /><Relationship Type="http://schemas.openxmlformats.org/officeDocument/2006/relationships/hyperlink" Id="rId46" Target="https://doi.org/10.1111/gcb.12599" TargetMode="External" /><Relationship Type="http://schemas.openxmlformats.org/officeDocument/2006/relationships/hyperlink" Id="rId42" Target="https://doi.org/10.1111/gcb.12955" TargetMode="External" /><Relationship Type="http://schemas.openxmlformats.org/officeDocument/2006/relationships/hyperlink" Id="rId30" Target="https://doi.org/10.1111/gcb.13410" TargetMode="External" /><Relationship Type="http://schemas.openxmlformats.org/officeDocument/2006/relationships/hyperlink" Id="rId34" Target="https://doi.org/10.1111/j.1461-0248.2011.01685.x" TargetMode="External" /><Relationship Type="http://schemas.openxmlformats.org/officeDocument/2006/relationships/hyperlink" Id="rId21" Target="https://github.com/EcoClimLab/ForestGEO-tree-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2021-08-05T18:05:39Z</dcterms:created>
  <dcterms:modified xsi:type="dcterms:W3CDTF">2021-08-05T18:05:39Z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