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#relavant? reworded first line above#</w:t>
      </w:r>
      <w:r>
        <w:t xml:space="preserve"> </w:t>
      </w:r>
      <w:r>
        <w:t xml:space="preserve">(Understanding how growth is influenced by multiple factors at once is essential for developing accurate models to inform forest managers and policy makers about the role of future forests in climate change mitigation. CO2 concentrations in the atmosphere are increasing, and in a perfect scenario, trees and other plants would simply speed up growth in response to this, increasing photosynthetic efficiency in a process called CO2 fertilization (Strain and Cure, 1986; Huang et al., 2007). However, factors other than CO2 also limit tree growth, and seasonal temperature averages and precipitation patterns are changing concurrently. It is anticipated that, throughout much of the United States, future heat and drought may limit tree growth more strongly than it can be enhanced by elevated CO2 (Charney et al, 2016).)</w:t>
      </w:r>
      <w:r>
        <w:t xml:space="preserve"> </w:t>
      </w:r>
      <w:r>
        <w:t xml:space="preserve">#</w:t>
      </w:r>
    </w:p>
    <w:p>
      <w:pPr>
        <w:pStyle w:val="BodyText"/>
      </w:pPr>
      <w:r>
        <w:t xml:space="preserve">In recent decades, an increase in average Spring temperatures has been attributed to climate change. This relatively small increase has already been impacting many natural systems including forests (Parmesan &amp; Yohe, 2003; Zhihong, 2006). The effects of this Spring warming on leaf phenology have been extensively studied (Way, 2011; Klosterman &amp; Hufkins &amp; Richardson, 2018) leading to many interesting observations. As temperatures are increasing, some regions have seen earlier leaf out in deciduous trees, sometimes matched or exceeded by earlier leaf senescence, meaning a potential shift in growing season timing or length (Ibáñez et al, 2010; Jeong et al., 2011). The timing of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However, the fine-scale responses of temperate deciduous species to a warming Spring are not commonly researched due to the increased effort required. Shifts in leaf phenology timing could be accompanied by a change in stem-growth phenology, which would likely affect woody productivity, carbon and nutrient cycling, and water use patterns in temperate forests (Keeling et al, 1996;). Many observations of climate induced phenological shifts are based on GIS, eddy-covarience measurements, or other broad scale measurements of phenological timing, and do little to discern differences between individual species, where leaf and stem-growth phenology can be decoupled (D’Orangeville et al, in review). To date, very little research, has been done on the phenology of stem-growth.</w:t>
      </w:r>
    </w:p>
    <w:p>
      <w:pPr>
        <w:pStyle w:val="BodyText"/>
      </w:pPr>
      <w:r>
        <w:t xml:space="preserve">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of NPP in temperate forests (Foster, 2014; ). For example, if a drought were to occur when trees were at their peak growth rates, it could decrease that year’s NPP substantially, and subsequently, reduce the total amount of carbon sequestered contributing to a negative climate feedback loop (source?). Recent results from a paper by D’Orangeville et al. (in review) have shown that wood-type plays a significant role in the timing of leaf and wood phenology. They showed that ring-porous trees begin growth earlier in the season compared to diffuse-porous trees, but both reached 75% total annual growth around the same time. This implies evolutionary differences in the mechanisms controlling growth of these species, which have the potential to expose each group to different climate stresses (source for RP vs DP?).</w:t>
      </w:r>
    </w:p>
    <w:p>
      <w:pPr>
        <w:pStyle w:val="BodyText"/>
      </w:pPr>
      <w:r>
        <w:t xml:space="preserve">While not entirely impossible, it is difficult to record intraannual growth or compare interspecific responses to Spring warming using leaf-phenology or other indirect observations.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the ForestGEO plot at SCBI,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phenology variables would occur earlier in warmer years as compared to cooler years and (2) both wood types would increase total growth and max growth rate in response to warmer Spring temperatures.</w:t>
      </w:r>
    </w:p>
    <w:p>
      <w:pPr>
        <w:pStyle w:val="Heading3"/>
      </w:pPr>
      <w:bookmarkStart w:id="23" w:name="materials-and-methods"/>
      <w:r>
        <w:t xml:space="preserve">Materials and Methods</w:t>
      </w:r>
      <w:bookmarkEnd w:id="23"/>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r>
        <w:br/>
      </w: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w:t>
      </w:r>
      <w:r>
        <w:t xml:space="preserve"> </w:t>
      </w:r>
      <w:r>
        <w:rPr>
          <w:i/>
        </w:rPr>
        <w:t xml:space="preserve">(summary of how bands were distributed across species, focusing on ring/ diffuse porous distinction. details in an SI table)</w:t>
      </w:r>
    </w:p>
    <w:p>
      <w:pPr>
        <w:pStyle w:val="BodyText"/>
      </w:pPr>
      <w:r>
        <w:t xml:space="preserve">(After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4">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5">
        <w:r>
          <w:rPr>
            <w:rStyle w:val="Hyperlink"/>
          </w:rPr>
          <w:t xml:space="preserve">https://www.usanpn.org/news/spring</w:t>
        </w:r>
      </w:hyperlink>
      <w:r>
        <w:t xml:space="preserve">) ?</w:t>
      </w:r>
    </w:p>
    <w:p>
      <w:pPr>
        <w:pStyle w:val="BodyText"/>
      </w:pPr>
      <w:r>
        <w:t xml:space="preserve">• NDVI or PRI?</w:t>
      </w:r>
      <w:r>
        <w:t xml:space="preserve"> </w:t>
      </w:r>
      <w:hyperlink r:id="rId26">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t xml:space="preserve">• Sean’s model</w:t>
      </w:r>
    </w:p>
    <w:p>
      <w:pPr>
        <w:pStyle w:val="BodyText"/>
      </w:pPr>
      <w:r>
        <w:t xml:space="preserve">• Climwin</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rPr>
          <w:i/>
        </w:rPr>
        <w:t xml:space="preserve">Analysis</w:t>
      </w:r>
    </w:p>
    <w:p>
      <w:pPr>
        <w:pStyle w:val="BodyText"/>
      </w:pPr>
      <w:r>
        <w:t xml:space="preserve">Here, I’ll insert a reference to Sean’s paper</w:t>
      </w:r>
      <w:r>
        <w:t xml:space="preserve"> </w:t>
      </w:r>
      <w:r>
        <w:t xml:space="preserve">(McMahon &amp; Parker, 2015)</w:t>
      </w:r>
      <w:r>
        <w:t xml:space="preserve">. This is pulled from references.bib.</w:t>
      </w:r>
    </w:p>
    <w:p>
      <w:pPr>
        <w:pStyle w:val="BodyText"/>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p>
      <w:pPr>
        <w:pStyle w:val="Heading3"/>
      </w:pPr>
      <w:bookmarkStart w:id="27" w:name="results"/>
      <w:r>
        <w:t xml:space="preserve">Results</w:t>
      </w:r>
      <w:bookmarkEnd w:id="27"/>
    </w:p>
    <w:p>
      <w:pPr>
        <w:pStyle w:val="FirstParagraph"/>
      </w:pPr>
      <w:r>
        <w:t xml:space="preserve">• variable averages</w:t>
      </w:r>
    </w:p>
    <w:p>
      <w:pPr>
        <w:pStyle w:val="BodyText"/>
      </w:pPr>
      <w:r>
        <w:t xml:space="preserve">Pooled across all species and all years the average DOY where max growth rate was achieved is DOY: 158, the DOY where 25% was achieved is DOY: 129, 50% - DOY: 157, 75% - DOY:184.</w:t>
      </w:r>
    </w:p>
    <w:p>
      <w:pPr>
        <w:pStyle w:val="BodyText"/>
      </w:pPr>
      <w:r>
        <w:t xml:space="preserve">Ring-porous (1395 obs) max growth rate – DOY: 147, max growth rate = .048 (find units in Sean’s function), 25% - DOY: 113, 50% DOY: 147, 75% - DOY: 181…68 days</w:t>
      </w:r>
    </w:p>
    <w:p>
      <w:pPr>
        <w:pStyle w:val="BodyText"/>
      </w:pPr>
      <w:r>
        <w:t xml:space="preserve">Diffuse-porous (993 obs) max growth rate – DOY: 172, max growth rate = .068 (find units in Sean’s function), 25% - DOY: 153, 50% - DOY: 171, 75% - DOY: 190… 37 days</w:t>
      </w:r>
    </w:p>
    <w:p>
      <w:pPr>
        <w:pStyle w:val="BodyText"/>
      </w:pPr>
      <w:r>
        <w:t xml:space="preserve">• Climwin results</w:t>
      </w:r>
    </w:p>
    <w:p>
      <w:pPr>
        <w:pStyle w:val="BodyText"/>
      </w:pPr>
      <w:r>
        <w:t xml:space="preserve">• Accounting for random effects of species and tag, pre-season temperatures had a greater effect on ring-porous species than diffuse-porous.</w:t>
      </w:r>
    </w:p>
    <w:p>
      <w:pPr>
        <w:pStyle w:val="Heading3"/>
      </w:pPr>
      <w:bookmarkStart w:id="28" w:name="discussion"/>
      <w:r>
        <w:t xml:space="preserve">Discussion</w:t>
      </w:r>
      <w:bookmarkEnd w:id="28"/>
    </w:p>
    <w:p>
      <w:pPr>
        <w:pStyle w:val="FirstParagraph"/>
      </w:pPr>
      <w:r>
        <w:t xml:space="preserve">-Growth timing</w:t>
      </w:r>
      <w:r>
        <w:t xml:space="preserve"> </w:t>
      </w: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The presence of wide-xylem cells in ring-porous trees allows for greater water conductivity in the Spring at the cost of increased cavitation risk during Spring drought, and high likeliehood of damage during frost events (Cochard &amp; Tyree, 1990). The pre-leaf stem growth occurring in these species is fueled by carbon stores, often used for other cell maintenance activities within the plant (). The dependence on these carbon stores for cambial activation could prove to be a detriment to the tree, as exhaustion of reserves leads to carbon starvation (). Diffuse-porous trees have narrower xylem cells lowering the risk of cavitation, but leading to a decreased water conductivity in the Spring, revealing a growth strategy more focused on a relatively faster, shorter growing season in the Summer. This allows the diffuse-porous trees to conserve their carbon stores, making them potentially more resistant to pest/pathogen invasions?, but exposing them to higher temperatures and drought risk during their Summer-centered growth period.</w:t>
      </w:r>
    </w:p>
    <w:p>
      <w:pPr>
        <w:pStyle w:val="BodyText"/>
      </w:pPr>
      <w:r>
        <w:t xml:space="preserve">The mechanisms controlling activation of cambium reactivation is still a mystery, as some speculate Auxin, the chemical believed to kick-start the reactivation process, originates in the leaves(). However, the fact that ring-porous species complete 25% growth before the presence of leaf buds indicates there may be another source of Auxin production.</w:t>
      </w:r>
    </w:p>
    <w:p>
      <w:pPr>
        <w:pStyle w:val="BodyText"/>
      </w:pPr>
      <w:r>
        <w:t xml:space="preserve">Ring-porous trees reach 25% and 50% growth milestones earlier (insert actual # days?) in the year, while 75% remains statistically unchanged, in response to warmer temperatures during early Spring. This implies that the growing season of ring-porous trees expanded due to Spring temperatures, which are projected to continue to increase as anthropogenic global warming intensifies. The reactivation of cambial cells is likely beginning earlier potentially exposing these trees to higher risk of cavitation or damage during frost events (Cochard &amp; Tyree, 1990). Damage of this nature would then need to be repaired using carbon reserves which may be in short demand as they are already being used for initial growth. Hypothetically, this could lead to carbon starvation in some trees. Alternatively, the extension of growth season and higher yearly growth totals like we see here, could give ring-porous trees a competitive advantage over their non-responsive diffuse-porous counterparts. In the long term, this could lead to changes in species dominance within temperate forests (talk more aobut this?).</w:t>
      </w:r>
    </w:p>
    <w:p>
      <w:pPr>
        <w:pStyle w:val="BodyText"/>
      </w:pPr>
      <w:r>
        <w:t xml:space="preserve">Meanwhile, 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However, diffuse-porous trees are adapted to survive in drought conditions, and may continue to be successful even in future climate scenarios (RIght? seeing conflicting reports. Sources.). Studies have found that these diffuse-porous trees in the Eastern USA show the largest reduction in ring-width increment during, and following, Summer droughts (Kannenberg et al, 2018) as well as being generally more sensitive to Summer precipitation patterns (Elliot et al, 2015). The potential for more frequent reduction in growth coupled with the increased growing season length of ring-porous species may lead to an alteration in forest species composition. –the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the metaphorical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Helcoski et al (2019), which found differences in interspecific growth responses to several climate variables throughout the year using tree cores. Additionally, Other studies have found that Autumn leaf senescence is being delayed potentially in response to warmer temperatures in the previous year’s Winter or Autumn (), changes in chilling requirements due to current year Autumn and winter temperatures (), and stunted total productivity induced by drought and high TMAX in the current year’s Summer (), diffuse porous trees increased growth during the following growing season when winter temperatures (TMIN) were lower (Benito &amp; Pederson, 2015; Elliot et al, 2015). How these relationships may impact intraannual growth patterns or variables like those described here is uncertain, but identifying such relationships will help us further understand how climate change is impacting forests.</w:t>
      </w:r>
    </w:p>
    <w:p>
      <w:pPr>
        <w:pStyle w:val="BodyText"/>
      </w:pPr>
      <w:r>
        <w:t xml:space="preserve">We present a stepping stone for future studies to build upon.</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w:t>
      </w:r>
    </w:p>
    <w:p>
      <w:pPr>
        <w:pStyle w:val="Heading3"/>
      </w:pPr>
      <w:bookmarkStart w:id="29" w:name="acknowledgements"/>
      <w:r>
        <w:t xml:space="preserve">Acknowledgements</w:t>
      </w:r>
      <w:bookmarkEnd w:id="29"/>
    </w:p>
    <w:p>
      <w:pPr>
        <w:pStyle w:val="FirstParagraph"/>
      </w:pPr>
      <w:r>
        <w:t xml:space="preserve">ForestGEO</w:t>
      </w:r>
    </w:p>
    <w:p>
      <w:pPr>
        <w:pStyle w:val="Heading3"/>
      </w:pPr>
      <w:bookmarkStart w:id="30" w:name="authors-contributions"/>
      <w:r>
        <w:t xml:space="preserve">Authors’ contributions</w:t>
      </w:r>
      <w:bookmarkEnd w:id="30"/>
    </w:p>
    <w:p>
      <w:pPr>
        <w:pStyle w:val="Heading3"/>
      </w:pPr>
      <w:bookmarkStart w:id="31" w:name="figures"/>
      <w:r>
        <w:t xml:space="preserve">Figures</w:t>
      </w:r>
      <w:bookmarkEnd w:id="31"/>
    </w:p>
    <w:p>
      <w:pPr>
        <w:pStyle w:val="FirstParagraph"/>
      </w:pPr>
      <w:r>
        <w:rPr>
          <w:b/>
        </w:rPr>
        <w:t xml:space="preserve">Figure 1</w:t>
      </w:r>
    </w:p>
    <w:p>
      <w:pPr>
        <w:pStyle w:val="BodyText"/>
      </w:pPr>
      <w:r>
        <w:t xml:space="preserve">Based on D’Orangeville Figure 1</w:t>
      </w:r>
    </w:p>
    <w:p>
      <w:pPr>
        <w:pStyle w:val="CaptionedFigure"/>
      </w:pPr>
      <w:r>
        <w:drawing>
          <wp:inline>
            <wp:extent cx="5334000" cy="3507105"/>
            <wp:effectExtent b="0" l="0" r="0" t="0"/>
            <wp:docPr descr="Logistic growth model" title="" id="1" name="Picture"/>
            <a:graphic>
              <a:graphicData uri="http://schemas.openxmlformats.org/drawingml/2006/picture">
                <pic:pic>
                  <pic:nvPicPr>
                    <pic:cNvPr descr="tables_figures/fig1.png" id="0" name="Picture"/>
                    <pic:cNvPicPr>
                      <a:picLocks noChangeArrowheads="1" noChangeAspect="1"/>
                    </pic:cNvPicPr>
                  </pic:nvPicPr>
                  <pic:blipFill>
                    <a:blip r:embed="rId32"/>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Logistic growth model</w:t>
      </w:r>
    </w:p>
    <w:p>
      <w:pPr>
        <w:pStyle w:val="BodyText"/>
      </w:pPr>
      <w:r>
        <w:rPr>
          <w:b/>
        </w:rPr>
        <w:t xml:space="preserve">Figure 2</w:t>
      </w:r>
    </w:p>
    <w:p>
      <w:pPr>
        <w:pStyle w:val="BodyText"/>
      </w:pPr>
      <w:r>
        <w:t xml:space="preserve">Based on D’Orangeville Figure 3.a), but with relative growth</w:t>
      </w:r>
    </w:p>
    <w:p>
      <w:pPr>
        <w:pStyle w:val="CaptionedFigure"/>
      </w:pPr>
      <w:r>
        <w:drawing>
          <wp:inline>
            <wp:extent cx="5334000" cy="3508586"/>
            <wp:effectExtent b="0" l="0" r="0" t="0"/>
            <wp:docPr descr="Percent total (modeled) growth" title="" id="1" name="Picture"/>
            <a:graphic>
              <a:graphicData uri="http://schemas.openxmlformats.org/drawingml/2006/picture">
                <pic:pic>
                  <pic:nvPicPr>
                    <pic:cNvPr descr="tables_figures/fig2.png" id="0" name="Picture"/>
                    <pic:cNvPicPr>
                      <a:picLocks noChangeArrowheads="1" noChangeAspect="1"/>
                    </pic:cNvPicPr>
                  </pic:nvPicPr>
                  <pic:blipFill>
                    <a:blip r:embed="rId33"/>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Percent total (modeled) growth</w:t>
      </w:r>
    </w:p>
    <w:p>
      <w:pPr>
        <w:pStyle w:val="BodyText"/>
      </w:pPr>
      <w:r>
        <w:rPr>
          <w:b/>
        </w:rPr>
        <w:t xml:space="preserve">Figure 3</w:t>
      </w:r>
    </w:p>
    <w:p>
      <w:pPr>
        <w:pStyle w:val="BodyText"/>
      </w:pPr>
      <w:r>
        <w:t xml:space="preserve">Similar to D’Orangeville Figure 4.a), but with cummalative relative growth</w:t>
      </w:r>
    </w:p>
    <w:p>
      <w:pPr>
        <w:pStyle w:val="CaptionedFigure"/>
      </w:pPr>
      <w:r>
        <w:drawing>
          <wp:inline>
            <wp:extent cx="5334000" cy="3508586"/>
            <wp:effectExtent b="0" l="0" r="0" t="0"/>
            <wp:docPr descr="Cummulative percent total (modeled) growth" title="" id="1" name="Picture"/>
            <a:graphic>
              <a:graphicData uri="http://schemas.openxmlformats.org/drawingml/2006/picture">
                <pic:pic>
                  <pic:nvPicPr>
                    <pic:cNvPr descr="tables_figures/fig3.png" id="0" name="Picture"/>
                    <pic:cNvPicPr>
                      <a:picLocks noChangeArrowheads="1" noChangeAspect="1"/>
                    </pic:cNvPicPr>
                  </pic:nvPicPr>
                  <pic:blipFill>
                    <a:blip r:embed="rId34"/>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Cummulative percent total (modeled) growth</w:t>
      </w:r>
    </w:p>
    <w:p>
      <w:pPr>
        <w:pStyle w:val="BodyText"/>
      </w:pPr>
      <w:r>
        <w:rPr>
          <w:b/>
        </w:rPr>
        <w:t xml:space="preserve">Figure 4</w:t>
      </w:r>
    </w:p>
    <w:p>
      <w:pPr>
        <w:pStyle w:val="BodyText"/>
      </w:pPr>
      <w:r>
        <w:rPr>
          <w:b/>
        </w:rPr>
        <w:t xml:space="preserve">Figure 5</w:t>
      </w:r>
    </w:p>
    <w:p>
      <w:pPr>
        <w:pStyle w:val="BodyText"/>
      </w:pPr>
      <w:r>
        <w:rPr>
          <w:b/>
        </w:rPr>
        <w:t xml:space="preserve">Figure 6</w:t>
      </w:r>
    </w:p>
    <w:p>
      <w:pPr>
        <w:pStyle w:val="BodyText"/>
      </w:pPr>
      <w:r>
        <w:t xml:space="preserve">Notes for now:</w:t>
      </w:r>
    </w:p>
    <w:p>
      <w:pPr>
        <w:pStyle w:val="Compact"/>
        <w:numPr>
          <w:numId w:val="1003"/>
          <w:ilvl w:val="0"/>
        </w:numPr>
      </w:pPr>
      <w:r>
        <w:t xml:space="preserve">Model was fit to a random sample of 20 out of 106 tags to speed up computation.</w:t>
      </w:r>
    </w:p>
    <w:p>
      <w:pPr>
        <w:pStyle w:val="Compact"/>
        <w:numPr>
          <w:numId w:val="1003"/>
          <w:ilvl w:val="0"/>
        </w:numPr>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CaptionedFigure"/>
      </w:pPr>
      <w:r>
        <w:drawing>
          <wp:inline>
            <wp:extent cx="5334000" cy="3956424"/>
            <wp:effectExtent b="0" l="0" r="0" t="0"/>
            <wp:docPr descr="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fig6.png" id="0" name="Picture"/>
                    <pic:cNvPicPr>
                      <a:picLocks noChangeArrowheads="1" noChangeAspect="1"/>
                    </pic:cNvPicPr>
                  </pic:nvPicPr>
                  <pic:blipFill>
                    <a:blip r:embed="rId35"/>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6" w:name="references"/>
      <w:r>
        <w:t xml:space="preserve">References</w:t>
      </w:r>
      <w:bookmarkEnd w:id="36"/>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2020-10-13T02:43:28Z</dcterms:created>
  <dcterms:modified xsi:type="dcterms:W3CDTF">2020-10-13T02:43:28Z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