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2"/>
          <w:ilvl w:val="0"/>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3"/>
      </w:pPr>
      <w:bookmarkStart w:id="21" w:name="abstract"/>
      <w:r>
        <w:t xml:space="preserve">Abstract</w:t>
      </w:r>
      <w:bookmarkEnd w:id="21"/>
    </w:p>
    <w:p>
      <w:pPr>
        <w:pStyle w:val="FirstParagraph"/>
      </w:pPr>
      <w:r>
        <w:rPr>
          <w:b/>
        </w:rPr>
        <w:t xml:space="preserve">Keywords</w:t>
      </w:r>
      <w:r>
        <w:t xml:space="preserve">:</w:t>
      </w:r>
    </w:p>
    <w:p>
      <w:r>
        <w:br w:type="page"/>
      </w:r>
    </w:p>
    <w:p>
      <w:pPr>
        <w:pStyle w:val="Heading3"/>
      </w:pPr>
      <w:bookmarkStart w:id="22" w:name="introduction"/>
      <w:r>
        <w:t xml:space="preserve">Introduction</w:t>
      </w:r>
      <w:bookmarkEnd w:id="22"/>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In recent decades, an increase in average Spring temperature has been impacting many natural systems including forests (Parmesan &amp; Yohe, 2003; Zhihong, 2006). The effects of this Spring warming are most apparent when examining leaf phenology shifts, which have been extensively studied (Way, 2011; Klosterman &amp; Hufkins &amp; Richardson, 2018), leading to many critical observations.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Warming events later in Spring were shown to impact leaf emergence timing more than earlier Spring warming (Freidl et al, 2014) and earlier leaf emergence has been shown to cause complex lagged effects on subsequent seasonal growth in European broad leaf deciduous and mixed forests (Crabbe et al, 2016). Another study found that the velocity of leaf development is correlated to bud burst timing, such that the later in the Spring bud burst occurred, the faster leaves developed and vice versa (Klosterman &amp; Hufkins &amp; Richardson, 2018). Therefore, timing of seasonal warming could influence when bud burst occurs, and consequently, lead to variations in total CO2 sequestered by deciduous forests.</w:t>
      </w:r>
    </w:p>
    <w:p>
      <w:pPr>
        <w:pStyle w:val="BodyText"/>
      </w:pPr>
      <w:r>
        <w:t xml:space="preserve">Shifts in leaf phenology timing could be accompanied by a change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 Further to this point, a recent publication by D’Orangeville et al () found that leaf and wood phenology traits are dissimilar among trees of different wood types (ring-porous and diffuse-porous). For example, they observed that bud burst was occuring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implies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–Consequently, the Summer focused diffuse-porous trees are exposed to higher temperatures and drought risk than ring-porous trees.– If leaf development is sped up when Spring temperatures are warmer, we should seek to understand whether this relationship holds, and how it potentially varies among trees of different wood-types.</w:t>
      </w:r>
    </w:p>
    <w:p>
      <w:pPr>
        <w:pStyle w:val="BodyText"/>
      </w:pPr>
      <w:r>
        <w:t xml:space="preserve">Earlier leaf up timings could signal that these trees are shifting their peak growth windows back in response to increasing Spring temperatures, but to date, very little research, has been done on the phenology of stem-growth. In fact, we know little about the stem-growth phenology of temperate deciduous species — let alone how these are affected by changes in Spring temperature patterns. Timing of intraannual stem-growth is extremely important as it could have profound impacts on ecosystem interactions, as well as dictate periods of highest drought sensitivity in temperate forests (Foster, 2014; ). If a drought were to occur when trees were at their peak growth rates, the resulting decrease in that year’s NPP would reduce the total amount of carbon sequestered, contributing to a climate feedback loop (source?).</w:t>
      </w:r>
    </w:p>
    <w:p>
      <w:pPr>
        <w:pStyle w:val="BodyText"/>
      </w:pPr>
      <w:r>
        <w:t xml:space="preserve">While not entirely impossible, it is difficult to record intraannual growth or compare interspecific responses to Spring warming using leaf-phenology or other indirect observations. However, traditional methods of direct observation are labor intensive, and very time consuming (Source about cell sampling). A solution to this is the use of dendrometer bands. Dendrometer bands allow a look at individual trees’ intraannual growth at a fine temporal scale (source?). Using many measurements taken within a year, we can model the growth of individual trees and extract growth milestones and variables for interspecific, intraspecific, and temporal comparison (McMahon &amp; Parker, 2014). This allows the determination of variable responses of all tree species within a single forest, meaning a better understanding of future growth under projected climate conditions. Here, we use 9 years of biweekly dendrometer band measurements for 4 species to characterize intraannual stem-growth phenology within a forest dynamics plot in the Eastern USA, calculating for each tree in each year where data was available: the day of year (DOY) where 25, 50, and 75% annual growth was achieved; the maximum growth rate; the DOY where maximum growth rate was achieved; and the total growth. Correlation between these variables and Spring temperatures over the 9 year study period (2011-2019) were assessed using a linear mixed model in a heriarchal bayesian framework.</w:t>
      </w:r>
    </w:p>
    <w:p>
      <w:pPr>
        <w:pStyle w:val="BodyText"/>
      </w:pPr>
      <w:r>
        <w:t xml:space="preserve">We hypothesized that (1) stem-growth milestones would be reached earlier in warmer years as compared to cooler years and (2) both wood types would increase total growth and max growth rate in response to warmer Spring temperatures.</w:t>
      </w:r>
    </w:p>
    <w:p>
      <w:pPr>
        <w:pStyle w:val="Heading3"/>
      </w:pPr>
      <w:bookmarkStart w:id="23" w:name="materials-and-methods"/>
      <w:r>
        <w:t xml:space="preserve">Materials and Methods</w:t>
      </w:r>
      <w:bookmarkEnd w:id="23"/>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r>
        <w:t xml:space="preserve"> </w:t>
      </w: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4">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5">
        <w:r>
          <w:rPr>
            <w:rStyle w:val="Hyperlink"/>
          </w:rPr>
          <w:t xml:space="preserve">https://www.usanpn.org/news/spring</w:t>
        </w:r>
      </w:hyperlink>
      <w:r>
        <w:t xml:space="preserve">) ?</w:t>
      </w:r>
    </w:p>
    <w:p>
      <w:pPr>
        <w:pStyle w:val="BodyText"/>
      </w:pPr>
      <w:r>
        <w:t xml:space="preserve">• NDVI or PRI?</w:t>
      </w:r>
      <w:r>
        <w:t xml:space="preserve"> </w:t>
      </w:r>
      <w:hyperlink r:id="rId26">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t xml:space="preserve">• Sean’s model</w:t>
      </w:r>
    </w:p>
    <w:p>
      <w:pPr>
        <w:pStyle w:val="BodyText"/>
      </w:pPr>
      <w:r>
        <w:t xml:space="preserve">• Climwin</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rPr>
          <w:i/>
        </w:rPr>
        <w:t xml:space="preserve">Analysis</w:t>
      </w:r>
    </w:p>
    <w:p>
      <w:pPr>
        <w:pStyle w:val="BodyText"/>
      </w:pPr>
      <w:r>
        <w:t xml:space="preserve">Here, I’ll insert a reference to Sean’s paper</w:t>
      </w:r>
      <w:r>
        <w:t xml:space="preserve"> </w:t>
      </w:r>
      <w:r>
        <w:t xml:space="preserve">(McMahon &amp; Parker, 2015)</w:t>
      </w:r>
      <w:r>
        <w:t xml:space="preserve">. This is pulled from references.bib.</w:t>
      </w:r>
    </w:p>
    <w:p>
      <w:pPr>
        <w:pStyle w:val="BodyText"/>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p>
      <w:pPr>
        <w:pStyle w:val="Heading3"/>
      </w:pPr>
      <w:bookmarkStart w:id="27" w:name="results"/>
      <w:r>
        <w:t xml:space="preserve">Results</w:t>
      </w:r>
      <w:bookmarkEnd w:id="27"/>
    </w:p>
    <w:p>
      <w:pPr>
        <w:pStyle w:val="FirstParagraph"/>
      </w:pPr>
      <w:r>
        <w:t xml:space="preserve">• variable averages</w:t>
      </w:r>
    </w:p>
    <w:p>
      <w:pPr>
        <w:pStyle w:val="BodyText"/>
      </w:pPr>
      <w:r>
        <w:t xml:space="preserve">Pooled across all species and all years the average DOY where max growth rate was achieved is DOY: 158, the DOY where 25% was achieved is DOY: 129, 50% - DOY: 157, 75% - DOY:184.</w:t>
      </w:r>
    </w:p>
    <w:p>
      <w:pPr>
        <w:pStyle w:val="BodyText"/>
      </w:pPr>
      <w:r>
        <w:t xml:space="preserve">Ring-porous (1395 obs) max growth rate – DOY: 147, max growth rate = .048 (find units in Sean’s function), 25% - DOY: 113, 50% DOY: 147, 75% - DOY: 181…68 days</w:t>
      </w:r>
    </w:p>
    <w:p>
      <w:pPr>
        <w:pStyle w:val="BodyText"/>
      </w:pPr>
      <w:r>
        <w:t xml:space="preserve">Diffuse-porous (993 obs) max growth rate – DOY: 172, max growth rate = .068 (find units in Sean’s function), 25% - DOY: 153, 50% - DOY: 171, 75% - DOY: 190… 37 days</w:t>
      </w:r>
    </w:p>
    <w:p>
      <w:pPr>
        <w:pStyle w:val="BodyText"/>
      </w:pPr>
      <w:r>
        <w:t xml:space="preserve">• Climwin results</w:t>
      </w:r>
    </w:p>
    <w:p>
      <w:pPr>
        <w:pStyle w:val="BodyText"/>
      </w:pPr>
      <w:r>
        <w:t xml:space="preserve">• Accounting for random effects of species and tag, pre-season temperatures had a greater effect on ring-porous species than diffuse-porous.</w:t>
      </w:r>
    </w:p>
    <w:p>
      <w:pPr>
        <w:pStyle w:val="Heading3"/>
      </w:pPr>
      <w:bookmarkStart w:id="28" w:name="discussion"/>
      <w:r>
        <w:t xml:space="preserve">Discussion</w:t>
      </w:r>
      <w:bookmarkEnd w:id="28"/>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Heading3"/>
      </w:pPr>
      <w:bookmarkStart w:id="29" w:name="acknowledgements"/>
      <w:r>
        <w:t xml:space="preserve">Acknowledgements</w:t>
      </w:r>
      <w:bookmarkEnd w:id="29"/>
    </w:p>
    <w:p>
      <w:pPr>
        <w:pStyle w:val="FirstParagraph"/>
      </w:pPr>
      <w:r>
        <w:t xml:space="preserve">ForestGEO</w:t>
      </w:r>
    </w:p>
    <w:p>
      <w:pPr>
        <w:pStyle w:val="Heading3"/>
      </w:pPr>
      <w:bookmarkStart w:id="30" w:name="authors-contributions"/>
      <w:r>
        <w:t xml:space="preserve">Authors’ contributions</w:t>
      </w:r>
      <w:bookmarkEnd w:id="30"/>
    </w:p>
    <w:p>
      <w:pPr>
        <w:pStyle w:val="Heading3"/>
      </w:pPr>
      <w:bookmarkStart w:id="31" w:name="figures"/>
      <w:r>
        <w:t xml:space="preserve">Figures</w:t>
      </w:r>
      <w:bookmarkEnd w:id="31"/>
    </w:p>
    <w:p>
      <w:pPr>
        <w:pStyle w:val="FirstParagraph"/>
      </w:pPr>
      <w:r>
        <w:rPr>
          <w:b/>
        </w:rPr>
        <w:t xml:space="preserve">Figure 1</w:t>
      </w:r>
    </w:p>
    <w:p>
      <w:pPr>
        <w:pStyle w:val="BodyText"/>
      </w:pPr>
      <w:r>
        <w:t xml:space="preserve">Based on D’Orangeville Figure 1</w:t>
      </w:r>
    </w:p>
    <w:p>
      <w:pPr>
        <w:pStyle w:val="CaptionedFigure"/>
      </w:pPr>
      <w:r>
        <w:drawing>
          <wp:inline>
            <wp:extent cx="5334000" cy="3507105"/>
            <wp:effectExtent b="0" l="0" r="0" t="0"/>
            <wp:docPr descr="Logistic growth model" title="" id="1" name="Picture"/>
            <a:graphic>
              <a:graphicData uri="http://schemas.openxmlformats.org/drawingml/2006/picture">
                <pic:pic>
                  <pic:nvPicPr>
                    <pic:cNvPr descr="tables_figures/fig1.png" id="0" name="Picture"/>
                    <pic:cNvPicPr>
                      <a:picLocks noChangeArrowheads="1" noChangeAspect="1"/>
                    </pic:cNvPicPr>
                  </pic:nvPicPr>
                  <pic:blipFill>
                    <a:blip r:embed="rId32"/>
                    <a:stretch>
                      <a:fillRect/>
                    </a:stretch>
                  </pic:blipFill>
                  <pic:spPr bwMode="auto">
                    <a:xfrm>
                      <a:off x="0" y="0"/>
                      <a:ext cx="5334000" cy="3507105"/>
                    </a:xfrm>
                    <a:prstGeom prst="rect">
                      <a:avLst/>
                    </a:prstGeom>
                    <a:noFill/>
                    <a:ln w="9525">
                      <a:noFill/>
                      <a:headEnd/>
                      <a:tailEnd/>
                    </a:ln>
                  </pic:spPr>
                </pic:pic>
              </a:graphicData>
            </a:graphic>
          </wp:inline>
        </w:drawing>
      </w:r>
    </w:p>
    <w:p>
      <w:pPr>
        <w:pStyle w:val="ImageCaption"/>
      </w:pPr>
      <w:r>
        <w:t xml:space="preserve">Logistic growth model</w:t>
      </w:r>
    </w:p>
    <w:p>
      <w:pPr>
        <w:pStyle w:val="BodyText"/>
      </w:pPr>
      <w:r>
        <w:rPr>
          <w:b/>
        </w:rPr>
        <w:t xml:space="preserve">Figure 2</w:t>
      </w:r>
    </w:p>
    <w:p>
      <w:pPr>
        <w:pStyle w:val="BodyText"/>
      </w:pPr>
      <w:r>
        <w:t xml:space="preserve">Based on D’Orangeville Figure 3.a), but with relative growth</w:t>
      </w:r>
    </w:p>
    <w:p>
      <w:pPr>
        <w:pStyle w:val="CaptionedFigure"/>
      </w:pPr>
      <w:r>
        <w:drawing>
          <wp:inline>
            <wp:extent cx="5334000" cy="3508586"/>
            <wp:effectExtent b="0" l="0" r="0" t="0"/>
            <wp:docPr descr="Percent total (modeled) growth" title="" id="1" name="Picture"/>
            <a:graphic>
              <a:graphicData uri="http://schemas.openxmlformats.org/drawingml/2006/picture">
                <pic:pic>
                  <pic:nvPicPr>
                    <pic:cNvPr descr="tables_figures/fig2.png" id="0" name="Picture"/>
                    <pic:cNvPicPr>
                      <a:picLocks noChangeArrowheads="1" noChangeAspect="1"/>
                    </pic:cNvPicPr>
                  </pic:nvPicPr>
                  <pic:blipFill>
                    <a:blip r:embed="rId33"/>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Percent total (modeled) growth</w:t>
      </w:r>
    </w:p>
    <w:p>
      <w:pPr>
        <w:pStyle w:val="BodyText"/>
      </w:pPr>
      <w:r>
        <w:rPr>
          <w:b/>
        </w:rPr>
        <w:t xml:space="preserve">Figure 3</w:t>
      </w:r>
    </w:p>
    <w:p>
      <w:pPr>
        <w:pStyle w:val="BodyText"/>
      </w:pPr>
      <w:r>
        <w:t xml:space="preserve">Similar to D’Orangeville Figure 4.a), but with cummalative relative growth</w:t>
      </w:r>
    </w:p>
    <w:p>
      <w:pPr>
        <w:pStyle w:val="CaptionedFigure"/>
      </w:pPr>
      <w:r>
        <w:drawing>
          <wp:inline>
            <wp:extent cx="5334000" cy="3508586"/>
            <wp:effectExtent b="0" l="0" r="0" t="0"/>
            <wp:docPr descr="Cummulative percent total (modeled) growth" title="" id="1" name="Picture"/>
            <a:graphic>
              <a:graphicData uri="http://schemas.openxmlformats.org/drawingml/2006/picture">
                <pic:pic>
                  <pic:nvPicPr>
                    <pic:cNvPr descr="tables_figures/fig3.png" id="0" name="Picture"/>
                    <pic:cNvPicPr>
                      <a:picLocks noChangeArrowheads="1" noChangeAspect="1"/>
                    </pic:cNvPicPr>
                  </pic:nvPicPr>
                  <pic:blipFill>
                    <a:blip r:embed="rId34"/>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Cummulative percent total (modeled) growth</w:t>
      </w:r>
    </w:p>
    <w:p>
      <w:pPr>
        <w:pStyle w:val="BodyText"/>
      </w:pPr>
      <w:r>
        <w:rPr>
          <w:b/>
        </w:rPr>
        <w:t xml:space="preserve">Figure 4</w:t>
      </w:r>
    </w:p>
    <w:p>
      <w:pPr>
        <w:pStyle w:val="BodyText"/>
      </w:pPr>
      <w:r>
        <w:rPr>
          <w:b/>
        </w:rPr>
        <w:t xml:space="preserve">Figure 5</w:t>
      </w:r>
    </w:p>
    <w:p>
      <w:pPr>
        <w:pStyle w:val="BodyText"/>
      </w:pPr>
      <w:r>
        <w:rPr>
          <w:b/>
        </w:rPr>
        <w:t xml:space="preserve">Figure 6</w:t>
      </w:r>
    </w:p>
    <w:p>
      <w:pPr>
        <w:pStyle w:val="BodyText"/>
      </w:pPr>
      <w:r>
        <w:t xml:space="preserve">Notes for now:</w:t>
      </w:r>
    </w:p>
    <w:p>
      <w:pPr>
        <w:pStyle w:val="Compact"/>
        <w:numPr>
          <w:numId w:val="1003"/>
          <w:ilvl w:val="0"/>
        </w:numPr>
      </w:pPr>
      <w:r>
        <w:t xml:space="preserve">Model was fit to a random sample of 20 out of 106 tags to speed up computation.</w:t>
      </w:r>
    </w:p>
    <w:p>
      <w:pPr>
        <w:pStyle w:val="Compact"/>
        <w:numPr>
          <w:numId w:val="1003"/>
          <w:ilvl w:val="0"/>
        </w:numPr>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p>
    <w:p>
      <w:pPr>
        <w:pStyle w:val="Compact"/>
        <w:numPr>
          <w:numId w:val="1003"/>
          <w:ilvl w:val="0"/>
        </w:numPr>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pStyle w:val="Compact"/>
        <w:numPr>
          <w:numId w:val="1004"/>
          <w:ilvl w:val="1"/>
        </w:numPr>
      </w:pPr>
      <w:r>
        <w:t xml:space="preserve">Fixed effects: The interaction between wood type (diffuse vs ring porous) and climwin mean</w:t>
      </w:r>
    </w:p>
    <w:p>
      <w:pPr>
        <w:pStyle w:val="Compact"/>
        <w:numPr>
          <w:numId w:val="1004"/>
          <w:ilvl w:val="1"/>
        </w:numPr>
      </w:pPr>
      <w:r>
        <w:t xml:space="preserve">Random effects: tag number (no species just yet)</w:t>
      </w:r>
    </w:p>
    <w:p>
      <w:pPr>
        <w:pStyle w:val="CaptionedFigure"/>
      </w:pPr>
      <w:r>
        <w:drawing>
          <wp:inline>
            <wp:extent cx="5334000" cy="3956424"/>
            <wp:effectExtent b="0" l="0" r="0" t="0"/>
            <wp:docPr descr="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fig6.png" id="0" name="Picture"/>
                    <pic:cNvPicPr>
                      <a:picLocks noChangeArrowheads="1" noChangeAspect="1"/>
                    </pic:cNvPicPr>
                  </pic:nvPicPr>
                  <pic:blipFill>
                    <a:blip r:embed="rId35"/>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Heading3"/>
      </w:pPr>
      <w:bookmarkStart w:id="36" w:name="references"/>
      <w:r>
        <w:t xml:space="preserve">References</w:t>
      </w:r>
      <w:bookmarkEnd w:id="36"/>
    </w:p>
    <w:bookmarkStart w:id="39" w:name="refs"/>
    <w:bookmarkStart w:id="3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7">
        <w:r>
          <w:rPr>
            <w:rStyle w:val="Hyperlink"/>
          </w:rPr>
          <w:t xml:space="preserve">https://doi.org/10.1002/ece3.1117</w:t>
        </w:r>
      </w:hyperlink>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2020-10-15T20:54:06Z</dcterms:created>
  <dcterms:modified xsi:type="dcterms:W3CDTF">2020-10-15T20:54:06Z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