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36.png" ContentType="image/png"/>
  <Override PartName="/word/media/rId35.png" ContentType="image/png"/>
  <Override PartName="/word/media/rId37.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numPr>
          <w:ilvl w:val="0"/>
          <w:numId w:val="1001"/>
        </w:numPr>
        <w:pStyle w:val="Compact"/>
      </w:pPr>
      <w:r>
        <w:t xml:space="preserve">Conservation Ecology Center; Smithsonian Conservation Biology Institute; Front Royal, VA 22630, USA</w:t>
      </w:r>
    </w:p>
    <w:p>
      <w:pPr>
        <w:numPr>
          <w:ilvl w:val="0"/>
          <w:numId w:val="1002"/>
        </w:numPr>
        <w:pStyle w:val="Compact"/>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abstract"/>
    <w:p>
      <w:pPr>
        <w:pStyle w:val="Heading3"/>
      </w:pPr>
      <w:r>
        <w:t xml:space="preserve">Abstract</w:t>
      </w:r>
    </w:p>
    <w:p>
      <w:pPr>
        <w:pStyle w:val="FirstParagraph"/>
      </w:pPr>
      <w:r>
        <w:rPr>
          <w:b/>
        </w:rPr>
        <w:t xml:space="preserve">Keywords</w:t>
      </w:r>
      <w:r>
        <w:t xml:space="preserve">:</w:t>
      </w:r>
    </w:p>
    <w:p>
      <w:r>
        <w:br w:type="page"/>
      </w:r>
    </w:p>
    <w:bookmarkEnd w:id="21"/>
    <w:bookmarkStart w:id="28" w:name="introduction"/>
    <w:p>
      <w:pPr>
        <w:pStyle w:val="Heading3"/>
      </w:pPr>
      <w:r>
        <w:t xml:space="preserve">Introduction</w:t>
      </w:r>
    </w:p>
    <w:bookmarkStart w:id="22" w:name="X660eb9b5071899a1078d478a7b98063919019bb"/>
    <w:p>
      <w:pPr>
        <w:pStyle w:val="Heading4"/>
      </w:pPr>
      <w:r>
        <w:t xml:space="preserve">(1. 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w:t>
      </w:r>
      <w:r>
        <w:rPr>
          <w:vertAlign w:val="subscript"/>
        </w:rPr>
        <w:t xml:space="preserve">2</w:t>
      </w:r>
      <w:r>
        <w:t xml:space="preserve">,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4"/>
      </w:pPr>
      <w:r>
        <w:t xml:space="preserve">(2. spring temperatures are rising, and this is affecting leaf phenology and carbon cycling)</w:t>
      </w:r>
    </w:p>
    <w:p>
      <w:pPr>
        <w:pStyle w:val="FirstParagraph"/>
      </w:pPr>
      <w:r>
        <w:t xml:space="preserve">In recent decades, an increase in average Spring temperature has been impacting many natural systems including forests (Parmesan &amp; Yohe, 2003; Zhihong, 2006).** The effects of this Spring warming are most apparent when examining leaf phenology shifts,</w:t>
      </w:r>
      <w:r>
        <w:t xml:space="preserve"> </w:t>
      </w:r>
      <w:r>
        <w:rPr>
          <w:i/>
        </w:rPr>
        <w:t xml:space="preserve">which have been extensively studied (Way, 2011; Klosterman &amp; Hufkins &amp; Richardson, 2018), leading to many critical observations</w:t>
      </w:r>
      <w:r>
        <w:t xml:space="preserve">.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(Crabbe et al, 2016).</w:t>
      </w:r>
    </w:p>
    <w:bookmarkEnd w:id="23"/>
    <w:bookmarkStart w:id="24" w:name="X3392c3350558a55138fccfecaf342085b00d3ad"/>
    <w:p>
      <w:pPr>
        <w:pStyle w:val="Heading4"/>
      </w:pPr>
      <w:r>
        <w:t xml:space="preserve">(3. However, we don’t know how warming springs affect stem-growth, which matters because the C allocated to stem growth will be retained in the ecosystem for decades to millenia )</w:t>
      </w:r>
    </w:p>
    <w:p>
      <w:pPr>
        <w:pStyle w:val="FirstParagraph"/>
      </w:pPr>
      <w:r>
        <w:t xml:space="preserve">Shifts in leaf phenology timing could be accompanied by changes in stem-growth phenology, which would likely affect woody productivity, carbon and nutrient cycling, and water use patterns in temperate forests (Keeling et al, 1996;). However, the fine-scale responses of temperate deciduous tree growth to a warming Spring are not commonly recorded due to the increased effort required (). 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w:t>
      </w:r>
    </w:p>
    <w:p>
      <w:pPr>
        <w:pStyle w:val="BodyText"/>
      </w:pPr>
      <w:r>
        <w:t xml:space="preserve">Tree-ring records give some hints that warmer springs may increase annual growth (Helcoski et al. 2019), but tree-rings tell us nothing about the timing of that growth. Timing of intraannual stem-growth is extremely important as well.</w:t>
      </w:r>
    </w:p>
    <w:p>
      <w:pPr>
        <w:pStyle w:val="BodyText"/>
      </w:pPr>
      <w:r>
        <w:t xml:space="preserve">Earlier leaf up timings could signal that these trees are shifting their growth windows in response to increasing Spring temperatures, but to date, very little research has been done on topics like these. In fact, we know little about the stem-growth phenology of temperate deciduous species — let alone how these are affected by changes in Spring temperature patterns. Warming events in late-Spring were shown to shift leaf emergence timing back more than early-Spring warming (Freidl et al, 2014) and earlier leaf emergence has been shown to cause complex lagged effects on subsequent seasonal growth in European broad leaf deciduous and mixed forests (Crabbe et al, 2016). Identifying the pre-season period of greatest sensitivity of intraannual growth, along with the effect warming within that period has on other stem phenology traits could help unravel the mysteries of tree growth.</w:t>
      </w:r>
    </w:p>
    <w:bookmarkEnd w:id="24"/>
    <w:bookmarkStart w:id="25" w:name="Xa41eb0e22d6bf5c223bb3aff53cf0ee87481062"/>
    <w:p>
      <w:pPr>
        <w:pStyle w:val="Heading4"/>
      </w:pPr>
      <w:r>
        <w:t xml:space="preserve">(4. We also know little about differences across species or functional groups, which matters because it will affect how different species fare under climate change )</w:t>
      </w:r>
    </w:p>
    <w:p>
      <w:pPr>
        <w:pStyle w:val="FirstParagraph"/>
      </w:pPr>
      <w:r>
        <w:t xml:space="preserve">A recent publication by D’Orangeville et al () found that leaf and wood phenology traits, along with their apparent relationships, are dissimilar among trees of different wood types (ring-porous and diffuse-porous). For example, they observed that bud burst was occurring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whether this relationship holds, and how it potentially varies among trees of different wood-types.</w:t>
      </w:r>
    </w:p>
    <w:bookmarkEnd w:id="25"/>
    <w:bookmarkStart w:id="27" w:name="here-we"/>
    <w:p>
      <w:pPr>
        <w:pStyle w:val="Heading4"/>
      </w:pPr>
      <w:r>
        <w:t xml:space="preserve">(5. Here, we…)</w:t>
      </w:r>
    </w:p>
    <w:p>
      <w:pPr>
        <w:pStyle w:val="FirstParagraph"/>
      </w:pPr>
      <w:r>
        <w:t xml:space="preserve">Here, we characterize how early spring temperatures affect stem growth phenology and rates of temperate deciduous trees within</w:t>
      </w:r>
      <w:r>
        <w:t xml:space="preserve"> </w:t>
      </w:r>
      <w:r>
        <w:rPr>
          <w:b/>
        </w:rPr>
        <w:t xml:space="preserve">two/three</w:t>
      </w:r>
      <w:r>
        <w:t xml:space="preserve"> </w:t>
      </w:r>
      <w:r>
        <w:t xml:space="preserve">forest dynamics plots in the Eastern USA. Using data from dendrometer bands measured throughout the growing season, we fit a growth model to the time series of individual trees to determine the day of year (DOY) where 25, 50, and 75% annual growth was achieved; maximum growth rates and the DOY on which they occurred; total annual growth; and peak growing season length (75%-25% DOY)</w:t>
      </w:r>
      <w:r>
        <w:t xml:space="preserve"> </w:t>
      </w:r>
      <w:r>
        <w:t xml:space="preserve">(Fig. 1; McMahon &amp; Parker, 2015)</w:t>
      </w:r>
      <w:r>
        <w:t xml:space="preserve">. We test the hypotheses that (1) warmer early springs result in earlier stem growth and a period of growth, but (2) maximum growth rates are independent of spring temperatures, and as a result (3) total annual growth increases in response to warmer spring temperatures (Table 1).</w:t>
      </w:r>
    </w:p>
    <w:p>
      <w:pPr>
        <w:pStyle w:val="CaptionedFigure"/>
      </w:pPr>
      <w:r>
        <w:drawing>
          <wp:inline>
            <wp:extent cx="5334000" cy="4301143"/>
            <wp:effectExtent b="0" l="0" r="0" t="0"/>
            <wp:docPr descr="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6"/>
                    <a:stretch>
                      <a:fillRect/>
                    </a:stretch>
                  </pic:blipFill>
                  <pic:spPr bwMode="auto">
                    <a:xfrm>
                      <a:off x="0" y="0"/>
                      <a:ext cx="5334000" cy="4301143"/>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w:t>
      </w:r>
    </w:p>
    <w:p>
      <w:pPr>
        <w:pStyle w:val="TableCaption"/>
      </w:pPr>
      <w:r>
        <w:t xml:space="preserve">Table 1. Hypothesis table. (NEEDS FORMATTING…obviously!)</w:t>
      </w:r>
    </w:p>
    <w:tbl>
      <w:tblPr>
        <w:tblStyle w:val="Table"/>
        <w:tblW w:type="pct" w:w="5000.0"/>
        <w:tblLook w:firstRow="1" w:lastRow="0" w:firstColumn="0" w:lastColumn="0" w:noHBand="0" w:noVBand="0"/>
        <w:tblCaption w:val="Table 1. Hypothesis table. (NEEDS FORMATTING…obviously!)"/>
      </w:tblPr>
      <w:tblGrid>
        <w:gridCol w:w="5739"/>
        <w:gridCol w:w="459"/>
        <w:gridCol w:w="459"/>
        <w:gridCol w:w="631"/>
        <w:gridCol w:w="631"/>
      </w:tblGrid>
      <w:tr>
        <w:trPr>
          <w:cnfStyle w:firstRow="1"/>
        </w:trPr>
        <w:tc>
          <w:tcPr>
            <w:tcBorders>
              <w:bottom w:val="single"/>
            </w:tcBorders>
            <w:vAlign w:val="bottom"/>
          </w:tcPr>
          <w:p>
            <w:pPr>
              <w:pStyle w:val="Compact"/>
              <w:jc w:val="left"/>
            </w:pPr>
            <w:r>
              <w:t xml:space="preserve">Hypotheses…Specific.Predictions</w:t>
            </w:r>
          </w:p>
        </w:tc>
        <w:tc>
          <w:tcPr>
            <w:tcBorders>
              <w:bottom w:val="single"/>
            </w:tcBorders>
            <w:vAlign w:val="bottom"/>
          </w:tcPr>
          <w:p>
            <w:pPr>
              <w:pStyle w:val="Compact"/>
              <w:jc w:val="left"/>
            </w:pPr>
            <w:r>
              <w:t xml:space="preserve">SCBI.RP</w:t>
            </w:r>
          </w:p>
        </w:tc>
        <w:tc>
          <w:tcPr>
            <w:tcBorders>
              <w:bottom w:val="single"/>
            </w:tcBorders>
            <w:vAlign w:val="bottom"/>
          </w:tcPr>
          <w:p>
            <w:pPr>
              <w:pStyle w:val="Compact"/>
              <w:jc w:val="left"/>
            </w:pPr>
            <w:r>
              <w:t xml:space="preserve">SCBI.DP</w:t>
            </w:r>
          </w:p>
        </w:tc>
        <w:tc>
          <w:tcPr>
            <w:tcBorders>
              <w:bottom w:val="single"/>
            </w:tcBorders>
            <w:vAlign w:val="bottom"/>
          </w:tcPr>
          <w:p>
            <w:pPr>
              <w:pStyle w:val="Compact"/>
              <w:jc w:val="left"/>
            </w:pPr>
            <w:r>
              <w:t xml:space="preserve">Harvard.RP</w:t>
            </w:r>
          </w:p>
        </w:tc>
        <w:tc>
          <w:tcPr>
            <w:tcBorders>
              <w:bottom w:val="single"/>
            </w:tcBorders>
            <w:vAlign w:val="bottom"/>
          </w:tcPr>
          <w:p>
            <w:pPr>
              <w:pStyle w:val="Compact"/>
              <w:jc w:val="left"/>
            </w:pPr>
            <w:r>
              <w:t xml:space="preserve">Harvard.DP</w:t>
            </w:r>
          </w:p>
        </w:tc>
      </w:tr>
      <w:tr>
        <w:tc>
          <w:p>
            <w:pPr>
              <w:pStyle w:val="Compact"/>
              <w:jc w:val="left"/>
            </w:pPr>
            <w:r>
              <w:t xml:space="preserve">1. Warmer early springs result in earlier stem growth and longer growing seasons</w:t>
            </w:r>
          </w:p>
        </w:tc>
        <w:tc>
          <w:p/>
        </w:tc>
        <w:tc>
          <w:p/>
        </w:tc>
        <w:tc>
          <w:p/>
        </w:tc>
        <w:tc>
          <w:p/>
        </w:tc>
      </w:tr>
      <w:tr>
        <w:tc>
          <w:p>
            <w:pPr>
              <w:pStyle w:val="Compact"/>
              <w:jc w:val="left"/>
            </w:pPr>
            <w:r>
              <w:t xml:space="preserve">- DOY25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DOY50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DOY75 is negatively correlated with early spring T.</w:t>
            </w:r>
          </w:p>
        </w:tc>
        <w:tc>
          <w:p>
            <w:pPr>
              <w:pStyle w:val="Compact"/>
              <w:jc w:val="left"/>
            </w:pPr>
            <w:r>
              <w:t xml:space="preserve">-</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 of max growth rate is negatively correlated with early spring T</w:t>
            </w:r>
          </w:p>
        </w:tc>
        <w:tc>
          <w:p/>
        </w:tc>
        <w:tc>
          <w:p/>
        </w:tc>
        <w:tc>
          <w:p/>
        </w:tc>
        <w:tc>
          <w:p/>
        </w:tc>
      </w:tr>
      <w:tr>
        <w:tc>
          <w:p>
            <w:pPr>
              <w:pStyle w:val="Compact"/>
              <w:jc w:val="left"/>
            </w:pPr>
            <w:r>
              <w:t xml:space="preserve">- Peak growing season length (DOY75-DOY25) is positively correlated with early spring temperatures.</w:t>
            </w:r>
          </w:p>
        </w:tc>
        <w:tc>
          <w:p/>
        </w:tc>
        <w:tc>
          <w:p/>
        </w:tc>
        <w:tc>
          <w:p/>
        </w:tc>
        <w:tc>
          <w:p/>
        </w:tc>
      </w:tr>
      <w:tr>
        <w:tc>
          <w:p>
            <w:pPr>
              <w:pStyle w:val="Compact"/>
              <w:jc w:val="left"/>
            </w:pPr>
            <w:r>
              <w:t xml:space="preserve">2. Maximum growth rates are independent of early spring temperatures.</w:t>
            </w:r>
          </w:p>
        </w:tc>
        <w:tc>
          <w:p/>
        </w:tc>
        <w:tc>
          <w:p/>
        </w:tc>
        <w:tc>
          <w:p/>
        </w:tc>
        <w:tc>
          <w:p/>
        </w:tc>
      </w:tr>
      <w:tr>
        <w:tc>
          <w:p>
            <w:pPr>
              <w:pStyle w:val="Compact"/>
              <w:jc w:val="left"/>
            </w:pPr>
            <w:r>
              <w:t xml:space="preserve">- Max growth rate is independent of early spring temperatures.</w:t>
            </w:r>
          </w:p>
        </w:tc>
        <w:tc>
          <w:p/>
        </w:tc>
        <w:tc>
          <w:p/>
        </w:tc>
        <w:tc>
          <w:p/>
        </w:tc>
        <w:tc>
          <w:p/>
        </w:tc>
      </w:tr>
      <w:tr>
        <w:tc>
          <w:p>
            <w:pPr>
              <w:pStyle w:val="Compact"/>
              <w:jc w:val="left"/>
            </w:pPr>
            <w:r>
              <w:t xml:space="preserve">3. Annual stem growth responds positively to warmer spring temperatures.</w:t>
            </w:r>
          </w:p>
        </w:tc>
        <w:tc>
          <w:p/>
        </w:tc>
        <w:tc>
          <w:p/>
        </w:tc>
        <w:tc>
          <w:p/>
        </w:tc>
        <w:tc>
          <w:p/>
        </w:tc>
      </w:tr>
      <w:tr>
        <w:tc>
          <w:p>
            <w:pPr>
              <w:pStyle w:val="Compact"/>
              <w:jc w:val="left"/>
            </w:pPr>
            <w:r>
              <w:t xml:space="preserve">- Annual growth is positively correlated with early spring temperatures.</w:t>
            </w:r>
          </w:p>
        </w:tc>
        <w:tc>
          <w:p>
            <w:pPr>
              <w:pStyle w:val="Compact"/>
              <w:jc w:val="left"/>
            </w:pPr>
            <w:r>
              <w:t xml:space="preserve">yes</w:t>
            </w:r>
          </w:p>
        </w:tc>
        <w:tc>
          <w:p>
            <w:pPr>
              <w:pStyle w:val="Compact"/>
              <w:jc w:val="left"/>
            </w:pPr>
            <w:r>
              <w:t xml:space="preserve">yes</w:t>
            </w:r>
          </w:p>
        </w:tc>
        <w:tc>
          <w:p>
            <w:pPr>
              <w:pStyle w:val="Compact"/>
              <w:jc w:val="left"/>
            </w:pPr>
            <w:r>
              <w:t xml:space="preserve">-</w:t>
            </w:r>
          </w:p>
        </w:tc>
        <w:tc>
          <w:p>
            <w:pPr>
              <w:pStyle w:val="Compact"/>
              <w:jc w:val="left"/>
            </w:pPr>
            <w:r>
              <w:t xml:space="preserve">-</w:t>
            </w:r>
          </w:p>
        </w:tc>
      </w:tr>
    </w:tbl>
    <w:bookmarkEnd w:id="27"/>
    <w:bookmarkEnd w:id="28"/>
    <w:bookmarkStart w:id="34" w:name="materials-and-methods"/>
    <w:p>
      <w:pPr>
        <w:pStyle w:val="Heading3"/>
      </w:pPr>
      <w:r>
        <w:t xml:space="preserve">Materials and Methods</w:t>
      </w:r>
    </w:p>
    <w:bookmarkStart w:id="30" w:name="study-sites-and-data"/>
    <w:p>
      <w:pPr>
        <w:pStyle w:val="Heading4"/>
      </w:pPr>
      <w:r>
        <w:t xml:space="preserve">Study sites and data</w:t>
      </w:r>
    </w:p>
    <w:p>
      <w:pPr>
        <w:pStyle w:val="FirstParagraph"/>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with a digital caliper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 Four main species were sampled including two diffuse-porous (Lirodendron tulipfera and Fagus grandafolia) and two ring-porous (Quercus rubra and Quercus alba) species.</w:t>
      </w:r>
      <w:r>
        <w:t xml:space="preserve"> </w:t>
      </w:r>
      <w:r>
        <w:rPr>
          <w:i/>
        </w:rPr>
        <w:t xml:space="preserve">(summary of how bands were distributed across species, focusing on ring/ diffuse porous distinction. details in an SI table)</w:t>
      </w:r>
    </w:p>
    <w:p>
      <w:pPr>
        <w:pStyle w:val="BodyText"/>
      </w:pPr>
      <w:r>
        <w:t xml:space="preserve">(5 years @ Harvard Forest, 10 @ SCBI)</w:t>
      </w:r>
    </w:p>
    <w:p>
      <w:pPr>
        <w:pStyle w:val="BodyText"/>
      </w:pPr>
      <w:r>
        <w:t xml:space="preserve">(Bands 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(Bands used after minimum growth checks:</w:t>
      </w:r>
      <w:r>
        <w:t xml:space="preserve"> </w:t>
      </w:r>
      <w:r>
        <w:t xml:space="preserve">1 2011 84</w:t>
      </w:r>
      <w:r>
        <w:t xml:space="preserve"> </w:t>
      </w:r>
      <w:r>
        <w:t xml:space="preserve">2 2012 84</w:t>
      </w:r>
      <w:r>
        <w:t xml:space="preserve"> </w:t>
      </w:r>
      <w:r>
        <w:t xml:space="preserve">3 2013 100</w:t>
      </w:r>
      <w:r>
        <w:t xml:space="preserve"> </w:t>
      </w:r>
      <w:r>
        <w:t xml:space="preserve">4 2014 100</w:t>
      </w:r>
      <w:r>
        <w:t xml:space="preserve"> </w:t>
      </w:r>
      <w:r>
        <w:t xml:space="preserve">5 2015 96</w:t>
      </w:r>
      <w:r>
        <w:t xml:space="preserve"> </w:t>
      </w:r>
      <w:r>
        <w:t xml:space="preserve">6 2016 94</w:t>
      </w:r>
      <w:r>
        <w:t xml:space="preserve"> </w:t>
      </w:r>
      <w:r>
        <w:t xml:space="preserve">7 2017 89</w:t>
      </w:r>
      <w:r>
        <w:t xml:space="preserve"> </w:t>
      </w:r>
      <w:r>
        <w:t xml:space="preserve">8 2018 88</w:t>
      </w:r>
      <w:r>
        <w:t xml:space="preserve"> </w:t>
      </w:r>
      <w:r>
        <w:t xml:space="preserve">9 2019 75) this seems like alot are being thrown out - manually check if WAI</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The median start date was 4/14, which was adjusted when early leaf-out of understory shrubs and herbs was observed, and the median end date was 10/17, coinciding with late senesence in the plot. The earliest start date for intraannual measurements was in 2020 on March 30, and the latest end date was on 2012 on November 26.</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p>
    <w:bookmarkEnd w:id="30"/>
    <w:bookmarkStart w:id="31" w:name="fitting-growth-curves"/>
    <w:p>
      <w:pPr>
        <w:pStyle w:val="Heading4"/>
      </w:pPr>
      <w:r>
        <w:t xml:space="preserve">Fitting growth curves</w:t>
      </w:r>
    </w:p>
    <w:p>
      <w:pPr>
        <w:pStyle w:val="FirstParagraph"/>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bookmarkEnd w:id="31"/>
    <w:bookmarkStart w:id="32" w:name="determining-optimal-climate-windows"/>
    <w:p>
      <w:pPr>
        <w:pStyle w:val="Heading4"/>
      </w:pPr>
      <w:r>
        <w:t xml:space="preserve">Determining optimal climate windows</w:t>
      </w:r>
    </w:p>
    <w:p>
      <w:pPr>
        <w:pStyle w:val="FirstParagraph"/>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bookmarkEnd w:id="32"/>
    <w:bookmarkStart w:id="33" w:name="hypothesis-testing"/>
    <w:p>
      <w:pPr>
        <w:pStyle w:val="Heading4"/>
      </w:pPr>
      <w:r>
        <w:t xml:space="preserve">Hypothesis testing</w:t>
      </w:r>
    </w:p>
    <w:p>
      <w:pPr>
        <w:pStyle w:val="FirstParagraph"/>
      </w:pPr>
      <w:r>
        <w:t xml:space="preserve">Correlation between these variables and Spring temperatures over the 15 year study period (1998-2003; 2011-2019) were assessed using a linear mixed model in a heriarchal bayesian framework.</w:t>
      </w:r>
    </w:p>
    <w:p>
      <w:pPr>
        <w:pStyle w:val="BodyText"/>
      </w:pPr>
      <w:r>
        <w:t xml:space="preserve">Notes for now:</w:t>
      </w:r>
    </w:p>
    <w:p>
      <w:pPr>
        <w:numPr>
          <w:ilvl w:val="0"/>
          <w:numId w:val="1003"/>
        </w:numPr>
        <w:pStyle w:val="Compact"/>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numPr>
          <w:ilvl w:val="1"/>
          <w:numId w:val="1004"/>
        </w:numPr>
        <w:pStyle w:val="Compact"/>
      </w:pPr>
      <w:r>
        <w:t xml:space="preserve">Fixed effects: The interaction between wood type (diffuse vs ring porous) and climwin mean</w:t>
      </w:r>
    </w:p>
    <w:p>
      <w:pPr>
        <w:numPr>
          <w:ilvl w:val="1"/>
          <w:numId w:val="1004"/>
        </w:numPr>
        <w:pStyle w:val="Compact"/>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bookmarkEnd w:id="33"/>
    <w:bookmarkEnd w:id="34"/>
    <w:bookmarkStart w:id="38" w:name="results"/>
    <w:p>
      <w:pPr>
        <w:pStyle w:val="Heading3"/>
      </w:pPr>
      <w:r>
        <w:t xml:space="preserve">Results</w:t>
      </w:r>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2743464"/>
            <wp:effectExtent b="0" l="0" r="0" t="0"/>
            <wp:docPr descr="Figure 2. Growth trajectories for ring- and diffuse-porous trees, as both relative and cumulative fractions of total annual growth. Each line represents one year’s growth for a given tree, fit with McMahon model." title="" id="1" name="Picture"/>
            <a:graphic>
              <a:graphicData uri="http://schemas.openxmlformats.org/drawingml/2006/picture">
                <pic:pic>
                  <pic:nvPicPr>
                    <pic:cNvPr descr="tables_figures/growth_curves_all.png" id="0" name="Picture"/>
                    <pic:cNvPicPr>
                      <a:picLocks noChangeArrowheads="1" noChangeAspect="1"/>
                    </pic:cNvPicPr>
                  </pic:nvPicPr>
                  <pic:blipFill>
                    <a:blip r:embed="rId35"/>
                    <a:stretch>
                      <a:fillRect/>
                    </a:stretch>
                  </pic:blipFill>
                  <pic:spPr bwMode="auto">
                    <a:xfrm>
                      <a:off x="0" y="0"/>
                      <a:ext cx="5334000" cy="2743464"/>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and cumulative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S3, S4).</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754143"/>
            <wp:effectExtent b="0" l="0" r="0" t="0"/>
            <wp:docPr descr="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i.e., that with lowest dAIC). (REPLOT ON THE SAME SCALE, WITH BLUE FOR POSITIVE AND RED FOR NEGATIVE)" title="" id="1" name="Picture"/>
            <a:graphic>
              <a:graphicData uri="http://schemas.openxmlformats.org/drawingml/2006/picture">
                <pic:pic>
                  <pic:nvPicPr>
                    <pic:cNvPr descr="tables_figures/climwin.png" id="0" name="Picture"/>
                    <pic:cNvPicPr>
                      <a:picLocks noChangeArrowheads="1" noChangeAspect="1"/>
                    </pic:cNvPicPr>
                  </pic:nvPicPr>
                  <pic:blipFill>
                    <a:blip r:embed="rId36"/>
                    <a:stretch>
                      <a:fillRect/>
                    </a:stretch>
                  </pic:blipFill>
                  <pic:spPr bwMode="auto">
                    <a:xfrm>
                      <a:off x="0" y="0"/>
                      <a:ext cx="5334000" cy="5754143"/>
                    </a:xfrm>
                    <a:prstGeom prst="rect">
                      <a:avLst/>
                    </a:prstGeom>
                    <a:noFill/>
                    <a:ln w="9525">
                      <a:noFill/>
                      <a:headEnd/>
                      <a:tailEnd/>
                    </a:ln>
                  </pic:spPr>
                </pic:pic>
              </a:graphicData>
            </a:graphic>
          </wp:inline>
        </w:drawing>
      </w:r>
    </w:p>
    <w:p>
      <w:pPr>
        <w:pStyle w:val="ImageCaption"/>
      </w:pPr>
      <w:r>
        <w:t xml:space="preserve">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(i.e., that with lowest dAIC). (REPLOT ON THE SAME SCALE, WITH BLUE FOR POSITIVE AND RED FOR NEGATIVE)</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png" id="0" name="Picture"/>
                    <pic:cNvPicPr>
                      <a:picLocks noChangeArrowheads="1" noChangeAspect="1"/>
                    </pic:cNvPicPr>
                  </pic:nvPicPr>
                  <pic:blipFill>
                    <a:blip r:embed="rId37"/>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bookmarkEnd w:id="38"/>
    <w:bookmarkStart w:id="41" w:name="discussion"/>
    <w:p>
      <w:pPr>
        <w:pStyle w:val="Heading3"/>
      </w:pPr>
      <w:r>
        <w:t xml:space="preserve">Discussion</w:t>
      </w:r>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CaptionedFigure"/>
      </w:pPr>
      <w:r>
        <w:drawing>
          <wp:inline>
            <wp:extent cx="5334000" cy="2667000"/>
            <wp:effectExtent b="0" l="0" r="0" t="0"/>
            <wp:docPr descr="Figure 5. Day of year where growth milestones were achied at (a) the Smithonian Conservation Biology Institute and (b) Harvard Forest." title="" id="1" name="Picture"/>
            <a:graphic>
              <a:graphicData uri="http://schemas.openxmlformats.org/drawingml/2006/picture">
                <pic:pic>
                  <pic:nvPicPr>
                    <pic:cNvPr descr="tables_figures/DOYtiming.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Day of year where growth milestones were achied at (a) the Smithonian Conservation Biology Institute and (b) Harvard Forest.</w:t>
      </w:r>
    </w:p>
    <w:p>
      <w:pPr>
        <w:pStyle w:val="CaptionedFigure"/>
      </w:pPr>
      <w:r>
        <w:drawing>
          <wp:inline>
            <wp:extent cx="5334000" cy="2667000"/>
            <wp:effectExtent b="0" l="0" r="0" t="0"/>
            <wp:docPr descr="Figure 5. Day of year where growth milestones were achied at (a) the Smithonian Conservation Biology Institute and (b) Harvard Forest." title="" id="1" name="Picture"/>
            <a:graphic>
              <a:graphicData uri="http://schemas.openxmlformats.org/drawingml/2006/picture">
                <pic:pic>
                  <pic:nvPicPr>
                    <pic:cNvPr descr="tables_figures/DOYtiming_HF_PRELIM.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Day of year where growth milestones were achied at (a) the Smithonian Conservation Biology Institute and (b) Harvard Forest.</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growing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bookmarkEnd w:id="41"/>
    <w:bookmarkStart w:id="42" w:name="content-to-incorporate"/>
    <w:p>
      <w:pPr>
        <w:pStyle w:val="Heading3"/>
      </w:pPr>
      <w:r>
        <w:t xml:space="preserve">(Content to incorporate)</w:t>
      </w:r>
    </w:p>
    <w:p>
      <w:pPr>
        <w:pStyle w:val="FirstParagraph"/>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42"/>
    <w:bookmarkStart w:id="43" w:name="acknowledgements"/>
    <w:p>
      <w:pPr>
        <w:pStyle w:val="Heading3"/>
      </w:pPr>
      <w:r>
        <w:t xml:space="preserve">Acknowledgements</w:t>
      </w:r>
    </w:p>
    <w:p>
      <w:pPr>
        <w:pStyle w:val="FirstParagraph"/>
      </w:pPr>
      <w:r>
        <w:t xml:space="preserve">ForestGEO</w:t>
      </w:r>
    </w:p>
    <w:bookmarkEnd w:id="43"/>
    <w:bookmarkStart w:id="44" w:name="author-contributions"/>
    <w:p>
      <w:pPr>
        <w:pStyle w:val="Heading3"/>
      </w:pPr>
      <w:r>
        <w:t xml:space="preserve">Author Contributions</w:t>
      </w:r>
    </w:p>
    <w:bookmarkEnd w:id="44"/>
    <w:bookmarkStart w:id="45" w:name="supporting-information"/>
    <w:p>
      <w:pPr>
        <w:pStyle w:val="Heading3"/>
      </w:pPr>
      <w:r>
        <w:t xml:space="preserve">Supporting Information</w:t>
      </w:r>
    </w:p>
    <w:p>
      <w:pPr>
        <w:pStyle w:val="FirstParagraph"/>
      </w:pPr>
      <w:r>
        <w:t xml:space="preserve">Figure S1. Full climwin output for DOY 25 for ring porous species at SCBI.</w:t>
      </w:r>
    </w:p>
    <w:p>
      <w:pPr>
        <w:pStyle w:val="BodyText"/>
      </w:pPr>
      <w:r>
        <w:t xml:space="preserve">Figure S2. Full climwin output for DOY 25 for diffuse porous species at SCBI.</w:t>
      </w:r>
    </w:p>
    <w:p>
      <w:pPr>
        <w:pStyle w:val="BodyText"/>
      </w:pPr>
      <w:r>
        <w:t xml:space="preserve">Figure S3. Full climwin output for DOY 25 for ring porous species at Harvard Forest.</w:t>
      </w:r>
    </w:p>
    <w:p>
      <w:pPr>
        <w:pStyle w:val="BodyText"/>
      </w:pPr>
      <w:r>
        <w:t xml:space="preserve">Figure S4. Full climwin output for DOY 25 for diffuse porous species at Harvard Forest.</w:t>
      </w:r>
    </w:p>
    <w:bookmarkEnd w:id="45"/>
    <w:bookmarkStart w:id="49" w:name="references"/>
    <w:p>
      <w:pPr>
        <w:pStyle w:val="Heading3"/>
      </w:pPr>
      <w:r>
        <w:t xml:space="preserve">References</w:t>
      </w:r>
    </w:p>
    <w:bookmarkStart w:id="48" w:name="refs"/>
    <w:bookmarkStart w:id="47"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46">
        <w:r>
          <w:rPr>
            <w:rStyle w:val="Hyperlink"/>
          </w:rPr>
          <w:t xml:space="preserve">https://doi.org/10.1002/ece3.1117</w:t>
        </w:r>
      </w:hyperlink>
    </w:p>
    <w:bookmarkEnd w:id="47"/>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hyperlink" Id="rId46" Target="https://doi.org/10.1002/ece3.1117"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6" Target="https://doi.org/10.1002/ece3.1117"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2020-10-27T16:46:14Z</dcterms:created>
  <dcterms:modified xsi:type="dcterms:W3CDTF">2020-10-27T16:46:14Z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