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6.png" ContentType="image/png"/>
  <Override PartName="/word/media/rId35.png" ContentType="image/png"/>
  <Override PartName="/word/media/rId38.png" ContentType="image/png"/>
  <Override PartName="/word/media/rId3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two temperate deciduous forests</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w:t>
      </w:r>
      <w:r>
        <w:t xml:space="preserve"> </w:t>
      </w:r>
      <w:r>
        <w:t xml:space="preserve">Shifts in leaf phenology timing could be accompanied by changes in stem-growth phenology, which would likely affect woody productivity, carbon and nutrient cycling, and water use patterns in temperate forests (Keeling et al, 1996;).</w:t>
      </w:r>
      <w:r>
        <w:t xml:space="preserve"> </w:t>
      </w:r>
      <w:r>
        <w:t xml:space="preserve">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p>
      <w:pPr>
        <w:pStyle w:val="BodyText"/>
      </w:pPr>
      <w:r>
        <w:t xml:space="preserve">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Earlier leaf up timings could signal that these trees are shifting their growth windows in response to increasing spring temperatures, but to date, very little research has been done on this topic.</w:t>
      </w:r>
      <w:r>
        <w:t xml:space="preserve"> </w:t>
      </w:r>
      <w:r>
        <w:t xml:space="preserve">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w:t>
      </w:r>
      <w:r>
        <w:t xml:space="preserve"> </w:t>
      </w:r>
      <w:r>
        <w:t xml:space="preserve">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4" w:name="materials-and-methods"/>
    <w:p>
      <w:pPr>
        <w:pStyle w:val="Heading3"/>
      </w:pPr>
      <w:r>
        <w:t xml:space="preserve">Materials and Methods</w:t>
      </w:r>
    </w:p>
    <w:bookmarkStart w:id="30"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Metal dendrometer bands installed on</w:t>
      </w:r>
      <w:r>
        <w:t xml:space="preserve"> </w:t>
      </w:r>
      <w:r>
        <w:rPr>
          <w:i/>
        </w:rPr>
        <w:t xml:space="preserve">700-755</w:t>
      </w:r>
      <w:r>
        <w:t xml:space="preserve"> </w:t>
      </w:r>
      <w:r>
        <w:t xml:space="preserve">trees at Harvard Forest and</w:t>
      </w:r>
      <w:r>
        <w:t xml:space="preserve"> </w:t>
      </w:r>
      <w:r>
        <w:rPr>
          <w:i/>
        </w:rPr>
        <w:t xml:space="preserve">99-145</w:t>
      </w:r>
      <w:r>
        <w:t xml:space="preserve"> </w:t>
      </w:r>
      <w:r>
        <w:t xml:space="preserve">trees at SCBI were measured with a digital caliper approximately every 1-2 weeks within the growing season from 1998-2003, and 2011-2020 respectively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 (Table S1) (tags_per_year_preclean in data folder). Across years, the number of bands sampled averaged</w:t>
      </w:r>
      <w:r>
        <w:t xml:space="preserve"> </w:t>
      </w:r>
      <w:r>
        <w:rPr>
          <w:i/>
        </w:rPr>
        <w:t xml:space="preserve">~135</w:t>
      </w:r>
      <w:r>
        <w:t xml:space="preserve"> </w:t>
      </w:r>
      <w:r>
        <w:t xml:space="preserve">at SCBI,</w:t>
      </w:r>
      <w:r>
        <w:t xml:space="preserve"> </w:t>
      </w:r>
      <w:r>
        <w:rPr>
          <w:i/>
        </w:rPr>
        <w:t xml:space="preserve">~717</w:t>
      </w:r>
      <w:r>
        <w:t xml:space="preserve"> </w:t>
      </w:r>
      <w:r>
        <w:t xml:space="preserve">at Harvard Forest</w:t>
      </w:r>
      <w:r>
        <w:rPr>
          <w:i/>
        </w:rPr>
        <w:t xml:space="preserve">, and # at SERC</w:t>
      </w:r>
      <w:r>
        <w:t xml:space="preserve">. At SCBI, 4 species were sampled including two diffuse-porous (Lirodendron tulipfera and Fagus grandafolia) and two ring-porous (Quercus rubra and Quercus alba) species. At Harvard Forest, 11 species were sampled including 8 diffuse-porous and 3 ring-porous (SI table)(bands_bySP csv’s in data folder).</w:t>
      </w:r>
      <w:r>
        <w:t xml:space="preserve"> </w:t>
      </w:r>
      <w:r>
        <w:rPr>
          <w:i/>
        </w:rPr>
        <w:t xml:space="preserve">(summary of how bands were distributed across species, focusing on ring/ diffuse porous distinction. details in an SI table)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At SCBI, the median start date was 4/14, which was adjusted when early leaf-out of understory shrubs and herbs was observed, and the median end date was 10/17, coinciding with late senescence in the plot. The earliest start date for intraannual measurements at SCBI was March 30, 2020 and the latest end date was November 26, 2012. Harvard Forest measurements took place at a similar time, with the median start date of 4/23 and median end date of 10/30. 1998 was an anomalous year where initial measurements were taken on 1/5, but not taken again until 4/15. The latest end date was November 11, 2002.</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3. Other - cases where data was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for SCBI were obtained from a meteorological tower adjacent to the SCBI ForestGEO plot (data can be found on the ForestGEO climate portal, DOI on github). Daily maximum temperatures at Harvard Forest were obtained from the Harvard Forest weather station (Boose &amp; Gould, 2004; Boose, 2018). The R package climpact () was used to plot TMAX for visual inspection.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bookmarkEnd w:id="30"/>
    <w:bookmarkStart w:id="31"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1"/>
    <w:bookmarkStart w:id="32"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2"/>
    <w:bookmarkStart w:id="33"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heirarchical model</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t xml:space="preserve">Goodrich et al. (2020)</w:t>
      </w:r>
      <w:r>
        <w:t xml:space="preserve">. In all cases unless otherwise specified, all prior distributions are set to be the weakly informative defaults.</w:t>
      </w:r>
      <w:r>
        <w:t xml:space="preserve"> </w:t>
      </w:r>
    </w:p>
    <w:bookmarkEnd w:id="33"/>
    <w:bookmarkEnd w:id="34"/>
    <w:bookmarkStart w:id="39"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title="" id="1" name="Picture"/>
            <a:graphic>
              <a:graphicData uri="http://schemas.openxmlformats.org/drawingml/2006/picture">
                <pic:pic>
                  <pic:nvPicPr>
                    <pic:cNvPr descr="tables_figures/climwin.png" id="0" name="Picture"/>
                    <pic:cNvPicPr>
                      <a:picLocks noChangeArrowheads="1" noChangeAspect="1"/>
                    </pic:cNvPicPr>
                  </pic:nvPicPr>
                  <pic:blipFill>
                    <a:blip r:embed="rId36"/>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r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_scbi.png" id="0" name="Picture"/>
                    <pic:cNvPicPr>
                      <a:picLocks noChangeArrowheads="1" noChangeAspect="1"/>
                    </pic:cNvPicPr>
                  </pic:nvPicPr>
                  <pic:blipFill>
                    <a:blip r:embed="rId37"/>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temperatures.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CaptionedFigure"/>
      </w:pPr>
      <w:r>
        <w:drawing>
          <wp:inline>
            <wp:extent cx="5334000" cy="3956424"/>
            <wp:effectExtent b="0" l="0" r="0" t="0"/>
            <wp:docPr descr="Harvard. FIGURES WILL NEED TO BE COMBINED" title="" id="1" name="Picture"/>
            <a:graphic>
              <a:graphicData uri="http://schemas.openxmlformats.org/drawingml/2006/picture">
                <pic:pic>
                  <pic:nvPicPr>
                    <pic:cNvPr descr="tables_figures/pheno_Tsensitivity_HF.png" id="0" name="Picture"/>
                    <pic:cNvPicPr>
                      <a:picLocks noChangeArrowheads="1" noChangeAspect="1"/>
                    </pic:cNvPicPr>
                  </pic:nvPicPr>
                  <pic:blipFill>
                    <a:blip r:embed="rId38"/>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Harvard. FIGURES WILL NEED TO BE COMBINED</w:t>
      </w:r>
    </w:p>
    <w:bookmarkEnd w:id="39"/>
    <w:bookmarkStart w:id="41"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5334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1"/>
    <w:bookmarkStart w:id="42" w:name="content-to-incorporate"/>
    <w:p>
      <w:pPr>
        <w:pStyle w:val="Heading3"/>
      </w:pPr>
      <w:r>
        <w:t xml:space="preserve">(Content to incorporate)</w:t>
      </w:r>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2"/>
    <w:bookmarkStart w:id="43" w:name="acknowledgements"/>
    <w:p>
      <w:pPr>
        <w:pStyle w:val="Heading3"/>
      </w:pPr>
      <w:r>
        <w:t xml:space="preserve">Acknowledgements</w:t>
      </w:r>
    </w:p>
    <w:p>
      <w:pPr>
        <w:pStyle w:val="FirstParagraph"/>
      </w:pPr>
      <w:r>
        <w:t xml:space="preserve">ForestGEO</w:t>
      </w:r>
    </w:p>
    <w:bookmarkEnd w:id="43"/>
    <w:bookmarkStart w:id="44" w:name="author-contributions"/>
    <w:p>
      <w:pPr>
        <w:pStyle w:val="Heading3"/>
      </w:pPr>
      <w:r>
        <w:t xml:space="preserve">Author Contributions</w:t>
      </w:r>
    </w:p>
    <w:bookmarkEnd w:id="44"/>
    <w:bookmarkStart w:id="45" w:name="supporting-information"/>
    <w:p>
      <w:pPr>
        <w:pStyle w:val="Heading3"/>
      </w:pPr>
      <w:r>
        <w:t xml:space="preserve">Supporting Information</w:t>
      </w:r>
    </w:p>
    <w:p>
      <w:pPr>
        <w:pStyle w:val="FirstParagraph"/>
      </w:pPr>
      <w:r>
        <w:t xml:space="preserve">Table S1. Sample size by year</w:t>
      </w:r>
    </w:p>
    <w:p>
      <w:pPr>
        <w:pStyle w:val="BodyText"/>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5"/>
    <w:bookmarkStart w:id="51" w:name="references"/>
    <w:p>
      <w:pPr>
        <w:pStyle w:val="Heading3"/>
      </w:pPr>
      <w:r>
        <w:t xml:space="preserve">References</w:t>
      </w:r>
    </w:p>
    <w:bookmarkStart w:id="50" w:name="refs"/>
    <w:bookmarkStart w:id="47" w:name="ref-rstanarm_2020"/>
    <w:p>
      <w:pPr>
        <w:pStyle w:val="Bibliography"/>
      </w:pPr>
      <w:r>
        <w:t xml:space="preserve">Goodrich, B., Gabry, J., Ali, I., &amp; Brilleman, S. (2020).</w:t>
      </w:r>
      <w:r>
        <w:t xml:space="preserve"> </w:t>
      </w:r>
      <w:r>
        <w:rPr>
          <w:i/>
        </w:rPr>
        <w:t xml:space="preserve">Rstanarm: Bayesian applied regression modeling via Stan.</w:t>
      </w:r>
      <w:r>
        <w:t xml:space="preserve"> </w:t>
      </w:r>
      <w:hyperlink r:id="rId46">
        <w:r>
          <w:rPr>
            <w:rStyle w:val="Hyperlink"/>
          </w:rPr>
          <w:t xml:space="preserve">https://mc-stan.org/rstanarm</w:t>
        </w:r>
      </w:hyperlink>
    </w:p>
    <w:bookmarkEnd w:id="47"/>
    <w:bookmarkStart w:id="49"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8">
        <w:r>
          <w:rPr>
            <w:rStyle w:val="Hyperlink"/>
          </w:rPr>
          <w:t xml:space="preserve">https://doi.org/10.1002/ece3.1117</w:t>
        </w:r>
      </w:hyperlink>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hyperlink" Id="rId48" Target="https://doi.org/10.1002/ece3.1117" TargetMode="External" /><Relationship Type="http://schemas.openxmlformats.org/officeDocument/2006/relationships/hyperlink" Id="rId46" Target="https://mc-stan.org/rstanarm"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02/ece3.1117" TargetMode="External" /><Relationship Type="http://schemas.openxmlformats.org/officeDocument/2006/relationships/hyperlink" Id="rId46" Target="https://mc-stan.org/rstanarm"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2020-11-03T17:36:41Z</dcterms:created>
  <dcterms:modified xsi:type="dcterms:W3CDTF">2020-11-03T17:36:41Z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