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Title:</w:t>
      </w:r>
      <w:r>
        <w:t xml:space="preserve"> </w:t>
      </w:r>
      <w:r>
        <w:t xml:space="preserve">Effect of spring temperatures on tree growth phenology in a temperate deciduous forest</w:t>
      </w:r>
    </w:p>
    <w:p>
      <w:pPr>
        <w:pStyle w:val="BodyText"/>
      </w:pPr>
      <w:r>
        <w:rPr>
          <w:b/>
        </w:rPr>
        <w:t xml:space="preserve">Authors (not yet complete, just alphabetical for now–final order TBD):</w:t>
      </w:r>
    </w:p>
    <w:p>
      <w:pPr>
        <w:pStyle w:val="BodyText"/>
      </w:pPr>
      <w:r>
        <w:t xml:space="preserve">Cameron Dow</w:t>
      </w:r>
      <w:r>
        <w:rPr>
          <w:vertAlign w:val="superscript"/>
        </w:rPr>
        <w:t xml:space="preserve">1</w:t>
      </w:r>
      <w:r>
        <w:t xml:space="preserve"> </w:t>
      </w:r>
      <w:r>
        <w:t xml:space="preserve">Erika B. Gonzalez-Akre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Ryan Helcoski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Valentine Herrmann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Ian McGregor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Sean McMahon,</w:t>
      </w:r>
      <w:r>
        <w:t xml:space="preserve"> </w:t>
      </w:r>
      <w:r>
        <w:t xml:space="preserve">Albert Kim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Kristina J. Anderson-Teixeira</w:t>
      </w:r>
      <w:r>
        <w:rPr>
          <w:vertAlign w:val="superscript"/>
        </w:rPr>
        <w:t xml:space="preserve">1,n</w:t>
      </w:r>
      <w:r>
        <w:t xml:space="preserve">*</w:t>
      </w:r>
    </w:p>
    <w:p>
      <w:pPr>
        <w:pStyle w:val="BodyText"/>
      </w:pPr>
      <w:r>
        <w:rPr>
          <w:b/>
        </w:rPr>
        <w:t xml:space="preserve">Author Affiliations:</w:t>
      </w:r>
    </w:p>
    <w:p>
      <w:pPr>
        <w:pStyle w:val="Compact"/>
        <w:numPr>
          <w:numId w:val="1001"/>
          <w:ilvl w:val="0"/>
        </w:numPr>
      </w:pPr>
      <w:r>
        <w:t xml:space="preserve">Conservation Ecology Center; Smithsonian Conservation Biology Institute; Front Royal, VA 22630, USA</w:t>
      </w:r>
    </w:p>
    <w:p>
      <w:pPr>
        <w:pStyle w:val="Compact"/>
        <w:numPr>
          <w:numId w:val="1002"/>
          <w:ilvl w:val="0"/>
        </w:numPr>
      </w:pPr>
      <w:r>
        <w:t xml:space="preserve">Center for Tropical Forest Science-Forest Global Earth Observatory; Smithsonian Tropical Research Institute; Panama, Republic of Panama</w:t>
      </w:r>
    </w:p>
    <w:p>
      <w:pPr>
        <w:pStyle w:val="FirstParagraph"/>
      </w:pPr>
      <w:r>
        <w:t xml:space="preserve">*corresponding author:</w:t>
      </w:r>
      <w:r>
        <w:t xml:space="preserve"> </w:t>
      </w:r>
      <w:hyperlink r:id="rId20">
        <w:r>
          <w:rPr>
            <w:rStyle w:val="Hyperlink"/>
          </w:rPr>
          <w:t xml:space="preserve">teixeirak@si.edu</w:t>
        </w:r>
      </w:hyperlink>
      <w:r>
        <w:t xml:space="preserve">; +1 540 635 6546</w:t>
      </w:r>
    </w:p>
    <w:p>
      <w:r>
        <w:br w:type="page"/>
      </w:r>
    </w:p>
    <w:p>
      <w:pPr>
        <w:pStyle w:val="Heading3"/>
      </w:pPr>
      <w:bookmarkStart w:id="21" w:name="abstract"/>
      <w:r>
        <w:t xml:space="preserve">Abstract</w:t>
      </w:r>
      <w:bookmarkEnd w:id="21"/>
    </w:p>
    <w:p>
      <w:pPr>
        <w:pStyle w:val="FirstParagraph"/>
      </w:pPr>
      <w:r>
        <w:rPr>
          <w:b/>
        </w:rPr>
        <w:t xml:space="preserve">Keywords</w:t>
      </w:r>
      <w:r>
        <w:t xml:space="preserve">:</w:t>
      </w:r>
    </w:p>
    <w:p>
      <w:r>
        <w:br w:type="page"/>
      </w:r>
    </w:p>
    <w:p>
      <w:pPr>
        <w:pStyle w:val="Heading3"/>
      </w:pPr>
      <w:bookmarkStart w:id="22" w:name="introduction"/>
      <w:r>
        <w:t xml:space="preserve">Introduction</w:t>
      </w:r>
      <w:bookmarkEnd w:id="22"/>
    </w:p>
    <w:p>
      <w:pPr>
        <w:pStyle w:val="FirstParagraph"/>
      </w:pPr>
      <w:r>
        <w:rPr>
          <w:b/>
        </w:rPr>
        <w:t xml:space="preserve">With climate warming, we can expect earlier springs in temperate forests.</w:t>
      </w:r>
      <w:r>
        <w:t xml:space="preserve"> </w:t>
      </w:r>
      <w:r>
        <w:t xml:space="preserve">These are likely to affect tree growth, woody productivity, and ecosystem C cycling.</w:t>
      </w:r>
      <w:r>
        <w:t xml:space="preserve"> </w:t>
      </w:r>
      <w:r>
        <w:t xml:space="preserve">However, we know little about the growth phenology of temperate deciduous species (see D’Orangeville et al., in revision for more info/ citations)—let alone how these are affected by an early spring.</w:t>
      </w:r>
    </w:p>
    <w:p>
      <w:pPr>
        <w:pStyle w:val="BodyText"/>
      </w:pPr>
      <w:r>
        <w:t xml:space="preserve">Here, we …</w:t>
      </w:r>
      <w:r>
        <w:t xml:space="preserve"> </w:t>
      </w:r>
      <w:r>
        <w:t xml:space="preserve">- use 10 years of biweekly dendro band measurements for # species to characterize seasonal growth phenology</w:t>
      </w:r>
    </w:p>
    <w:p>
      <w:pPr>
        <w:numPr>
          <w:numId w:val="1003"/>
          <w:ilvl w:val="0"/>
        </w:numPr>
      </w:pPr>
      <w:r>
        <w:t xml:space="preserve">combine these records with 110 years of tree-ring data for 12 species to examine how spring temperatures impact annual tree growth</w:t>
      </w:r>
    </w:p>
    <w:p>
      <w:pPr>
        <w:numPr>
          <w:numId w:val="1003"/>
          <w:ilvl w:val="0"/>
        </w:numPr>
      </w:pPr>
      <w:r>
        <w:t xml:space="preserve">examine the effects of an extremely early spring (2020) seasonal growth phenology and annual growth</w:t>
      </w:r>
    </w:p>
    <w:p>
      <w:pPr>
        <w:pStyle w:val="Heading3"/>
      </w:pPr>
      <w:bookmarkStart w:id="23" w:name="materials-and-methods"/>
      <w:r>
        <w:t xml:space="preserve">Materials and Methods</w:t>
      </w:r>
      <w:bookmarkEnd w:id="23"/>
    </w:p>
    <w:p>
      <w:pPr>
        <w:pStyle w:val="Heading4"/>
      </w:pPr>
      <w:bookmarkStart w:id="24" w:name="study-site-and-data"/>
      <w:r>
        <w:t xml:space="preserve">Study site and data</w:t>
      </w:r>
      <w:bookmarkEnd w:id="24"/>
    </w:p>
    <w:p>
      <w:pPr>
        <w:pStyle w:val="FirstParagraph"/>
      </w:pPr>
      <w:r>
        <w:t xml:space="preserve">SCBI ForestGEO plot</w:t>
      </w:r>
    </w:p>
    <w:p>
      <w:pPr>
        <w:pStyle w:val="BodyText"/>
      </w:pPr>
      <w:r>
        <w:t xml:space="preserve">10 years biweekly dendrometer measurements</w:t>
      </w:r>
    </w:p>
    <w:p>
      <w:pPr>
        <w:pStyle w:val="BodyText"/>
      </w:pPr>
      <w:r>
        <w:t xml:space="preserve">leaf phenology data?</w:t>
      </w:r>
    </w:p>
    <w:p>
      <w:pPr>
        <w:numPr>
          <w:numId w:val="1004"/>
          <w:ilvl w:val="0"/>
        </w:numPr>
      </w:pPr>
      <w:r>
        <w:t xml:space="preserve">leaf phenology data from NEON and/or satellite-based (leaf phenology network:</w:t>
      </w:r>
      <w:r>
        <w:t xml:space="preserve"> </w:t>
      </w:r>
      <w:hyperlink r:id="rId25">
        <w:r>
          <w:rPr>
            <w:rStyle w:val="Hyperlink"/>
          </w:rPr>
          <w:t xml:space="preserve">https://www.usanpn.org/news/spring</w:t>
        </w:r>
      </w:hyperlink>
      <w:r>
        <w:t xml:space="preserve">) ?</w:t>
      </w:r>
    </w:p>
    <w:p>
      <w:pPr>
        <w:numPr>
          <w:numId w:val="1004"/>
          <w:ilvl w:val="0"/>
        </w:numPr>
      </w:pPr>
      <w:r>
        <w:t xml:space="preserve">NDVI or PRI?</w:t>
      </w:r>
      <w:r>
        <w:t xml:space="preserve"> </w:t>
      </w:r>
      <w:hyperlink r:id="rId26">
        <w:r>
          <w:rPr>
            <w:rStyle w:val="Hyperlink"/>
          </w:rPr>
          <w:t xml:space="preserve">https://onlinelibrary.wiley.com/doi/10.1111/gcb.15112</w:t>
        </w:r>
      </w:hyperlink>
      <w:r>
        <w:t xml:space="preserve"> </w:t>
      </w:r>
      <w:r>
        <w:t xml:space="preserve">(from Ian)</w:t>
      </w:r>
    </w:p>
    <w:p>
      <w:pPr>
        <w:numPr>
          <w:numId w:val="1004"/>
          <w:ilvl w:val="0"/>
        </w:numPr>
      </w:pPr>
      <w:r>
        <w:t xml:space="preserve">From Ian: I noticed how the growth patterns observed by remote sensing pretty much mirror what Sean was finding with his dendro R package (btw is that functional on CRAN yet?) for both SERC and SCBI dendroband data.</w:t>
      </w:r>
    </w:p>
    <w:p>
      <w:pPr>
        <w:pStyle w:val="FirstParagraph"/>
      </w:pPr>
      <w:r>
        <w:t xml:space="preserve">perhaps bring in cores?</w:t>
      </w:r>
    </w:p>
    <w:p>
      <w:pPr>
        <w:pStyle w:val="Heading4"/>
      </w:pPr>
      <w:bookmarkStart w:id="27" w:name="analysis"/>
      <w:r>
        <w:t xml:space="preserve">Analysis</w:t>
      </w:r>
      <w:bookmarkEnd w:id="27"/>
    </w:p>
    <w:p>
      <w:pPr>
        <w:pStyle w:val="FirstParagraph"/>
      </w:pPr>
      <w:r>
        <w:rPr>
          <w:i/>
        </w:rPr>
        <w:t xml:space="preserve">Here, I’ll insert a reference to Sean’s paper</w:t>
      </w:r>
      <w:r>
        <w:rPr>
          <w:i/>
        </w:rPr>
        <w:t xml:space="preserve"> </w:t>
      </w:r>
      <w:r>
        <w:rPr>
          <w:i/>
        </w:rPr>
        <w:t xml:space="preserve">(McMahon &amp; Parker, 2015)</w:t>
      </w:r>
      <w:r>
        <w:rPr>
          <w:i/>
        </w:rPr>
        <w:t xml:space="preserve">. This is pulled from references.bib.</w:t>
      </w:r>
    </w:p>
    <w:p>
      <w:pPr>
        <w:pStyle w:val="Heading3"/>
      </w:pPr>
      <w:bookmarkStart w:id="28" w:name="results"/>
      <w:r>
        <w:t xml:space="preserve">Results</w:t>
      </w:r>
      <w:bookmarkEnd w:id="28"/>
    </w:p>
    <w:p>
      <w:pPr>
        <w:pStyle w:val="Heading3"/>
      </w:pPr>
      <w:bookmarkStart w:id="29" w:name="discussion"/>
      <w:r>
        <w:t xml:space="preserve">Discussion</w:t>
      </w:r>
      <w:bookmarkEnd w:id="29"/>
    </w:p>
    <w:p>
      <w:pPr>
        <w:pStyle w:val="FirstParagraph"/>
      </w:pPr>
      <w:r>
        <w:rPr>
          <w:i/>
        </w:rPr>
        <w:t xml:space="preserve">Content to incorporate:</w:t>
      </w:r>
      <w:r>
        <w:rPr>
          <w:i/>
        </w:rPr>
        <w:t xml:space="preserve"> </w:t>
      </w:r>
      <w:r>
        <w:rPr>
          <w:i/>
        </w:rPr>
        <w:t xml:space="preserve">N. American strategies have conservative strategies when it comes to phenology, as historically they’ve been subject to more spring frosts. Thus, climate change is having less impact</w:t>
      </w:r>
      <w:r>
        <w:rPr>
          <w:i/>
        </w:rPr>
        <w:t xml:space="preserve"> </w:t>
      </w:r>
      <w:r>
        <w:rPr>
          <w:i/>
        </w:rPr>
        <w:t xml:space="preserve">(Zohner et al., 2020)</w:t>
      </w:r>
    </w:p>
    <w:p>
      <w:pPr>
        <w:pStyle w:val="Heading3"/>
      </w:pPr>
      <w:bookmarkStart w:id="30" w:name="acknowledgements"/>
      <w:r>
        <w:t xml:space="preserve">Acknowledgements</w:t>
      </w:r>
      <w:bookmarkEnd w:id="30"/>
    </w:p>
    <w:p>
      <w:pPr>
        <w:pStyle w:val="FirstParagraph"/>
      </w:pPr>
      <w:r>
        <w:t xml:space="preserve">ForestGEO</w:t>
      </w:r>
    </w:p>
    <w:p>
      <w:pPr>
        <w:pStyle w:val="Heading3"/>
      </w:pPr>
      <w:bookmarkStart w:id="31" w:name="authors-contributions"/>
      <w:r>
        <w:t xml:space="preserve">Authors’ contributions</w:t>
      </w:r>
      <w:bookmarkEnd w:id="31"/>
    </w:p>
    <w:p>
      <w:pPr>
        <w:pStyle w:val="Heading3"/>
      </w:pPr>
      <w:bookmarkStart w:id="32" w:name="references"/>
      <w:r>
        <w:t xml:space="preserve">References</w:t>
      </w:r>
      <w:bookmarkEnd w:id="32"/>
    </w:p>
    <w:bookmarkStart w:id="37" w:name="refs"/>
    <w:bookmarkStart w:id="34" w:name="ref-mcmahon_general_2015"/>
    <w:p>
      <w:pPr>
        <w:pStyle w:val="Bibliography"/>
      </w:pPr>
      <w:r>
        <w:t xml:space="preserve">McMahon, S. M., &amp; Parker, G. G. (2015). A general model of intra-annual tree growth using dendrometer bands.</w:t>
      </w:r>
      <w:r>
        <w:t xml:space="preserve"> </w:t>
      </w:r>
      <w:r>
        <w:rPr>
          <w:i/>
        </w:rPr>
        <w:t xml:space="preserve">Ecology and Evolution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(2), 243–254.</w:t>
      </w:r>
      <w:r>
        <w:t xml:space="preserve"> </w:t>
      </w:r>
      <w:hyperlink r:id="rId33">
        <w:r>
          <w:rPr>
            <w:rStyle w:val="Hyperlink"/>
          </w:rPr>
          <w:t xml:space="preserve">https://doi.org/10.1002/ece3.1117</w:t>
        </w:r>
      </w:hyperlink>
    </w:p>
    <w:bookmarkEnd w:id="34"/>
    <w:bookmarkStart w:id="36" w:name="ref-zohner_late-spring_2020"/>
    <w:p>
      <w:pPr>
        <w:pStyle w:val="Bibliography"/>
      </w:pPr>
      <w:r>
        <w:t xml:space="preserve">Zohner, C. M., Mo, L., Renner, S. S., Svenning, J.-C., Vitasse, Y., Benito, B. M., Ordonez, A., Baumgarten, F., Bastin, J.-F., Sebald, V., Reich, P. B., Liang, J., Nabuurs, G.-J., de-Miguel, S., Alberti, G., Antón-Fernández, C., Balazy, R., Brändli, U.-B., Chen, H. Y. H., … Crowther, T. W. (2020). Late-spring frost risk between 1959 and 2017 decreased in North America but increased in Europe and Asia.</w:t>
      </w:r>
      <w:r>
        <w:t xml:space="preserve"> </w:t>
      </w:r>
      <w:r>
        <w:rPr>
          <w:i/>
        </w:rPr>
        <w:t xml:space="preserve">Proceedings of the National Academy of Sciences</w:t>
      </w:r>
      <w:r>
        <w:t xml:space="preserve">, 201920816.</w:t>
      </w:r>
      <w:r>
        <w:t xml:space="preserve"> </w:t>
      </w:r>
      <w:hyperlink r:id="rId35">
        <w:r>
          <w:rPr>
            <w:rStyle w:val="Hyperlink"/>
          </w:rPr>
          <w:t xml:space="preserve">https://doi.org/10.1073/pnas.1920816117</w:t>
        </w:r>
      </w:hyperlink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4">
    <w:nsid w:val="71315dca"/>
    <w:multiLevelType w:val="multilevel"/>
    <w:lvl w:ilvl="0">
      <w:start w:val="14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4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4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doi.org/10.1002/ece3.1117" TargetMode="External" /><Relationship Type="http://schemas.openxmlformats.org/officeDocument/2006/relationships/hyperlink" Id="rId35" Target="https://doi.org/10.1073/pnas.1920816117" TargetMode="External" /><Relationship Type="http://schemas.openxmlformats.org/officeDocument/2006/relationships/hyperlink" Id="rId26" Target="https://onlinelibrary.wiley.com/doi/10.1111/gcb.15112" TargetMode="External" /><Relationship Type="http://schemas.openxmlformats.org/officeDocument/2006/relationships/hyperlink" Id="rId25" Target="https://www.usanpn.org/news/spring" TargetMode="External" /><Relationship Type="http://schemas.openxmlformats.org/officeDocument/2006/relationships/hyperlink" Id="rId20" Target="mailto:teixeirak@s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doi.org/10.1002/ece3.1117" TargetMode="External" /><Relationship Type="http://schemas.openxmlformats.org/officeDocument/2006/relationships/hyperlink" Id="rId35" Target="https://doi.org/10.1073/pnas.1920816117" TargetMode="External" /><Relationship Type="http://schemas.openxmlformats.org/officeDocument/2006/relationships/hyperlink" Id="rId26" Target="https://onlinelibrary.wiley.com/doi/10.1111/gcb.15112" TargetMode="External" /><Relationship Type="http://schemas.openxmlformats.org/officeDocument/2006/relationships/hyperlink" Id="rId25" Target="https://www.usanpn.org/news/spring" TargetMode="External" /><Relationship Type="http://schemas.openxmlformats.org/officeDocument/2006/relationships/hyperlink" Id="rId20" Target="mailto:teixeirak@s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2020-08-04T21:13:57Z</dcterms:created>
  <dcterms:modified xsi:type="dcterms:W3CDTF">2020-08-04T21:13:57Z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global-change-biology.csl</vt:lpwstr>
  </property>
  <property fmtid="{D5CDD505-2E9C-101B-9397-08002B2CF9AE}" pid="4" name="output">
    <vt:lpwstr>word_document</vt:lpwstr>
  </property>
</Properties>
</file>