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5.png" ContentType="image/png"/>
  <Override PartName="/word/media/rId34.png" ContentType="image/png"/>
  <Override PartName="/word/media/rId36.png" ContentType="image/png"/>
  <Override PartName="/word/media/rId33.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8" w:name="introduction"/>
    <w:p>
      <w:pPr>
        <w:pStyle w:val="Heading3"/>
      </w:pPr>
      <w:r>
        <w:t xml:space="preserve">Introduction</w:t>
      </w:r>
    </w:p>
    <w:bookmarkStart w:id="22" w:name="X660eb9b5071899a1078d478a7b98063919019bb"/>
    <w:p>
      <w:pPr>
        <w:pStyle w:val="Heading4"/>
      </w:pPr>
      <w:r>
        <w:t xml:space="preserve">(1. 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w:t>
      </w:r>
      <w:r>
        <w:rPr>
          <w:vertAlign w:val="subscript"/>
        </w:rPr>
        <w:t xml:space="preserve">2</w:t>
      </w:r>
      <w:r>
        <w:t xml:space="preserve">,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4"/>
      </w:pPr>
      <w:r>
        <w:t xml:space="preserve">(2. spring temperatures are rising, and this is affecting leaf phenology and carbon cycling)</w:t>
      </w:r>
    </w:p>
    <w:p>
      <w:pPr>
        <w:pStyle w:val="FirstParagraph"/>
      </w:pPr>
      <w:r>
        <w:t xml:space="preserve">In recent decades, an increase in average Spring temperature has been impacting many natural systems including forests (Parmesan &amp; Yohe, 2003; Zhihong, 2006).** The effects of this Spring warming are most apparent when examining leaf phenology shifts,</w:t>
      </w:r>
      <w:r>
        <w:t xml:space="preserve"> </w:t>
      </w:r>
      <w:r>
        <w:rPr>
          <w:i/>
        </w:rPr>
        <w:t xml:space="preserve">which have been extensively studied (Way, 2011; Klosterman &amp; Hufkins &amp; Richardson, 2018), leading to many critical observations</w:t>
      </w:r>
      <w:r>
        <w:t xml:space="preserve">.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bookmarkEnd w:id="23"/>
    <w:bookmarkStart w:id="24" w:name="X3392c3350558a55138fccfecaf342085b00d3ad"/>
    <w:p>
      <w:pPr>
        <w:pStyle w:val="Heading4"/>
      </w:pPr>
      <w:r>
        <w:t xml:space="preserve">(3. However, we don’t know how warming springs affect stem-growth, which matters because the C allocated to stem growth will be retained in the ecosystem for decades to millenia )</w:t>
      </w:r>
    </w:p>
    <w:p>
      <w:pPr>
        <w:pStyle w:val="FirstParagraph"/>
      </w:pPr>
      <w:r>
        <w:t xml:space="preserve">Shifts in leaf phenology timing could be accompanied by changes in stem-growth phenology, which would likely affect woody productivity, carbon and nutrient cycling, and water use patterns in temperate forests (Keeling et al, 1996;). However, the fine-scale responses of temperate deciduous tree growth to a warming Spring are not commonly recorded due to the increased effort required (). 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w:t>
      </w:r>
    </w:p>
    <w:p>
      <w:pPr>
        <w:pStyle w:val="BodyText"/>
      </w:pPr>
      <w:r>
        <w:t xml:space="preserve">Tree-ring records give some hints that warmer springs may increase annual growth (Helcoski et al. 2019), but tree-rings tell us nothing about the timing of that growth. Timing of intraannual stem-growth is extremely important as well.</w:t>
      </w:r>
    </w:p>
    <w:p>
      <w:pPr>
        <w:pStyle w:val="BodyText"/>
      </w:pPr>
      <w:r>
        <w:t xml:space="preserve">Earlier leaf up timings could signal that these trees are shifting their growth windows in response to increasing Spring temperatures, but to date, very little research has been done on topics like these. In fact, we know little about the stem-growth phenology of temperate deciduous species — let alone how these are affected by changes in Spring temperature patterns. 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bookmarkEnd w:id="24"/>
    <w:bookmarkStart w:id="25" w:name="Xa41eb0e22d6bf5c223bb3aff53cf0ee87481062"/>
    <w:p>
      <w:pPr>
        <w:pStyle w:val="Heading4"/>
      </w:pPr>
      <w:r>
        <w:t xml:space="preserve">(4. We also know little about differences across species or functional groups, which matters because it will affect how different species fare under climate change )</w:t>
      </w:r>
    </w:p>
    <w:p>
      <w:pPr>
        <w:pStyle w:val="FirstParagraph"/>
      </w:pPr>
      <w:r>
        <w:t xml:space="preserve">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whether this relationship holds, and how it potentially varies among trees of different wood-types.</w:t>
      </w:r>
    </w:p>
    <w:bookmarkEnd w:id="25"/>
    <w:bookmarkStart w:id="27" w:name="here-we"/>
    <w:p>
      <w:pPr>
        <w:pStyle w:val="Heading4"/>
      </w:pPr>
      <w:r>
        <w:t xml:space="preserve">(5. Here, we…)</w:t>
      </w:r>
    </w:p>
    <w:p>
      <w:pPr>
        <w:pStyle w:val="FirstParagraph"/>
      </w:pPr>
      <w:r>
        <w:t xml:space="preserve">Using many measurements taken within a year, we can model the growth of individual trees and extract data on growth milestones and traits for interspecific, intraspecific, and temporal comparison (McMahon &amp; Parker, 2014). This allows the determination of variable responses of key tree species within a forest, meaning a better understanding of future growth under projected climate conditions. Here, we use biweekly dendrometer band measurements (5 years @ Harvard Forest, 10 @ SCBI) for dominant tree species at each site (15 @ Harvard Forest, 4 @ SCBI) to characterize intraannual stem-growth phenology within two forest dynamics plots in the Eastern USA, calculating for each tree in each year where data was available: the day of year (DOY) where 25, 50, and 75% annual growth was achieved; the maximum growth rate; the DOY where maximum growth rate was achieved; the total growth; and season length (75%-25% DOY) (Fig. 1). Correlation between these variables and Spring temperatures over the 15 year study period (1998-2003; 2011-2019) were assessed using a linear mixed model in a heriarchal bayesian framework.</w:t>
      </w:r>
    </w:p>
    <w:p>
      <w:pPr>
        <w:pStyle w:val="BodyText"/>
      </w:pPr>
      <w:r>
        <w:t xml:space="preserve">We test the hypotheses that (1) stem-growth milestones would be reached earlier in warmer years as compared to cooler years, but (2) maximum growth rates would be little-affected by spring temperatures, and (3) total annual growth would increase modestly in response to warmer spring temperatures (Table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w:t>
      </w:r>
    </w:p>
    <w:p>
      <w:pPr>
        <w:pStyle w:val="TableCaption"/>
      </w:pPr>
      <w:r>
        <w:t xml:space="preserve">Table 1. Hypothesis table. (NEEDS FORMATTING…obviously!)</w:t>
      </w:r>
    </w:p>
    <w:tbl>
      <w:tblPr>
        <w:tblStyle w:val="Table"/>
        <w:tblW w:type="pct" w:w="4999.999999999999"/>
        <w:tblLook w:firstRow="1" w:lastRow="0" w:firstColumn="0" w:lastColumn="0" w:noHBand="0" w:noVBand="0"/>
        <w:tblCaption w:val="Table 1. Hypothesis table. (NEEDS FORMATTING…obviously!)"/>
      </w:tblPr>
      <w:tblGrid>
        <w:gridCol w:w="5208"/>
        <w:gridCol w:w="570"/>
        <w:gridCol w:w="570"/>
        <w:gridCol w:w="784"/>
        <w:gridCol w:w="784"/>
      </w:tblGrid>
      <w:tr>
        <w:trPr>
          <w:cnfStyle w:firstRow="1"/>
        </w:trPr>
        <w:tc>
          <w:tcPr>
            <w:tcBorders>
              <w:bottom w:val="single"/>
            </w:tcBorders>
            <w:vAlign w:val="bottom"/>
          </w:tcPr>
          <w:p>
            <w:pPr>
              <w:pStyle w:val="Compact"/>
              <w:jc w:val="left"/>
            </w:pPr>
            <w:r>
              <w:t xml:space="preserve">Hypotheses…Specific.Predictions</w:t>
            </w:r>
          </w:p>
        </w:tc>
        <w:tc>
          <w:tcPr>
            <w:tcBorders>
              <w:bottom w:val="single"/>
            </w:tcBorders>
            <w:vAlign w:val="bottom"/>
          </w:tcPr>
          <w:p>
            <w:pPr>
              <w:pStyle w:val="Compact"/>
              <w:jc w:val="left"/>
            </w:pPr>
            <w:r>
              <w:t xml:space="preserve">SCBI.RP</w:t>
            </w:r>
          </w:p>
        </w:tc>
        <w:tc>
          <w:tcPr>
            <w:tcBorders>
              <w:bottom w:val="single"/>
            </w:tcBorders>
            <w:vAlign w:val="bottom"/>
          </w:tcPr>
          <w:p>
            <w:pPr>
              <w:pStyle w:val="Compact"/>
              <w:jc w:val="left"/>
            </w:pPr>
            <w:r>
              <w:t xml:space="preserve">SCBI.DP</w:t>
            </w:r>
          </w:p>
        </w:tc>
        <w:tc>
          <w:tcPr>
            <w:tcBorders>
              <w:bottom w:val="single"/>
            </w:tcBorders>
            <w:vAlign w:val="bottom"/>
          </w:tcPr>
          <w:p>
            <w:pPr>
              <w:pStyle w:val="Compact"/>
              <w:jc w:val="left"/>
            </w:pPr>
            <w:r>
              <w:t xml:space="preserve">Harvard.RP</w:t>
            </w:r>
          </w:p>
        </w:tc>
        <w:tc>
          <w:tcPr>
            <w:tcBorders>
              <w:bottom w:val="single"/>
            </w:tcBorders>
            <w:vAlign w:val="bottom"/>
          </w:tcPr>
          <w:p>
            <w:pPr>
              <w:pStyle w:val="Compact"/>
              <w:jc w:val="left"/>
            </w:pPr>
            <w:r>
              <w:t xml:space="preserve">Harvard.DP</w:t>
            </w:r>
          </w:p>
        </w:tc>
      </w:tr>
      <w:tr>
        <w:tc>
          <w:p>
            <w:pPr>
              <w:pStyle w:val="Compact"/>
              <w:jc w:val="left"/>
            </w:pPr>
            <w:r>
              <w:t xml:space="preserve">1. Warmer early springs result in earlier stem growth.</w:t>
            </w:r>
          </w:p>
        </w:tc>
        <w:tc>
          <w:p/>
        </w:tc>
        <w:tc>
          <w:p/>
        </w:tc>
        <w:tc>
          <w:p/>
        </w:tc>
        <w:tc>
          <w:p/>
        </w:tc>
      </w:tr>
      <w:tr>
        <w:tc>
          <w:p>
            <w:pPr>
              <w:pStyle w:val="Compact"/>
              <w:jc w:val="left"/>
            </w:pPr>
            <w:r>
              <w:t xml:space="preserve">- DOY25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DOY50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DOY75 is negatively correlated with early spring T.</w:t>
            </w:r>
          </w:p>
        </w:tc>
        <w:tc>
          <w:p>
            <w:pPr>
              <w:pStyle w:val="Compact"/>
              <w:jc w:val="left"/>
            </w:pPr>
            <w:r>
              <w:t xml:space="preserve">-</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2. Maximum growth rates are independent of early spring temperatures.</w:t>
            </w:r>
          </w:p>
        </w:tc>
        <w:tc>
          <w:p/>
        </w:tc>
        <w:tc>
          <w:p/>
        </w:tc>
        <w:tc>
          <w:p/>
        </w:tc>
        <w:tc>
          <w:p/>
        </w:tc>
      </w:tr>
      <w:tr>
        <w:tc>
          <w:p>
            <w:pPr>
              <w:pStyle w:val="Compact"/>
              <w:jc w:val="left"/>
            </w:pPr>
            <w:r>
              <w:t xml:space="preserve">- Max growth rate is independent of early spring temperatures.</w:t>
            </w:r>
          </w:p>
        </w:tc>
        <w:tc>
          <w:p/>
        </w:tc>
        <w:tc>
          <w:p/>
        </w:tc>
        <w:tc>
          <w:p/>
        </w:tc>
        <w:tc>
          <w:p/>
        </w:tc>
      </w:tr>
      <w:tr>
        <w:tc>
          <w:p>
            <w:pPr>
              <w:pStyle w:val="Compact"/>
              <w:jc w:val="left"/>
            </w:pPr>
            <w:r>
              <w:t xml:space="preserve">3. Annual stem growth responds positively to warmer spring temperatures.</w:t>
            </w:r>
          </w:p>
        </w:tc>
        <w:tc>
          <w:p/>
        </w:tc>
        <w:tc>
          <w:p/>
        </w:tc>
        <w:tc>
          <w:p/>
        </w:tc>
        <w:tc>
          <w:p/>
        </w:tc>
      </w:tr>
      <w:tr>
        <w:tc>
          <w:p>
            <w:pPr>
              <w:pStyle w:val="Compact"/>
              <w:jc w:val="left"/>
            </w:pPr>
            <w:r>
              <w:t xml:space="preserve">- Annual growth is positively correlated with early spring temperatures.</w:t>
            </w:r>
          </w:p>
        </w:tc>
        <w:tc>
          <w:p>
            <w:pPr>
              <w:pStyle w:val="Compact"/>
              <w:jc w:val="left"/>
            </w:pPr>
            <w:r>
              <w:t xml:space="preserve">yes</w:t>
            </w:r>
          </w:p>
        </w:tc>
        <w:tc>
          <w:p>
            <w:pPr>
              <w:pStyle w:val="Compact"/>
              <w:jc w:val="left"/>
            </w:pPr>
            <w:r>
              <w:t xml:space="preserve">yes</w:t>
            </w:r>
          </w:p>
        </w:tc>
        <w:tc>
          <w:p>
            <w:pPr>
              <w:pStyle w:val="Compact"/>
              <w:jc w:val="left"/>
            </w:pPr>
            <w:r>
              <w:t xml:space="preserve">-</w:t>
            </w:r>
          </w:p>
        </w:tc>
        <w:tc>
          <w:p>
            <w:pPr>
              <w:pStyle w:val="Compact"/>
              <w:jc w:val="left"/>
            </w:pPr>
            <w:r>
              <w:t xml:space="preserve">-</w:t>
            </w:r>
          </w:p>
        </w:tc>
      </w:tr>
    </w:tbl>
    <w:bookmarkEnd w:id="27"/>
    <w:bookmarkEnd w:id="28"/>
    <w:bookmarkStart w:id="32" w:name="materials-and-methods"/>
    <w:p>
      <w:pPr>
        <w:pStyle w:val="Heading3"/>
      </w:pPr>
      <w:r>
        <w:t xml:space="preserve">Materials and Methods</w:t>
      </w:r>
    </w:p>
    <w:p>
      <w:pPr>
        <w:pStyle w:val="FirstParagraph"/>
      </w:pPr>
      <w:r>
        <w:rPr>
          <w:i/>
        </w:rPr>
        <w:t xml:space="preserve">Study sites and data</w:t>
      </w:r>
    </w:p>
    <w:p>
      <w:pPr>
        <w:pStyle w:val="BodyText"/>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with a digital caliper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 Four main species were sampled including two diffuse-porous (Lirodendron tulipfera and Fagus grandafolia) and two ring-porous (Quercus rubra and Quercus alba) species.</w:t>
      </w:r>
      <w:r>
        <w:t xml:space="preserve"> </w:t>
      </w:r>
      <w:r>
        <w:rPr>
          <w:i/>
        </w:rPr>
        <w:t xml:space="preserve">(summary of how bands were distributed across species, focusing on ring/ diffuse porous distinction. details in an SI table)</w:t>
      </w:r>
    </w:p>
    <w:p>
      <w:pPr>
        <w:pStyle w:val="BodyText"/>
      </w:pPr>
      <w:r>
        <w:t xml:space="preserve">(Bands 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(Bands used after minimum growth checks:</w:t>
      </w:r>
      <w:r>
        <w:t xml:space="preserve"> </w:t>
      </w:r>
      <w:r>
        <w:t xml:space="preserve">1 2011 84</w:t>
      </w:r>
      <w:r>
        <w:t xml:space="preserve"> </w:t>
      </w:r>
      <w:r>
        <w:t xml:space="preserve">2 2012 84</w:t>
      </w:r>
      <w:r>
        <w:t xml:space="preserve"> </w:t>
      </w:r>
      <w:r>
        <w:t xml:space="preserve">3 2013 100</w:t>
      </w:r>
      <w:r>
        <w:t xml:space="preserve"> </w:t>
      </w:r>
      <w:r>
        <w:t xml:space="preserve">4 2014 100</w:t>
      </w:r>
      <w:r>
        <w:t xml:space="preserve"> </w:t>
      </w:r>
      <w:r>
        <w:t xml:space="preserve">5 2015 96</w:t>
      </w:r>
      <w:r>
        <w:t xml:space="preserve"> </w:t>
      </w:r>
      <w:r>
        <w:t xml:space="preserve">6 2016 94</w:t>
      </w:r>
      <w:r>
        <w:t xml:space="preserve"> </w:t>
      </w:r>
      <w:r>
        <w:t xml:space="preserve">7 2017 89</w:t>
      </w:r>
      <w:r>
        <w:t xml:space="preserve"> </w:t>
      </w:r>
      <w:r>
        <w:t xml:space="preserve">8 2018 88</w:t>
      </w:r>
      <w:r>
        <w:t xml:space="preserve"> </w:t>
      </w:r>
      <w:r>
        <w:t xml:space="preserve">9 2019 75) this seems like alot are being thrown out - manually check if WAI</w:t>
      </w:r>
      <w:r>
        <w:t xml:space="preserve"> </w:t>
      </w: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The median start date was 4/14, which was adjusted when early leaf-out of understory shrubs and herbs was observed, and the median end date was 10/17, coinciding with late senesence in the plot. The earliest start date for intraannual measurements was in 2020 on March 30, and the latest end date was on 2012 on November 26.</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p>
    <w:p>
      <w:pPr>
        <w:pStyle w:val="BodyText"/>
      </w:pPr>
      <w:r>
        <w:t xml:space="preserve">leaf phenology data?</w:t>
      </w:r>
    </w:p>
    <w:p>
      <w:pPr>
        <w:pStyle w:val="BodyText"/>
      </w:pPr>
      <w:r>
        <w:t xml:space="preserve">• leaf phenology data from NEON and/or satellite-based (leaf phenology network:</w:t>
      </w:r>
      <w:r>
        <w:t xml:space="preserve"> </w:t>
      </w:r>
      <w:hyperlink r:id="rId30">
        <w:r>
          <w:rPr>
            <w:rStyle w:val="Hyperlink"/>
          </w:rPr>
          <w:t xml:space="preserve">https://www.usanpn.org/news/spring</w:t>
        </w:r>
      </w:hyperlink>
      <w:r>
        <w:t xml:space="preserve">) ?</w:t>
      </w:r>
    </w:p>
    <w:p>
      <w:pPr>
        <w:pStyle w:val="BodyText"/>
      </w:pPr>
      <w:r>
        <w:t xml:space="preserve">• NDVI or PRI?</w:t>
      </w:r>
      <w:r>
        <w:t xml:space="preserve"> </w:t>
      </w:r>
      <w:hyperlink r:id="rId31">
        <w:r>
          <w:rPr>
            <w:rStyle w:val="Hyperlink"/>
          </w:rPr>
          <w:t xml:space="preserve">https://onlinelibrary.wiley.com/doi/10.1111/gcb.15112</w:t>
        </w:r>
      </w:hyperlink>
      <w:r>
        <w:t xml:space="preserve"> </w:t>
      </w:r>
      <w:r>
        <w:t xml:space="preserve">(from Ian)</w:t>
      </w:r>
    </w:p>
    <w:p>
      <w:pPr>
        <w:pStyle w:val="BodyText"/>
      </w:pPr>
      <w:r>
        <w:t xml:space="preserve">• From Ian: I noticed how the growth patterns observed by remote sensing pretty much mirror what Sean was finding with his dendro R package (btw is that functional on CRAN yet?) for both SERC and SCBI dendroband data.</w:t>
      </w:r>
    </w:p>
    <w:p>
      <w:pPr>
        <w:pStyle w:val="BodyText"/>
      </w:pPr>
      <w:r>
        <w:t xml:space="preserve">perhaps bring in cores?</w:t>
      </w:r>
    </w:p>
    <w:p>
      <w:pPr>
        <w:pStyle w:val="BodyText"/>
      </w:pPr>
      <w:r>
        <w:rPr>
          <w:i/>
        </w:rPr>
        <w:t xml:space="preserve">Fitting growth curves</w:t>
      </w:r>
    </w:p>
    <w:p>
      <w:pPr>
        <w:pStyle w:val="BodyText"/>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p>
      <w:pPr>
        <w:pStyle w:val="BodyText"/>
      </w:pPr>
      <w:r>
        <w:rPr>
          <w:i/>
        </w:rPr>
        <w:t xml:space="preserve">Determining optimal climate windows</w:t>
      </w:r>
    </w:p>
    <w:p>
      <w:pPr>
        <w:pStyle w:val="BodyText"/>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p>
      <w:pPr>
        <w:pStyle w:val="BodyText"/>
      </w:pPr>
      <w:r>
        <w:t xml:space="preserve">Notes for now:</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bookmarkEnd w:id="32"/>
    <w:bookmarkStart w:id="37"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667000"/>
            <wp:effectExtent b="0" l="0" r="0" t="0"/>
            <wp:docPr descr="Figure 2a. (SHOULD BE MERGED INTO SINGLE IMAGE WITH 2B. SEE BELOW FOR CAPTION)" title="" id="1" name="Picture"/>
            <a:graphic>
              <a:graphicData uri="http://schemas.openxmlformats.org/drawingml/2006/picture">
                <pic:pic>
                  <pic:nvPicPr>
                    <pic:cNvPr descr="tables_figures/rel_growth.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2a. (SHOULD BE MERGED INTO SINGLE IMAGE WITH 2B. SEE BELOW FOR CAPTION)</w:t>
      </w:r>
    </w:p>
    <w:p>
      <w:pPr>
        <w:pStyle w:val="CaptionedFigure"/>
      </w:pPr>
      <w:r>
        <w:drawing>
          <wp:inline>
            <wp:extent cx="5334000" cy="3508586"/>
            <wp:effectExtent b="0" l="0" r="0" t="0"/>
            <wp:docPr descr="Figure 2. Growth trajectories for ring- and diffuse-porous trees, as both relative (a) and cumulative (b) fractions of total annual growth. Each line represents one year’s growth for a given tree, fit with McMahon model." title="" id="1" name="Picture"/>
            <a:graphic>
              <a:graphicData uri="http://schemas.openxmlformats.org/drawingml/2006/picture">
                <pic:pic>
                  <pic:nvPicPr>
                    <pic:cNvPr descr="tables_figures/cum_growth.png" id="0" name="Picture"/>
                    <pic:cNvPicPr>
                      <a:picLocks noChangeArrowheads="1" noChangeAspect="1"/>
                    </pic:cNvPicPr>
                  </pic:nvPicPr>
                  <pic:blipFill>
                    <a:blip r:embed="rId34"/>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 and cumulative (b)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S1, S2).</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189103"/>
            <wp:effectExtent b="0" l="0" r="0" t="0"/>
            <wp:docPr descr="Figure 2. Growth trajectories for ring- and diffuse-porous trees, as both relative (a) and cumulative (b) fractions of total annual growth. Each line represents one year’s growth for a given tree, fit with McMahon model." title="" id="1" name="Picture"/>
            <a:graphic>
              <a:graphicData uri="http://schemas.openxmlformats.org/drawingml/2006/picture">
                <pic:pic>
                  <pic:nvPicPr>
                    <pic:cNvPr descr="tables_figures/climwin.png" id="0" name="Picture"/>
                    <pic:cNvPicPr>
                      <a:picLocks noChangeArrowheads="1" noChangeAspect="1"/>
                    </pic:cNvPicPr>
                  </pic:nvPicPr>
                  <pic:blipFill>
                    <a:blip r:embed="rId35"/>
                    <a:stretch>
                      <a:fillRect/>
                    </a:stretch>
                  </pic:blipFill>
                  <pic:spPr bwMode="auto">
                    <a:xfrm>
                      <a:off x="0" y="0"/>
                      <a:ext cx="5334000" cy="5189103"/>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 and cumulative (b) fractions of total annual growth. Each line represents one year’s growth for a given tree, fit with McMahon model.</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png" id="0" name="Picture"/>
                    <pic:cNvPicPr>
                      <a:picLocks noChangeArrowheads="1" noChangeAspect="1"/>
                    </pic:cNvPicPr>
                  </pic:nvPicPr>
                  <pic:blipFill>
                    <a:blip r:embed="rId36"/>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bookmarkEnd w:id="37"/>
    <w:bookmarkStart w:id="39"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2667000"/>
            <wp:effectExtent b="0" l="0" r="0" t="0"/>
            <wp:docPr descr="Figure 6. Day of year where growth milestones were achied at the Smithonian Conservation Biology Institute."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 Day of year where growth milestones were achied at the Smithonian Conservation Biology Institute.</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gorwing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bookmarkEnd w:id="39"/>
    <w:bookmarkStart w:id="40" w:name="content-to-incorporate"/>
    <w:p>
      <w:pPr>
        <w:pStyle w:val="Heading3"/>
      </w:pPr>
      <w:r>
        <w:t xml:space="preserve">(Content to incorporate)</w:t>
      </w:r>
    </w:p>
    <w:p>
      <w:pPr>
        <w:pStyle w:val="FirstParagraph"/>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40"/>
    <w:bookmarkStart w:id="41" w:name="acknowledgements"/>
    <w:p>
      <w:pPr>
        <w:pStyle w:val="Heading3"/>
      </w:pPr>
      <w:r>
        <w:t xml:space="preserve">Acknowledgements</w:t>
      </w:r>
    </w:p>
    <w:p>
      <w:pPr>
        <w:pStyle w:val="FirstParagraph"/>
      </w:pPr>
      <w:r>
        <w:t xml:space="preserve">ForestGEO</w:t>
      </w:r>
    </w:p>
    <w:bookmarkEnd w:id="41"/>
    <w:bookmarkStart w:id="42" w:name="author-contributions"/>
    <w:p>
      <w:pPr>
        <w:pStyle w:val="Heading3"/>
      </w:pPr>
      <w:r>
        <w:t xml:space="preserve">Author Contributions</w:t>
      </w:r>
    </w:p>
    <w:bookmarkEnd w:id="42"/>
    <w:bookmarkStart w:id="43" w:name="supporting-information"/>
    <w:p>
      <w:pPr>
        <w:pStyle w:val="Heading3"/>
      </w:pPr>
      <w:r>
        <w:t xml:space="preserve">Supporting Information</w:t>
      </w:r>
    </w:p>
    <w:p>
      <w:pPr>
        <w:pStyle w:val="FirstParagraph"/>
      </w:pPr>
      <w:r>
        <w:t xml:space="preserve">Figure S1. Full climwin output for DOY 25 for ring porous species at SCBI.</w:t>
      </w:r>
    </w:p>
    <w:p>
      <w:pPr>
        <w:pStyle w:val="BodyText"/>
      </w:pPr>
      <w:r>
        <w:t xml:space="preserve">Figure S1. Full climwin output for DOY 25 for diffuse porous species at SCBI.</w:t>
      </w:r>
    </w:p>
    <w:bookmarkEnd w:id="43"/>
    <w:bookmarkStart w:id="47" w:name="references"/>
    <w:p>
      <w:pPr>
        <w:pStyle w:val="Heading3"/>
      </w:pPr>
      <w:r>
        <w:t xml:space="preserve">References</w:t>
      </w:r>
    </w:p>
    <w:bookmarkStart w:id="46" w:name="refs"/>
    <w:bookmarkStart w:id="45"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44">
        <w:r>
          <w:rPr>
            <w:rStyle w:val="Hyperlink"/>
          </w:rPr>
          <w:t xml:space="preserve">https://doi.org/10.1002/ece3.1117</w:t>
        </w:r>
      </w:hyperlink>
    </w:p>
    <w:bookmarkEnd w:id="45"/>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hyperlink" Id="rId44" Target="https://doi.org/10.1002/ece3.1117" TargetMode="External" /><Relationship Type="http://schemas.openxmlformats.org/officeDocument/2006/relationships/hyperlink" Id="rId31" Target="https://onlinelibrary.wiley.com/doi/10.1111/gcb.15112"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30" Target="https://www.usanpn.org/news/spring"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doi.org/10.1002/ece3.1117" TargetMode="External" /><Relationship Type="http://schemas.openxmlformats.org/officeDocument/2006/relationships/hyperlink" Id="rId31" Target="https://onlinelibrary.wiley.com/doi/10.1111/gcb.15112"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30" Target="https://www.usanpn.org/news/spring"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2020-10-27T12:36:54Z</dcterms:created>
  <dcterms:modified xsi:type="dcterms:W3CDTF">2020-10-27T12:36:54Z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