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9.png" ContentType="image/png"/>
  <Override PartName="/word/media/rId31.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2" w:name="introduction"/>
    <w:p>
      <w:pPr>
        <w:pStyle w:val="Heading3"/>
      </w:pPr>
      <w:r>
        <w:t xml:space="preserve">Introduction</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In recent decades, an increase in average Spring temperature has been impacting many natural systems including forests (Parmesan &amp; Yohe, 2003; Zhihong, 2006). The effects of this Spring warming are most apparent when examining leaf phenology shifts, which have been extensively studied (Way, 2011; Klosterman &amp; Hufkins &amp; Richardson, 2018), leading to many critical observations.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 Therefore, timing of seasonal warming could influence when bud burst occurs, and consequently, lead to variations in total CO2 sequestered by deciduous forests.</w:t>
      </w:r>
    </w:p>
    <w:p>
      <w:pPr>
        <w:pStyle w:val="BodyText"/>
      </w:pPr>
      <w:r>
        <w:t xml:space="preserve">Shifts in leaf phenology timing could be accompanied by a change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 Further to this point, a recent publication by D’Orangeville et al () found that leaf and wood phenology traits are dissimilar among trees of different wood types (ring-porous and diffuse-porous). For example, they observed that bud burst was occuring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–Consequently, the Summer focused diffuse-porous trees are exposed to higher temperatures and drought risk than ring-porous trees.– If leaf development is sped up when Spring temperatures are warmer, we should seek to understand whether this relationship holds, and how it potentially varies among trees of different wood-types.</w:t>
      </w:r>
    </w:p>
    <w:p>
      <w:pPr>
        <w:pStyle w:val="BodyText"/>
      </w:pPr>
      <w:r>
        <w:t xml:space="preserve">Earlier leaf up timings could signal that these trees are shifting their peak growth windows back in response to increasing Spring temperatures, but to date, very little research, has been done on the phenology of stem-growth. 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in temperate forests (Foster, 2014; ). If a drought were to occur when trees were at their peak growth rates, the resulting decrease in that year’s NPP would reduce the total amount of carbon sequestered, contributing to a climate feedback loop (source?).</w:t>
      </w:r>
    </w:p>
    <w:p>
      <w:pPr>
        <w:pStyle w:val="BodyText"/>
      </w:pPr>
      <w:r>
        <w:t xml:space="preserve">While not entirely impossible, it is difficult to record intraannual growth or compare interspecific responses to Spring warming using leaf-phenology or other indirect observations. However, traditional methods of direct observation are labor intensive, and very time consuming (Source about cell sampling).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a forest dynamics plot in the Eastern USA,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milestones would be reached earlier in warmer years as compared to cooler years and (2) both wood types would increase total growth and max growth rate in response to warmer Spring temperatures.</w:t>
      </w:r>
    </w:p>
    <w:bookmarkEnd w:id="22"/>
    <w:bookmarkStart w:id="27" w:name="materials-and-methods"/>
    <w:p>
      <w:pPr>
        <w:pStyle w:val="Heading3"/>
      </w:pPr>
      <w:r>
        <w:t xml:space="preserve">Materials and Methods</w:t>
      </w:r>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r>
        <w:t xml:space="preserve"> </w:t>
      </w: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3">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4">
        <w:r>
          <w:rPr>
            <w:rStyle w:val="Hyperlink"/>
          </w:rPr>
          <w:t xml:space="preserve">https://www.usanpn.org/news/spring</w:t>
        </w:r>
      </w:hyperlink>
      <w:r>
        <w:t xml:space="preserve">) ?</w:t>
      </w:r>
    </w:p>
    <w:p>
      <w:pPr>
        <w:pStyle w:val="BodyText"/>
      </w:pPr>
      <w:r>
        <w:t xml:space="preserve">• NDVI or PRI?</w:t>
      </w:r>
      <w:r>
        <w:t xml:space="preserve"> </w:t>
      </w:r>
      <w:hyperlink r:id="rId25">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rPr>
          <w:i/>
        </w:rPr>
        <w:t xml:space="preserve">Fitting growth curves</w:t>
      </w:r>
    </w:p>
    <w:p>
      <w:pPr>
        <w:pStyle w:val="BodyText"/>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p>
      <w:pPr>
        <w:pStyle w:val="CaptionedFigure"/>
      </w:pPr>
      <w:r>
        <w:drawing>
          <wp:inline>
            <wp:extent cx="5334000" cy="3507105"/>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BodyText"/>
      </w:pPr>
      <w:r>
        <w:rPr>
          <w:i/>
        </w:rPr>
        <w:t xml:space="preserve">Determining optimal climate windows</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t xml:space="preserve">Notes for now:</w:t>
      </w:r>
    </w:p>
    <w:p>
      <w:pPr>
        <w:numPr>
          <w:ilvl w:val="0"/>
          <w:numId w:val="1003"/>
        </w:numPr>
        <w:pStyle w:val="Compact"/>
      </w:pPr>
      <w:r>
        <w:t xml:space="preserve">Model was fit to a random sample of 20 out of 106 tags to speed up computation.</w:t>
      </w:r>
      <w:r>
        <w:t xml:space="preserve"> </w:t>
      </w:r>
      <w:r>
        <w:rPr>
          <w:i/>
        </w:rPr>
        <w:t xml:space="preserve">(This isn’t the case anymore, I fit it to all tag years)</w:t>
      </w:r>
    </w:p>
    <w:p>
      <w:pPr>
        <w:numPr>
          <w:ilvl w:val="0"/>
          <w:numId w:val="1003"/>
        </w:numPr>
        <w:pStyle w:val="Compact"/>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r>
        <w:t xml:space="preserve"> </w:t>
      </w:r>
      <w:r>
        <w:rPr>
          <w:i/>
        </w:rPr>
        <w:t xml:space="preserve">(Changed to 16 C based on updated climwin windows)</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27"/>
    <w:bookmarkStart w:id="32"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3508586"/>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28"/>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29"/>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S1, S2).</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189103"/>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limwin.png" id="0" name="Picture"/>
                    <pic:cNvPicPr>
                      <a:picLocks noChangeArrowheads="1" noChangeAspect="1"/>
                    </pic:cNvPicPr>
                  </pic:nvPicPr>
                  <pic:blipFill>
                    <a:blip r:embed="rId30"/>
                    <a:stretch>
                      <a:fillRect/>
                    </a:stretch>
                  </pic:blipFill>
                  <pic:spPr bwMode="auto">
                    <a:xfrm>
                      <a:off x="0" y="0"/>
                      <a:ext cx="5334000" cy="5189103"/>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1"/>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2"/>
    <w:bookmarkStart w:id="33"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bookmarkEnd w:id="33"/>
    <w:bookmarkStart w:id="34" w:name="acknowledgements"/>
    <w:p>
      <w:pPr>
        <w:pStyle w:val="Heading3"/>
      </w:pPr>
      <w:r>
        <w:t xml:space="preserve">Acknowledgements</w:t>
      </w:r>
    </w:p>
    <w:p>
      <w:pPr>
        <w:pStyle w:val="FirstParagraph"/>
      </w:pPr>
      <w:r>
        <w:t xml:space="preserve">ForestGEO</w:t>
      </w:r>
    </w:p>
    <w:bookmarkEnd w:id="34"/>
    <w:bookmarkStart w:id="35" w:name="author-contributions"/>
    <w:p>
      <w:pPr>
        <w:pStyle w:val="Heading3"/>
      </w:pPr>
      <w:r>
        <w:t xml:space="preserve">Author Contributions</w:t>
      </w:r>
    </w:p>
    <w:bookmarkEnd w:id="35"/>
    <w:bookmarkStart w:id="36"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S1. Full climwin output for DOY 25 for diffuse porous species at SCBI.</w:t>
      </w:r>
    </w:p>
    <w:bookmarkEnd w:id="36"/>
    <w:bookmarkStart w:id="40" w:name="references"/>
    <w:p>
      <w:pPr>
        <w:pStyle w:val="Heading3"/>
      </w:pPr>
      <w:r>
        <w:t xml:space="preserve">References</w:t>
      </w:r>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37" Target="https://doi.org/10.1002/ece3.1117" TargetMode="External" /><Relationship Type="http://schemas.openxmlformats.org/officeDocument/2006/relationships/hyperlink" Id="rId25" Target="https://onlinelibrary.wiley.com/doi/10.1111/gcb.15112" TargetMode="External" /><Relationship Type="http://schemas.openxmlformats.org/officeDocument/2006/relationships/hyperlink" Id="rId23" Target="https://www.ncdc.noaa.gov/cdo-web/datasets/GHCND/stations/GHCND:USC00443229/detail" TargetMode="External" /><Relationship Type="http://schemas.openxmlformats.org/officeDocument/2006/relationships/hyperlink" Id="rId24"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5" Target="https://onlinelibrary.wiley.com/doi/10.1111/gcb.15112" TargetMode="External" /><Relationship Type="http://schemas.openxmlformats.org/officeDocument/2006/relationships/hyperlink" Id="rId23" Target="https://www.ncdc.noaa.gov/cdo-web/datasets/GHCND/stations/GHCND:USC00443229/detail" TargetMode="External" /><Relationship Type="http://schemas.openxmlformats.org/officeDocument/2006/relationships/hyperlink" Id="rId24"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2020-10-16T21:00:57Z</dcterms:created>
  <dcterms:modified xsi:type="dcterms:W3CDTF">2020-10-16T21:00:57Z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