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37.png" ContentType="image/png"/>
  <Override PartName="/word/media/rId36.png" ContentType="image/png"/>
  <Override PartName="/word/media/rId27.png" ContentType="image/png"/>
  <Override PartName="/word/media/rId39.png" ContentType="image/png"/>
  <Override PartName="/word/media/rId38.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rPr>
          <w:strike/>
        </w:rPr>
        <w:t xml:space="preserve">Effect of spring temperatures on tree growth phenology in two temperate deciduous forests</w:t>
      </w:r>
      <w:r>
        <w:t xml:space="preserve"> </w:t>
      </w:r>
      <w:r>
        <w:t xml:space="preserve">Warmer spring temperatures in temperate deciduous forests cause earlier tree growth but have little effect on annual woody productivity</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numPr>
          <w:ilvl w:val="0"/>
          <w:numId w:val="1001"/>
        </w:numPr>
        <w:pStyle w:val="Compact"/>
      </w:pPr>
      <w:r>
        <w:t xml:space="preserve">Conservation Ecology Center; Smithsonian Conservation Biology Institute; Front Royal, VA 22630, USA</w:t>
      </w:r>
    </w:p>
    <w:p>
      <w:pPr>
        <w:numPr>
          <w:ilvl w:val="0"/>
          <w:numId w:val="1002"/>
        </w:numPr>
        <w:pStyle w:val="Compact"/>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abstract"/>
    <w:p>
      <w:pPr>
        <w:pStyle w:val="Heading3"/>
      </w:pPr>
      <w:r>
        <w:t xml:space="preserve">Abstract</w:t>
      </w:r>
    </w:p>
    <w:p>
      <w:pPr>
        <w:pStyle w:val="FirstParagraph"/>
      </w:pPr>
      <w:r>
        <w:rPr>
          <w:b/>
        </w:rPr>
        <w:t xml:space="preserve">Keywords</w:t>
      </w:r>
      <w:r>
        <w:t xml:space="preserve">:</w:t>
      </w:r>
    </w:p>
    <w:p>
      <w:r>
        <w:br w:type="page"/>
      </w:r>
    </w:p>
    <w:bookmarkEnd w:id="21"/>
    <w:bookmarkStart w:id="29" w:name="introduction"/>
    <w:p>
      <w:pPr>
        <w:pStyle w:val="Heading3"/>
      </w:pPr>
      <w:r>
        <w:t xml:space="preserve">Introduction</w:t>
      </w:r>
    </w:p>
    <w:bookmarkStart w:id="22" w:name="X660eb9b5071899a1078d478a7b98063919019bb"/>
    <w:p>
      <w:pPr>
        <w:pStyle w:val="Heading4"/>
      </w:pPr>
      <w:r>
        <w:t xml:space="preserve">(1. forests are critical for climate change regulation, so we need to understand better how they’re responding to climate change)</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w:t>
      </w:r>
      <w:r>
        <w:t xml:space="preserve"> </w:t>
      </w:r>
      <w:r>
        <w:t xml:space="preserve">(</w:t>
      </w:r>
      <w:r>
        <w:rPr>
          <w:b/>
        </w:rPr>
        <w:t xml:space="preserve">???</w:t>
      </w:r>
      <w:r>
        <w:t xml:space="preserve">)</w:t>
      </w:r>
      <w:r>
        <w:t xml:space="preserve">. However, their future under the current era of rapid change is uncertain</w:t>
      </w:r>
      <w:r>
        <w:t xml:space="preserve"> </w:t>
      </w:r>
      <w:r>
        <w:t xml:space="preserve">(</w:t>
      </w:r>
      <w:r>
        <w:rPr>
          <w:b/>
        </w:rPr>
        <w:t xml:space="preserve">???</w:t>
      </w:r>
      <w:r>
        <w:t xml:space="preserve">)</w:t>
      </w:r>
      <w:r>
        <w:t xml:space="preserve">.</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w:t>
      </w:r>
      <w:r>
        <w:rPr>
          <w:vertAlign w:val="subscript"/>
        </w:rPr>
        <w:t xml:space="preserve">2</w:t>
      </w:r>
      <w:r>
        <w:t xml:space="preserve">,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bookmarkEnd w:id="22"/>
    <w:bookmarkStart w:id="23" w:name="Xe4a691bc37377ddcf1a219643891dd21faa35e9"/>
    <w:p>
      <w:pPr>
        <w:pStyle w:val="Heading4"/>
      </w:pPr>
      <w:r>
        <w:t xml:space="preserve">(2. spring temperatures are rising, and this is affecting leaf phenology and carbon cycling)</w:t>
      </w:r>
    </w:p>
    <w:p>
      <w:pPr>
        <w:pStyle w:val="FirstParagraph"/>
      </w:pPr>
      <w:r>
        <w:t xml:space="preserve">In recent decades, an increase in average spring temperature has been impacting many natural systems including forests (Parmesan &amp; Yohe, 2003; Zhihong, 2006).</w:t>
      </w:r>
      <w:r>
        <w:t xml:space="preserve"> </w:t>
      </w:r>
      <w:r>
        <w:t xml:space="preserve">Shifts in leaf phenology timing could be accompanied by changes in stem-growth phenology, which would likely affect woody productivity, carbon and nutrient cycling, and water use patterns in temperate forests (Keeling et al, 1996;).</w:t>
      </w:r>
      <w:r>
        <w:t xml:space="preserve"> </w:t>
      </w:r>
      <w:r>
        <w:t xml:space="preserve">The effects of this spring warming are most apparent when examining leaf phenology shifts,</w:t>
      </w:r>
      <w:r>
        <w:t xml:space="preserve"> </w:t>
      </w:r>
      <w:r>
        <w:rPr>
          <w:i/>
        </w:rPr>
        <w:t xml:space="preserve">which have been extensively studied (Way, 2011; Klosterman &amp; Hufkins &amp; Richardson, 2018), leading to many critical observations</w:t>
      </w:r>
      <w:r>
        <w:t xml:space="preserve">.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(Crabbe et al, 2016).</w:t>
      </w:r>
    </w:p>
    <w:p>
      <w:pPr>
        <w:pStyle w:val="BodyText"/>
      </w:pPr>
      <w:r>
        <w:t xml:space="preserve">Leaf phenology–as characterized by satellite observations of NDVI or EVI– is linked to the ecosystem CO</w:t>
      </w:r>
      <w:r>
        <w:rPr>
          <w:vertAlign w:val="subscript"/>
        </w:rPr>
        <w:t xml:space="preserve">2</w:t>
      </w:r>
      <w:r>
        <w:t xml:space="preserve"> </w:t>
      </w:r>
      <w:r>
        <w:t xml:space="preserve">uptake period. In turn, longer carbon uptake periods have been linked to greater net annual C sequestration (i.e., net ecosystem exchange, NEE) by ecosystems</w:t>
      </w:r>
      <w:r>
        <w:t xml:space="preserve"> </w:t>
      </w:r>
      <w:r>
        <w:t xml:space="preserve">(Churkina et al., 2005; Keenan et al., 2014)</w:t>
      </w:r>
      <w:r>
        <w:t xml:space="preserve">, although more of the interannual variation in forest NEE is explained by variation in maximum C uptake rates than by the length of the carbon uptake period</w:t>
      </w:r>
      <w:r>
        <w:t xml:space="preserve"> </w:t>
      </w:r>
      <w:r>
        <w:t xml:space="preserve">(Fu et al., 2019)</w:t>
      </w:r>
      <w:r>
        <w:t xml:space="preserve">.</w:t>
      </w:r>
    </w:p>
    <w:p>
      <w:pPr>
        <w:pStyle w:val="BodyText"/>
      </w:pPr>
      <w:r>
        <w:t xml:space="preserve">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w:t>
      </w:r>
    </w:p>
    <w:bookmarkEnd w:id="23"/>
    <w:bookmarkStart w:id="24" w:name="X3392c3350558a55138fccfecaf342085b00d3ad"/>
    <w:p>
      <w:pPr>
        <w:pStyle w:val="Heading4"/>
      </w:pPr>
      <w:r>
        <w:t xml:space="preserve">(3. However, we don’t know how warming springs affect stem-growth, which matters because the C allocated to stem growth will be retained in the ecosystem for decades to millenia )</w:t>
      </w:r>
    </w:p>
    <w:p>
      <w:pPr>
        <w:pStyle w:val="FirstParagraph"/>
      </w:pPr>
      <w:r>
        <w:t xml:space="preserve">Earlier leaf up timings could signal that these trees are shifting their growth windows in response to increasing spring temperatures, but to date, very little research has been done on this topic.</w:t>
      </w:r>
      <w:r>
        <w:t xml:space="preserve"> </w:t>
      </w:r>
      <w:r>
        <w:t xml:space="preserve">In fact, we know little about the stem-growth phenology of temperate deciduous species — let alone how these are affected by changes in spring temperature patterns.</w:t>
      </w:r>
      <w:r>
        <w:t xml:space="preserve"> </w:t>
      </w:r>
      <w:r>
        <w:rPr>
          <w:i/>
        </w:rPr>
        <w:t xml:space="preserve">(but check into this…. I suspect there may be some that we’re missing)</w:t>
      </w:r>
      <w:r>
        <w:t xml:space="preserve"> </w:t>
      </w:r>
      <w:r>
        <w:t xml:space="preserve">Warming events in late-spring were shown to shift leaf emergence timing back more than early-spring warming (Freidl et al, 2014) and earlier leaf emergence has been shown to cause complex lagged effects on subsequent seasonal growth in European broad leaf deciduous and mixed forests (Crabbe et al, 2016). Identifying the pre-season period of greatest sensitivity of intraannual growth, along with the effect warming within that period has on other stem phenology traits could help unravel the mysteries of tree growth.</w:t>
      </w:r>
    </w:p>
    <w:p>
      <w:pPr>
        <w:pStyle w:val="BodyText"/>
      </w:pPr>
      <w:r>
        <w:t xml:space="preserve">Tree-ring records give some hints that warmer springs may increase annual growth (Helcoski et al. 2019), but tree-rings tell us nothing about the timing of that growth. Timing of intraannual stem-growth is extremely important as well.</w:t>
      </w:r>
    </w:p>
    <w:bookmarkEnd w:id="24"/>
    <w:bookmarkStart w:id="25" w:name="Xa41eb0e22d6bf5c223bb3aff53cf0ee87481062"/>
    <w:p>
      <w:pPr>
        <w:pStyle w:val="Heading4"/>
      </w:pPr>
      <w:r>
        <w:t xml:space="preserve">(4. We also know little about differences across species or functional groups, which matters because it will affect how different species fare under climate change )</w:t>
      </w:r>
    </w:p>
    <w:p>
      <w:pPr>
        <w:pStyle w:val="FirstParagraph"/>
      </w:pPr>
      <w:r>
        <w:t xml:space="preserve">A recent publication by D’Orangeville et al () found that leaf and wood phenology traits, along with their apparent relationships, are dissimilar among trees of different wood types (ring-porous and diffuse-porous). For example, they observed that bud burst was occurring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whether this relationship holds, and how it potentially varies among trees of different wood-types.</w:t>
      </w:r>
    </w:p>
    <w:bookmarkEnd w:id="25"/>
    <w:bookmarkStart w:id="28" w:name="here-we"/>
    <w:p>
      <w:pPr>
        <w:pStyle w:val="Heading4"/>
      </w:pPr>
      <w:r>
        <w:t xml:space="preserve">(5. Here, we…)</w:t>
      </w:r>
    </w:p>
    <w:p>
      <w:pPr>
        <w:pStyle w:val="FirstParagraph"/>
      </w:pPr>
      <w:r>
        <w:t xml:space="preserve">Here, we characterize how early spring temperatures affect stem growth phenology and rates of temperate deciduous trees within</w:t>
      </w:r>
      <w:r>
        <w:t xml:space="preserve"> </w:t>
      </w:r>
      <w:r>
        <w:rPr>
          <w:b/>
        </w:rPr>
        <w:t xml:space="preserve">two/three</w:t>
      </w:r>
      <w:r>
        <w:t xml:space="preserve"> </w:t>
      </w:r>
      <w:r>
        <w:t xml:space="preserve">forest dynamics plots in the Eastern USA. Using data from dendrometer bands measured throughout the growing season, we fit a growth model to the time series of individual trees to determine the day of year (DOY) where 25, 50, and 75% annual growth was achieved; maximum growth rates and the DOY on which they occurred; total annual growth; and peak growing season length (75%-25% DOY)</w:t>
      </w:r>
      <w:r>
        <w:t xml:space="preserve"> </w:t>
      </w:r>
      <w:r>
        <w:t xml:space="preserve">(Fig. 1; McMahon &amp; Parker, 2015)</w:t>
      </w:r>
      <w:r>
        <w:t xml:space="preserve">. We test the hypotheses that (1) warmer early springs result in earlier stem growth and a period of growth, but (2) maximum growth rates are independent of spring temperatures, and as a result (3) total annual growth increases in response to warmer spring temperatures (Table 1).</w:t>
      </w:r>
    </w:p>
    <w:p>
      <w:pPr>
        <w:pStyle w:val="CaptionedFigure"/>
      </w:pPr>
      <w:r>
        <w:drawing>
          <wp:inline>
            <wp:extent cx="5334000" cy="4301143"/>
            <wp:effectExtent b="0" l="0" r="0" t="0"/>
            <wp:docPr descr="Figure 1. Schematic illustrating the parameters considered here. Shown are measurements for an example tree (## cm SPECIES), fit with the model of McMahon &amp; Parker (2015), from which phenology and growth rate parameters are obtained."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6"/>
                    <a:stretch>
                      <a:fillRect/>
                    </a:stretch>
                  </pic:blipFill>
                  <pic:spPr bwMode="auto">
                    <a:xfrm>
                      <a:off x="0" y="0"/>
                      <a:ext cx="5334000" cy="4301143"/>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w:t>
      </w:r>
    </w:p>
    <w:p>
      <w:pPr>
        <w:pStyle w:val="BodyText"/>
      </w:pPr>
      <w:r>
        <w:drawing>
          <wp:inline>
            <wp:extent cx="5334000" cy="2256190"/>
            <wp:effectExtent b="0" l="0" r="0" t="0"/>
            <wp:docPr descr="" title="" id="1" name="Picture"/>
            <a:graphic>
              <a:graphicData uri="http://schemas.openxmlformats.org/drawingml/2006/picture">
                <pic:pic>
                  <pic:nvPicPr>
                    <pic:cNvPr descr="tables_figures/hypothesis_table.png" id="0" name="Picture"/>
                    <pic:cNvPicPr>
                      <a:picLocks noChangeArrowheads="1" noChangeAspect="1"/>
                    </pic:cNvPicPr>
                  </pic:nvPicPr>
                  <pic:blipFill>
                    <a:blip r:embed="rId27"/>
                    <a:stretch>
                      <a:fillRect/>
                    </a:stretch>
                  </pic:blipFill>
                  <pic:spPr bwMode="auto">
                    <a:xfrm>
                      <a:off x="0" y="0"/>
                      <a:ext cx="5334000" cy="2256190"/>
                    </a:xfrm>
                    <a:prstGeom prst="rect">
                      <a:avLst/>
                    </a:prstGeom>
                    <a:noFill/>
                    <a:ln w="9525">
                      <a:noFill/>
                      <a:headEnd/>
                      <a:tailEnd/>
                    </a:ln>
                  </pic:spPr>
                </pic:pic>
              </a:graphicData>
            </a:graphic>
          </wp:inline>
        </w:drawing>
      </w:r>
    </w:p>
    <w:bookmarkEnd w:id="28"/>
    <w:bookmarkEnd w:id="29"/>
    <w:bookmarkStart w:id="35" w:name="materials-and-methods"/>
    <w:p>
      <w:pPr>
        <w:pStyle w:val="Heading3"/>
      </w:pPr>
      <w:r>
        <w:t xml:space="preserve">Materials and Methods</w:t>
      </w:r>
    </w:p>
    <w:bookmarkStart w:id="31" w:name="study-sites-and-data"/>
    <w:p>
      <w:pPr>
        <w:pStyle w:val="Heading4"/>
      </w:pPr>
      <w:r>
        <w:t xml:space="preserve">Study sites and data</w:t>
      </w:r>
    </w:p>
    <w:p>
      <w:pPr>
        <w:pStyle w:val="FirstParagraph"/>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Metal dendrometer bands installed on</w:t>
      </w:r>
      <w:r>
        <w:t xml:space="preserve"> </w:t>
      </w:r>
      <w:r>
        <w:rPr>
          <w:i/>
        </w:rPr>
        <w:t xml:space="preserve">700-755</w:t>
      </w:r>
      <w:r>
        <w:t xml:space="preserve"> </w:t>
      </w:r>
      <w:r>
        <w:t xml:space="preserve">trees at Harvard Forest and</w:t>
      </w:r>
      <w:r>
        <w:t xml:space="preserve"> </w:t>
      </w:r>
      <w:r>
        <w:rPr>
          <w:i/>
        </w:rPr>
        <w:t xml:space="preserve">99-145</w:t>
      </w:r>
      <w:r>
        <w:t xml:space="preserve"> </w:t>
      </w:r>
      <w:r>
        <w:t xml:space="preserve">trees at SCBI were measured with a digital caliper approximately every 1-2 weeks within the growing season from 1998-2003, and 2011-2020 respectively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 (Table S1) (tags_per_year_preclean in data folder). Across years, the number of bands sampled averaged</w:t>
      </w:r>
      <w:r>
        <w:t xml:space="preserve"> </w:t>
      </w:r>
      <w:r>
        <w:rPr>
          <w:i/>
        </w:rPr>
        <w:t xml:space="preserve">~135</w:t>
      </w:r>
      <w:r>
        <w:t xml:space="preserve"> </w:t>
      </w:r>
      <w:r>
        <w:t xml:space="preserve">at SCBI,</w:t>
      </w:r>
      <w:r>
        <w:t xml:space="preserve"> </w:t>
      </w:r>
      <w:r>
        <w:rPr>
          <w:i/>
        </w:rPr>
        <w:t xml:space="preserve">~717</w:t>
      </w:r>
      <w:r>
        <w:t xml:space="preserve"> </w:t>
      </w:r>
      <w:r>
        <w:t xml:space="preserve">at Harvard Forest</w:t>
      </w:r>
      <w:r>
        <w:rPr>
          <w:i/>
        </w:rPr>
        <w:t xml:space="preserve">, and # at SERC</w:t>
      </w:r>
      <w:r>
        <w:t xml:space="preserve">. At SCBI, 4 species were sampled including two diffuse-porous (Lirodendron tulipfera and Fagus grandafolia) and two ring-porous (Quercus rubra and Quercus alba) species. At Harvard Forest, 11 species were sampled including 8 diffuse-porous and 3 ring-porous (SI table)(bands_bySP csv’s in data folder).</w:t>
      </w:r>
      <w:r>
        <w:t xml:space="preserve"> </w:t>
      </w:r>
      <w:r>
        <w:rPr>
          <w:i/>
        </w:rPr>
        <w:t xml:space="preserve">(summary of how bands were distributed across species, focusing on ring/ diffuse porous distinction. details in an SI table)</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At SCBI, the median start date was 4/14, which was adjusted when early leaf-out of understory shrubs and herbs was observed, and the median end date was 10/17, coinciding with late senescence in the plot. The earliest start date for intraannual measurements at SCBI was March 30, 2020 and the latest end date was November 26, 2012. Harvard Forest measurements took place at a similar time, with the median start date of 4/23 and median end date of 10/30. 1998 was an anomalous year where initial measurements were taken on 1/5, but not taken again until 4/15. The latest end date was November 11, 2002.</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3. Other - cases where data was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for SCBI were obtained from a meteorological tower adjacent to the SCBI ForestGEO plot (data can be found on the ForestGEO climate portal, DOI on github). Daily maximum temperatures at Harvard Forest were obtained from the Harvard Forest weather station (Boose &amp; Gould, 2004; Boose, 2018). The R package climpact () was used to plot TMAX for visual inspection.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30">
        <w:r>
          <w:rPr>
            <w:rStyle w:val="Hyperlink"/>
          </w:rPr>
          <w:t xml:space="preserve">https://www.ncdc.noaa.gov/cdo-web/datasets/GHCND/stations/GHCND:USC00443229/detail</w:t>
        </w:r>
      </w:hyperlink>
      <w:r>
        <w:t xml:space="preserve">).</w:t>
      </w:r>
    </w:p>
    <w:bookmarkEnd w:id="31"/>
    <w:bookmarkStart w:id="32" w:name="fitting-growth-curves"/>
    <w:p>
      <w:pPr>
        <w:pStyle w:val="Heading4"/>
      </w:pPr>
      <w:r>
        <w:t xml:space="preserve">Fitting growth curves</w:t>
      </w:r>
    </w:p>
    <w:p>
      <w:pPr>
        <w:pStyle w:val="FirstParagraph"/>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bookmarkEnd w:id="32"/>
    <w:bookmarkStart w:id="33" w:name="determining-optimal-climate-windows"/>
    <w:p>
      <w:pPr>
        <w:pStyle w:val="Heading4"/>
      </w:pPr>
      <w:r>
        <w:t xml:space="preserve">Determining optimal climate windows</w:t>
      </w:r>
    </w:p>
    <w:p>
      <w:pPr>
        <w:pStyle w:val="FirstParagraph"/>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bookmarkEnd w:id="33"/>
    <w:bookmarkStart w:id="34" w:name="hypothesis-testing"/>
    <w:p>
      <w:pPr>
        <w:pStyle w:val="Heading4"/>
      </w:pPr>
      <w:r>
        <w:t xml:space="preserve">Hypothesis testing</w:t>
      </w:r>
    </w:p>
    <w:p>
      <w:pPr>
        <w:pStyle w:val="FirstParagraph"/>
      </w:pPr>
      <w:r>
        <w:t xml:space="preserve">Correlation between these variables and spring temperatures over the 15 year study period (1998-2003; 2011-2019) were assessed using a linear mixed model in a heriarchal bayesian framework.</w:t>
      </w:r>
    </w:p>
    <w:p>
      <w:pPr>
        <w:pStyle w:val="BodyText"/>
      </w:pPr>
      <w:r>
        <w:t xml:space="preserve">Notes for now:</w:t>
      </w:r>
    </w:p>
    <w:p>
      <w:pPr>
        <w:numPr>
          <w:ilvl w:val="0"/>
          <w:numId w:val="1003"/>
        </w:numPr>
        <w:pStyle w:val="Compact"/>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numPr>
          <w:ilvl w:val="1"/>
          <w:numId w:val="1004"/>
        </w:numPr>
        <w:pStyle w:val="Compact"/>
      </w:pPr>
      <w:r>
        <w:t xml:space="preserve">Fixed effects: The interaction between wood type (diffuse vs ring porous) and climwin mean</w:t>
      </w:r>
    </w:p>
    <w:p>
      <w:pPr>
        <w:numPr>
          <w:ilvl w:val="1"/>
          <w:numId w:val="1004"/>
        </w:numPr>
        <w:pStyle w:val="Compact"/>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heirarchical model</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t xml:space="preserve">(</w:t>
      </w:r>
      <w:r>
        <w:rPr>
          <w:b/>
        </w:rPr>
        <w:t xml:space="preserve">???</w:t>
      </w:r>
      <w:r>
        <w:t xml:space="preserve">)</w:t>
      </w:r>
      <w:r>
        <w:t xml:space="preserve">. In all cases unless otherwise specified, all prior distributions are set to be the weakly informative defaults.</w:t>
      </w:r>
      <w:r>
        <w:t xml:space="preserve"> </w:t>
      </w:r>
    </w:p>
    <w:bookmarkEnd w:id="34"/>
    <w:bookmarkEnd w:id="35"/>
    <w:bookmarkStart w:id="40" w:name="results"/>
    <w:p>
      <w:pPr>
        <w:pStyle w:val="Heading3"/>
      </w:pPr>
      <w:r>
        <w:t xml:space="preserve">Results</w:t>
      </w:r>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2667000"/>
            <wp:effectExtent b="0" l="0" r="0" t="0"/>
            <wp:docPr descr="Figure 2. Growth trajectories for ring- and diffuse-porous trees, as both relative and cumulative fractions of total annual growth. Each line represents one year’s growth for a given tree, fit with McMahon model." title="" id="1" name="Picture"/>
            <a:graphic>
              <a:graphicData uri="http://schemas.openxmlformats.org/drawingml/2006/picture">
                <pic:pic>
                  <pic:nvPicPr>
                    <pic:cNvPr descr="tables_figures/growth_curves_all.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and cumulative fractions of total annual growth. Each line represents one year’s growth for a given tree, fit with McMahon model.</w:t>
      </w:r>
    </w:p>
    <w:p>
      <w:pPr>
        <w:pStyle w:val="BodyText"/>
      </w:pPr>
      <w:r>
        <w:rPr>
          <w:i/>
        </w:rPr>
        <w:t xml:space="preserve">Optimal climate windows</w:t>
      </w:r>
    </w:p>
    <w:p>
      <w:pPr>
        <w:pStyle w:val="BodyText"/>
      </w:pPr>
      <w:r>
        <w:t xml:space="preserve">For the majority of weekly time windows from Feb. 1 to</w:t>
      </w:r>
      <w:r>
        <w:t xml:space="preserve"> </w:t>
      </w:r>
      <m:oMath>
        <m:r>
          <m:t>D</m:t>
        </m:r>
        <m:r>
          <m:t>O</m:t>
        </m:r>
        <m:sSub>
          <m:e>
            <m:r>
              <m:t>Y</m:t>
            </m:r>
          </m:e>
          <m:sub>
            <m:r>
              <m:t>25</m:t>
            </m:r>
          </m:sub>
        </m:sSub>
      </m:oMath>
      <w:r>
        <w:t xml:space="preserve">, there was negative relationship between temperature and</w:t>
      </w:r>
      <w:r>
        <w:t xml:space="preserve"> </w:t>
      </w:r>
      <m:oMath>
        <m:r>
          <m:t>D</m:t>
        </m:r>
        <m:r>
          <m:t>O</m:t>
        </m:r>
        <m:sSub>
          <m:e>
            <m:r>
              <m:t>Y</m:t>
            </m:r>
          </m:e>
          <m:sub>
            <m:r>
              <m:t>25</m:t>
            </m:r>
          </m:sub>
        </m:sSub>
      </m:oMath>
      <w:r>
        <w:t xml:space="preserve">, meaning that warmer temperatures shifted growth earlier in the season (Figs. 3, S3, S4).</w:t>
      </w:r>
      <w:r>
        <w:t xml:space="preserve"> </w:t>
      </w:r>
      <w:r>
        <w:t xml:space="preserve">This held true for both ring- and diffuse-porous trees,</w:t>
      </w:r>
      <w:r>
        <w:t xml:space="preserve"> </w:t>
      </w:r>
      <w:r>
        <w:rPr>
          <w:i/>
        </w:rPr>
        <w:t xml:space="preserve">albeit</w:t>
      </w:r>
      <w:r>
        <w:t xml:space="preserve"> </w:t>
      </w:r>
      <w:r>
        <w:t xml:space="preserve">with stronger relationships for ring-porous trees.</w:t>
      </w:r>
      <w:r>
        <w:t xml:space="preserve"> </w:t>
      </w:r>
      <w:r>
        <w:rPr>
          <w:i/>
        </w:rPr>
        <w:t xml:space="preserve">(Describe the landscape:)</w:t>
      </w:r>
      <w:r>
        <w:t xml:space="preserve"> </w:t>
      </w:r>
      <w:r>
        <w:t xml:space="preserve">In general, there were significant negative relationships between temperature and</w:t>
      </w:r>
      <w:r>
        <w:t xml:space="preserve"> </w:t>
      </w:r>
      <m:oMath>
        <m:r>
          <m:t>D</m:t>
        </m:r>
        <m:r>
          <m:t>O</m:t>
        </m:r>
        <m:sSub>
          <m:e>
            <m:r>
              <m:t>Y</m:t>
            </m:r>
          </m:e>
          <m:sub>
            <m:r>
              <m:t>25</m:t>
            </m:r>
          </m:sub>
        </m:sSub>
      </m:oMath>
      <w:r>
        <w:t xml:space="preserve"> </w:t>
      </w:r>
      <w:r>
        <w:t xml:space="preserve">for any time period beginning</w:t>
      </w:r>
      <w:r>
        <w:t xml:space="preserve"> </w:t>
      </w:r>
      <m:oMath>
        <m:r>
          <m:t>≥</m:t>
        </m:r>
      </m:oMath>
      <w:r>
        <w:t xml:space="preserve"> </w:t>
      </w:r>
      <w:r>
        <w:rPr>
          <w:b/>
        </w:rPr>
        <w:t xml:space="preserve">5</w:t>
      </w:r>
      <w:r>
        <w:t xml:space="preserve"> </w:t>
      </w:r>
      <w:r>
        <w:t xml:space="preserve">weeks prior to</w:t>
      </w:r>
      <w:r>
        <w:t xml:space="preserve"> </w:t>
      </w:r>
      <m:oMath>
        <m:r>
          <m:t>D</m:t>
        </m:r>
        <m:r>
          <m:t>O</m:t>
        </m:r>
        <m:sSub>
          <m:e>
            <m:r>
              <m:t>Y</m:t>
            </m:r>
          </m:e>
          <m:sub>
            <m:r>
              <m:t>25</m:t>
            </m:r>
          </m:sub>
        </m:sSub>
      </m:oMath>
      <w:r>
        <w:t xml:space="preserve">, ending</w:t>
      </w:r>
      <w:r>
        <w:t xml:space="preserve"> </w:t>
      </w:r>
      <m:oMath>
        <m:r>
          <m:t>≤</m:t>
        </m:r>
      </m:oMath>
      <w:r>
        <w:t xml:space="preserve"> </w:t>
      </w:r>
      <w:r>
        <w:rPr>
          <w:b/>
        </w:rPr>
        <w:t xml:space="preserve">6</w:t>
      </w:r>
      <w:r>
        <w:t xml:space="preserve"> </w:t>
      </w:r>
      <w:r>
        <w:t xml:space="preserve">weeks prior, and covering at least a</w:t>
      </w:r>
      <w:r>
        <w:t xml:space="preserve"> </w:t>
      </w:r>
      <w:r>
        <w:rPr>
          <w:b/>
        </w:rPr>
        <w:t xml:space="preserve">3</w:t>
      </w:r>
      <w:r>
        <w:t xml:space="preserve">-week period.</w:t>
      </w:r>
      <w:r>
        <w:t xml:space="preserve"> </w:t>
      </w:r>
      <w:r>
        <w:t xml:space="preserve">Relationships tended to be weaker and more stochastic in sign for short time periods, particularly those just prior to</w:t>
      </w:r>
      <w:r>
        <w:t xml:space="preserve"> </w:t>
      </w:r>
      <m:oMath>
        <m:r>
          <m:t>D</m:t>
        </m:r>
        <m:r>
          <m:t>O</m:t>
        </m:r>
        <m:sSub>
          <m:e>
            <m:r>
              <m:t>Y</m:t>
            </m:r>
          </m:e>
          <m:sub>
            <m:r>
              <m:t>25</m:t>
            </m:r>
          </m:sub>
        </m:sSub>
      </m:oMath>
      <w:r>
        <w:t xml:space="preserve">.</w:t>
      </w:r>
    </w:p>
    <w:p>
      <w:pPr>
        <w:pStyle w:val="BodyText"/>
      </w:pPr>
      <w:r>
        <w:t xml:space="preserve">Optimal windows occurred from</w:t>
      </w:r>
      <w:r>
        <w:t xml:space="preserve"> </w:t>
      </w:r>
      <w:r>
        <w:rPr>
          <w:b/>
        </w:rPr>
        <w:t xml:space="preserve">##-##</w:t>
      </w:r>
      <w:r>
        <w:t xml:space="preserve"> </w:t>
      </w:r>
      <w:r>
        <w:t xml:space="preserve">for ring-porous species and from</w:t>
      </w:r>
      <w:r>
        <w:t xml:space="preserve"> </w:t>
      </w:r>
      <w:r>
        <w:rPr>
          <w:b/>
        </w:rPr>
        <w:t xml:space="preserve">##-##</w:t>
      </w:r>
      <w:r>
        <w:t xml:space="preserve"> </w:t>
      </w:r>
      <w:r>
        <w:t xml:space="preserve">for diffuse-porous species.</w:t>
      </w:r>
    </w:p>
    <w:p>
      <w:pPr>
        <w:pStyle w:val="CaptionedFigure"/>
      </w:pPr>
      <w:r>
        <w:drawing>
          <wp:inline>
            <wp:extent cx="5334000" cy="5754143"/>
            <wp:effectExtent b="0" l="0" r="0" t="0"/>
            <wp:docPr descr="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title="" id="1" name="Picture"/>
            <a:graphic>
              <a:graphicData uri="http://schemas.openxmlformats.org/drawingml/2006/picture">
                <pic:pic>
                  <pic:nvPicPr>
                    <pic:cNvPr descr="tables_figures/climwin.png" id="0" name="Picture"/>
                    <pic:cNvPicPr>
                      <a:picLocks noChangeArrowheads="1" noChangeAspect="1"/>
                    </pic:cNvPicPr>
                  </pic:nvPicPr>
                  <pic:blipFill>
                    <a:blip r:embed="rId37"/>
                    <a:stretch>
                      <a:fillRect/>
                    </a:stretch>
                  </pic:blipFill>
                  <pic:spPr bwMode="auto">
                    <a:xfrm>
                      <a:off x="0" y="0"/>
                      <a:ext cx="5334000" cy="5754143"/>
                    </a:xfrm>
                    <a:prstGeom prst="rect">
                      <a:avLst/>
                    </a:prstGeom>
                    <a:noFill/>
                    <a:ln w="9525">
                      <a:noFill/>
                      <a:headEnd/>
                      <a:tailEnd/>
                    </a:ln>
                  </pic:spPr>
                </pic:pic>
              </a:graphicData>
            </a:graphic>
          </wp:inline>
        </w:drawing>
      </w:r>
    </w:p>
    <w:p>
      <w:pPr>
        <w:pStyle w:val="ImageCaption"/>
      </w:pPr>
      <w:r>
        <w:t xml:space="preserve">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r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_scbi.png" id="0" name="Picture"/>
                    <pic:cNvPicPr>
                      <a:picLocks noChangeArrowheads="1" noChangeAspect="1"/>
                    </pic:cNvPicPr>
                  </pic:nvPicPr>
                  <pic:blipFill>
                    <a:blip r:embed="rId38"/>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temperatures.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p>
      <w:pPr>
        <w:pStyle w:val="CaptionedFigure"/>
      </w:pPr>
      <w:r>
        <w:drawing>
          <wp:inline>
            <wp:extent cx="5334000" cy="3956424"/>
            <wp:effectExtent b="0" l="0" r="0" t="0"/>
            <wp:docPr descr="Harvard. FIGURES WILL NEED TO BE COMBINED" title="" id="1" name="Picture"/>
            <a:graphic>
              <a:graphicData uri="http://schemas.openxmlformats.org/drawingml/2006/picture">
                <pic:pic>
                  <pic:nvPicPr>
                    <pic:cNvPr descr="tables_figures/pheno_Tsensitivity_HF.png" id="0" name="Picture"/>
                    <pic:cNvPicPr>
                      <a:picLocks noChangeArrowheads="1" noChangeAspect="1"/>
                    </pic:cNvPicPr>
                  </pic:nvPicPr>
                  <pic:blipFill>
                    <a:blip r:embed="rId39"/>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Harvard. FIGURES WILL NEED TO BE COMBINED</w:t>
      </w:r>
    </w:p>
    <w:bookmarkEnd w:id="40"/>
    <w:bookmarkStart w:id="42" w:name="discussion"/>
    <w:p>
      <w:pPr>
        <w:pStyle w:val="Heading3"/>
      </w:pPr>
      <w:r>
        <w:t xml:space="preserve">Discussion</w:t>
      </w:r>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CaptionedFigure"/>
      </w:pPr>
      <w:r>
        <w:drawing>
          <wp:inline>
            <wp:extent cx="5334000" cy="5334000"/>
            <wp:effectExtent b="0" l="0" r="0" t="0"/>
            <wp:docPr descr="Figure 5. Day of year where growth milestones were achied at (a) the Smithonian Conservation Biology Institute and (b) Harvard Forest." title="" id="1" name="Picture"/>
            <a:graphic>
              <a:graphicData uri="http://schemas.openxmlformats.org/drawingml/2006/picture">
                <pic:pic>
                  <pic:nvPicPr>
                    <pic:cNvPr descr="tables_figures/DOYtiming.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Day of year where growth milestones were achied at (a) the Smithonian Conservation Biology Institute and (b) Harvard Forest.</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growing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bookmarkEnd w:id="42"/>
    <w:bookmarkStart w:id="43" w:name="content-to-incorporate"/>
    <w:p>
      <w:pPr>
        <w:pStyle w:val="Heading3"/>
      </w:pPr>
      <w:r>
        <w:t xml:space="preserve">(Content to incorporate)</w:t>
      </w:r>
    </w:p>
    <w:p>
      <w:pPr>
        <w:pStyle w:val="FirstParagraph"/>
      </w:pPr>
      <w:r>
        <w:t xml:space="preserve">results align with</w:t>
      </w:r>
      <w:r>
        <w:t xml:space="preserve"> </w:t>
      </w:r>
      <w:r>
        <w:t xml:space="preserve">Fu et al. (2019)</w:t>
      </w:r>
      <w:r>
        <w:t xml:space="preserve">, which shows that interannual variation in NEE is more strongly linked to peak C uptake rates than to growing season length. Our study demonstrates that this holds true for</w:t>
      </w:r>
      <w:r>
        <w:t xml:space="preserve"> </w:t>
      </w:r>
      <m:oMath>
        <m:r>
          <m:t>A</m:t>
        </m:r>
        <m:r>
          <m:t>N</m:t>
        </m:r>
        <m:r>
          <m:t>P</m:t>
        </m:r>
        <m:sSub>
          <m:e>
            <m:r>
              <m:t>P</m:t>
            </m:r>
          </m:e>
          <m:sub>
            <m:r>
              <m:t>w</m:t>
            </m:r>
            <m:r>
              <m:t>o</m:t>
            </m:r>
            <m:r>
              <m:t>o</m:t>
            </m:r>
            <m:r>
              <m:t>d</m:t>
            </m:r>
            <m:r>
              <m:t>y</m:t>
            </m:r>
          </m:sub>
        </m:sSub>
      </m:oMath>
      <w:r>
        <w:t xml:space="preserve"> </w:t>
      </w:r>
      <w:r>
        <w:t xml:space="preserve">as well as NEE.</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43"/>
    <w:bookmarkStart w:id="44" w:name="acknowledgements"/>
    <w:p>
      <w:pPr>
        <w:pStyle w:val="Heading3"/>
      </w:pPr>
      <w:r>
        <w:t xml:space="preserve">Acknowledgements</w:t>
      </w:r>
    </w:p>
    <w:p>
      <w:pPr>
        <w:pStyle w:val="FirstParagraph"/>
      </w:pPr>
      <w:r>
        <w:t xml:space="preserve">ForestGEO</w:t>
      </w:r>
    </w:p>
    <w:bookmarkEnd w:id="44"/>
    <w:bookmarkStart w:id="45" w:name="author-contributions"/>
    <w:p>
      <w:pPr>
        <w:pStyle w:val="Heading3"/>
      </w:pPr>
      <w:r>
        <w:t xml:space="preserve">Author Contributions</w:t>
      </w:r>
    </w:p>
    <w:bookmarkEnd w:id="45"/>
    <w:bookmarkStart w:id="46" w:name="supporting-information"/>
    <w:p>
      <w:pPr>
        <w:pStyle w:val="Heading3"/>
      </w:pPr>
      <w:r>
        <w:t xml:space="preserve">Supporting Information</w:t>
      </w:r>
    </w:p>
    <w:p>
      <w:pPr>
        <w:pStyle w:val="FirstParagraph"/>
      </w:pPr>
      <w:r>
        <w:t xml:space="preserve">Table S1. Sample size by year</w:t>
      </w:r>
    </w:p>
    <w:p>
      <w:pPr>
        <w:pStyle w:val="BodyText"/>
      </w:pPr>
      <w:r>
        <w:t xml:space="preserve">Figure S1. Full climwin output for DOY 25 for ring porous species at SCBI.</w:t>
      </w:r>
    </w:p>
    <w:p>
      <w:pPr>
        <w:pStyle w:val="BodyText"/>
      </w:pPr>
      <w:r>
        <w:t xml:space="preserve">Figure S2. Full climwin output for DOY 25 for diffuse porous species at SCBI.</w:t>
      </w:r>
    </w:p>
    <w:p>
      <w:pPr>
        <w:pStyle w:val="BodyText"/>
      </w:pPr>
      <w:r>
        <w:t xml:space="preserve">Figure S3. Full climwin output for DOY 25 for ring porous species at Harvard Forest.</w:t>
      </w:r>
    </w:p>
    <w:p>
      <w:pPr>
        <w:pStyle w:val="BodyText"/>
      </w:pPr>
      <w:r>
        <w:t xml:space="preserve">Figure S4. Full climwin output for DOY 25 for diffuse porous species at Harvard Forest.</w:t>
      </w:r>
    </w:p>
    <w:bookmarkEnd w:id="46"/>
    <w:bookmarkStart w:id="56" w:name="references"/>
    <w:p>
      <w:pPr>
        <w:pStyle w:val="Heading3"/>
      </w:pPr>
      <w:r>
        <w:t xml:space="preserve">References</w:t>
      </w:r>
    </w:p>
    <w:bookmarkStart w:id="55" w:name="refs"/>
    <w:bookmarkStart w:id="48" w:name="ref-churkina_spatial_2005"/>
    <w:p>
      <w:pPr>
        <w:pStyle w:val="Bibliography"/>
      </w:pPr>
      <w:r>
        <w:t xml:space="preserve">Churkina, G., Schimel, D., Braswell, B. H., &amp; Xiao, X. (2005). Spatial analysis of growing season length control over net ecosystem exchange.</w:t>
      </w:r>
      <w:r>
        <w:t xml:space="preserve"> </w:t>
      </w:r>
      <w:r>
        <w:rPr>
          <w:i/>
        </w:rPr>
        <w:t xml:space="preserve">Global Change Biology</w:t>
      </w:r>
      <w:r>
        <w:t xml:space="preserve">,</w:t>
      </w:r>
      <w:r>
        <w:t xml:space="preserve"> </w:t>
      </w:r>
      <w:r>
        <w:rPr>
          <w:i/>
        </w:rPr>
        <w:t xml:space="preserve">11</w:t>
      </w:r>
      <w:r>
        <w:t xml:space="preserve">(10), 1777–1787.</w:t>
      </w:r>
      <w:r>
        <w:t xml:space="preserve"> </w:t>
      </w:r>
      <w:hyperlink r:id="rId47">
        <w:r>
          <w:rPr>
            <w:rStyle w:val="Hyperlink"/>
          </w:rPr>
          <w:t xml:space="preserve">https://doi.org/10.1111/j.1365-2486.2005.001012.x</w:t>
        </w:r>
      </w:hyperlink>
    </w:p>
    <w:bookmarkEnd w:id="48"/>
    <w:bookmarkStart w:id="50" w:name="ref-fu_maximum_2019"/>
    <w:p>
      <w:pPr>
        <w:pStyle w:val="Bibliography"/>
      </w:pPr>
      <w:r>
        <w:t xml:space="preserve">Fu, Z., Stoy, P. C., Poulter, B., Gerken, T., Zhang, Z., Wakbulcho, G., &amp; Niu, S. (2019). Maximum carbon uptake rate dominates the interannual variability of global net ecosystem exchange.</w:t>
      </w:r>
      <w:r>
        <w:t xml:space="preserve"> </w:t>
      </w:r>
      <w:r>
        <w:rPr>
          <w:i/>
        </w:rPr>
        <w:t xml:space="preserve">Global Change Biology</w:t>
      </w:r>
      <w:r>
        <w:t xml:space="preserve">,</w:t>
      </w:r>
      <w:r>
        <w:t xml:space="preserve"> </w:t>
      </w:r>
      <w:r>
        <w:rPr>
          <w:i/>
        </w:rPr>
        <w:t xml:space="preserve">25</w:t>
      </w:r>
      <w:r>
        <w:t xml:space="preserve">(10), 3381–3394.</w:t>
      </w:r>
      <w:r>
        <w:t xml:space="preserve"> </w:t>
      </w:r>
      <w:hyperlink r:id="rId49">
        <w:r>
          <w:rPr>
            <w:rStyle w:val="Hyperlink"/>
          </w:rPr>
          <w:t xml:space="preserve">https://doi.org/10.1111/gcb.14731</w:t>
        </w:r>
      </w:hyperlink>
    </w:p>
    <w:bookmarkEnd w:id="50"/>
    <w:bookmarkStart w:id="52"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
        </w:rPr>
        <w:t xml:space="preserve">Nature Climate Change</w:t>
      </w:r>
      <w:r>
        <w:t xml:space="preserve">,</w:t>
      </w:r>
      <w:r>
        <w:t xml:space="preserve"> </w:t>
      </w:r>
      <w:r>
        <w:rPr>
          <w:i/>
        </w:rPr>
        <w:t xml:space="preserve">4</w:t>
      </w:r>
      <w:r>
        <w:t xml:space="preserve">(7), 598–604.</w:t>
      </w:r>
      <w:r>
        <w:t xml:space="preserve"> </w:t>
      </w:r>
      <w:hyperlink r:id="rId51">
        <w:r>
          <w:rPr>
            <w:rStyle w:val="Hyperlink"/>
          </w:rPr>
          <w:t xml:space="preserve">https://doi.org/10.1038/nclimate2253</w:t>
        </w:r>
      </w:hyperlink>
    </w:p>
    <w:bookmarkEnd w:id="52"/>
    <w:bookmarkStart w:id="54"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53">
        <w:r>
          <w:rPr>
            <w:rStyle w:val="Hyperlink"/>
          </w:rPr>
          <w:t xml:space="preserve">https://doi.org/10.1002/ece3.1117</w:t>
        </w:r>
      </w:hyperlink>
    </w:p>
    <w:bookmarkEnd w:id="54"/>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hyperlink" Id="rId53" Target="https://doi.org/10.1002/ece3.1117" TargetMode="External" /><Relationship Type="http://schemas.openxmlformats.org/officeDocument/2006/relationships/hyperlink" Id="rId51" Target="https://doi.org/10.1038/nclimate2253" TargetMode="External" /><Relationship Type="http://schemas.openxmlformats.org/officeDocument/2006/relationships/hyperlink" Id="rId49" Target="https://doi.org/10.1111/gcb.14731" TargetMode="External" /><Relationship Type="http://schemas.openxmlformats.org/officeDocument/2006/relationships/hyperlink" Id="rId47" Target="https://doi.org/10.1111/j.1365-2486.2005.001012.x"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3" Target="https://doi.org/10.1002/ece3.1117" TargetMode="External" /><Relationship Type="http://schemas.openxmlformats.org/officeDocument/2006/relationships/hyperlink" Id="rId51" Target="https://doi.org/10.1038/nclimate2253" TargetMode="External" /><Relationship Type="http://schemas.openxmlformats.org/officeDocument/2006/relationships/hyperlink" Id="rId49" Target="https://doi.org/10.1111/gcb.14731" TargetMode="External" /><Relationship Type="http://schemas.openxmlformats.org/officeDocument/2006/relationships/hyperlink" Id="rId47" Target="https://doi.org/10.1111/j.1365-2486.2005.001012.x"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2020-11-10T17:01:47Z</dcterms:created>
  <dcterms:modified xsi:type="dcterms:W3CDTF">2020-11-10T17:01:47Z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