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In recent decades, an increase in average Spring temperature has been impacting many natural systems including forests (Parmesan &amp; Yohe, 2003; Zhihong, 2006). The effects of this Spring warming are most apparent when examining leaf phenology shifts, which have been extensively studied (Way, 2011; Klosterman &amp; Hufkins &amp; Richardson, 2018), leading to many interesting observations. As temperatures are increasing, some regions have seen earlier leaf out in deciduous trees, sometimes matched or exceeded by later leaf senescence, meaning a potential shift in growing season timing or length (Ibáñez et al, 2010; Jeong et al., 2011). The timing of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Shifts in leaf phenology timing could be accompanied by a change in stem-growth phenology, which would likely affect woody productivity, carbon and nutrient cycling, and water use patterns in temperate forests (Keeling et al, 1996;). However, the fine-scale responses of temperate deciduous species to a warming Spring are not commonly researched due to the increased effort required.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 To date, very little research, has been done on the phenology of stem-growth.</w:t>
      </w:r>
    </w:p>
    <w:p>
      <w:pPr>
        <w:pStyle w:val="BodyText"/>
      </w:pPr>
      <w:r>
        <w:t xml:space="preserve">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of NPP in temperate forests (Foster, 2014; ). For example, if a drought were to occur when trees were at their peak growth rates, it could decrease that year’s NPP substantially, and subsequently, reduce the total amount of carbon sequestered, contributing to a negative climate feedback loop (source?). Recent results from a paper by D’Orangeville et al. (in review) have shown that wood-type plays a significant role in the timing of leaf and wood phenology. They showed that ring-porous trees begin growth earlier in the season compared to diffuse-porous trees, but both reached 75% total annual growth around the same time. This implies evolutionary differences in the mechanisms controlling growth of these species, which have the potential to expose each group to different climate stresses.</w:t>
      </w:r>
    </w:p>
    <w:p>
      <w:pPr>
        <w:pStyle w:val="BodyText"/>
      </w:pPr>
      <w:r>
        <w:t xml:space="preserve">^More info on wood-type? move some stuff up from discussion?</w:t>
      </w:r>
    </w:p>
    <w:p>
      <w:pPr>
        <w:pStyle w:val="BodyText"/>
      </w:pPr>
      <w:r>
        <w:t xml:space="preserve">While not entirely impossible, it is difficult to record intraannual growth or compare interspecific responses to Spring warming using leaf-phenology or other indirect observations. However, traditional methods of direct observation are labor intensive, nad very time consuming (Source about cell sampling).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the ForestGEO plot at SCBI,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phenology variables would occur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r>
        <w:br/>
      </w: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w:t>
      </w:r>
      <w:r>
        <w:t xml:space="preserve"> </w:t>
      </w:r>
      <w:r>
        <w:rPr>
          <w:i/>
        </w:rPr>
        <w:t xml:space="preserve">(summary of how bands were distributed across species, focusing on ring/ diffuse porous distinction. details in an SI table)</w:t>
      </w:r>
    </w:p>
    <w:p>
      <w:pPr>
        <w:pStyle w:val="BodyText"/>
      </w:pPr>
      <w:r>
        <w:t xml:space="preserve">(After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t xml:space="preserve">• Sean’s model</w:t>
      </w:r>
    </w:p>
    <w:p>
      <w:pPr>
        <w:pStyle w:val="BodyText"/>
      </w:pPr>
      <w:r>
        <w:t xml:space="preserve">• Climwin</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rPr>
          <w:i/>
        </w:rPr>
        <w:t xml:space="preserve">Analysis</w:t>
      </w:r>
    </w:p>
    <w:p>
      <w:pPr>
        <w:pStyle w:val="BodyText"/>
      </w:pPr>
      <w:r>
        <w:t xml:space="preserve">Here, I’ll insert a reference to Sean’s paper</w:t>
      </w:r>
      <w:r>
        <w:t xml:space="preserve"> </w:t>
      </w:r>
      <w:r>
        <w:t xml:space="preserve">(McMahon &amp; Parker, 2015)</w:t>
      </w:r>
      <w:r>
        <w:t xml:space="preserve">. This is pulled from references.bib.</w:t>
      </w:r>
    </w:p>
    <w:p>
      <w:pPr>
        <w:pStyle w:val="BodyText"/>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p>
      <w:pPr>
        <w:pStyle w:val="Heading3"/>
      </w:pPr>
      <w:bookmarkStart w:id="27" w:name="results"/>
      <w:r>
        <w:t xml:space="preserve">Results</w:t>
      </w:r>
      <w:bookmarkEnd w:id="27"/>
    </w:p>
    <w:p>
      <w:pPr>
        <w:pStyle w:val="FirstParagraph"/>
      </w:pPr>
      <w:r>
        <w:t xml:space="preserve">• variable averages</w:t>
      </w:r>
    </w:p>
    <w:p>
      <w:pPr>
        <w:pStyle w:val="BodyText"/>
      </w:pPr>
      <w:r>
        <w:t xml:space="preserve">Pooled across all species and all years the average DOY where max growth rate was achieved is DOY: 158, the DOY where 25% was achieved is DOY: 129, 50% - DOY: 157, 75% - DOY:184.</w:t>
      </w:r>
    </w:p>
    <w:p>
      <w:pPr>
        <w:pStyle w:val="BodyText"/>
      </w:pPr>
      <w:r>
        <w:t xml:space="preserve">Ring-porous (1395 obs) max growth rate – DOY: 147, max growth rate = .048 (find units in Sean’s function), 25% - DOY: 113, 50% DOY: 147, 75% - DOY: 181…68 days</w:t>
      </w:r>
    </w:p>
    <w:p>
      <w:pPr>
        <w:pStyle w:val="BodyText"/>
      </w:pPr>
      <w:r>
        <w:t xml:space="preserve">Diffuse-porous (993 obs) max growth rate – DOY: 172, max growth rate = .068 (find units in Sean’s function), 25% - DOY: 153, 50% - DOY: 171, 75% - DOY: 190… 37 days</w:t>
      </w:r>
    </w:p>
    <w:p>
      <w:pPr>
        <w:pStyle w:val="BodyText"/>
      </w:pPr>
      <w:r>
        <w:t xml:space="preserve">• Climwin results</w:t>
      </w:r>
    </w:p>
    <w:p>
      <w:pPr>
        <w:pStyle w:val="BodyText"/>
      </w:pPr>
      <w:r>
        <w:t xml:space="preserve">• Accounting for random effects of species and tag, pre-season temperatures had a greater effect on ring-porous species than diffuse-porous.</w:t>
      </w:r>
    </w:p>
    <w:p>
      <w:pPr>
        <w:pStyle w:val="Heading3"/>
      </w:pPr>
      <w:bookmarkStart w:id="28" w:name="discussion"/>
      <w:r>
        <w:t xml:space="preserve">Discussion</w:t>
      </w:r>
      <w:bookmarkEnd w:id="28"/>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p>
    <w:p>
      <w:pPr>
        <w:pStyle w:val="BodyText"/>
      </w:pPr>
      <w:r>
        <w:t xml:space="preserve">Under the warming regime analyzed here, ring-porous trees reach 25% and 50% growth milestones earlier (insert actual # days?) in the year, while timing of 75% growth remains statistically unchanged. This implies that the growing season of ring-porous trees expanded due to Spring temperatures, which are projected to continue to increase as anthropogenic global warming intensifies. In fact, we found a positive correlation between growing season length in ring-porous trees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 Leaf velocity discussion?</w:t>
      </w:r>
    </w:p>
    <w:p>
      <w:pPr>
        <w:pStyle w:val="Heading3"/>
      </w:pPr>
      <w:bookmarkStart w:id="29" w:name="acknowledgements"/>
      <w:r>
        <w:t xml:space="preserve">Acknowledgements</w:t>
      </w:r>
      <w:bookmarkEnd w:id="29"/>
    </w:p>
    <w:p>
      <w:pPr>
        <w:pStyle w:val="FirstParagraph"/>
      </w:pPr>
      <w:r>
        <w:t xml:space="preserve">ForestGEO</w:t>
      </w:r>
    </w:p>
    <w:p>
      <w:pPr>
        <w:pStyle w:val="Heading3"/>
      </w:pPr>
      <w:bookmarkStart w:id="30" w:name="authors-contributions"/>
      <w:r>
        <w:t xml:space="preserve">Authors’ contributions</w:t>
      </w:r>
      <w:bookmarkEnd w:id="30"/>
    </w:p>
    <w:p>
      <w:pPr>
        <w:pStyle w:val="Heading3"/>
      </w:pPr>
      <w:bookmarkStart w:id="31" w:name="figures"/>
      <w:r>
        <w:t xml:space="preserve">Figures</w:t>
      </w:r>
      <w:bookmarkEnd w:id="31"/>
    </w:p>
    <w:p>
      <w:pPr>
        <w:pStyle w:val="FirstParagraph"/>
      </w:pPr>
      <w:r>
        <w:rPr>
          <w:b/>
        </w:rPr>
        <w:t xml:space="preserve">Figure 1</w:t>
      </w:r>
    </w:p>
    <w:p>
      <w:pPr>
        <w:pStyle w:val="BodyText"/>
      </w:pPr>
      <w:r>
        <w:t xml:space="preserve">Based on D’Orangeville Figure 1</w:t>
      </w:r>
    </w:p>
    <w:p>
      <w:pPr>
        <w:pStyle w:val="CaptionedFigure"/>
      </w:pPr>
      <w:r>
        <w:drawing>
          <wp:inline>
            <wp:extent cx="5334000" cy="3507105"/>
            <wp:effectExtent b="0" l="0" r="0" t="0"/>
            <wp:docPr descr="Logistic growth model" title="" id="1" name="Picture"/>
            <a:graphic>
              <a:graphicData uri="http://schemas.openxmlformats.org/drawingml/2006/picture">
                <pic:pic>
                  <pic:nvPicPr>
                    <pic:cNvPr descr="tables_figures/fig1.png" id="0" name="Picture"/>
                    <pic:cNvPicPr>
                      <a:picLocks noChangeArrowheads="1" noChangeAspect="1"/>
                    </pic:cNvPicPr>
                  </pic:nvPicPr>
                  <pic:blipFill>
                    <a:blip r:embed="rId32"/>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Logistic growth model</w:t>
      </w:r>
    </w:p>
    <w:p>
      <w:pPr>
        <w:pStyle w:val="BodyText"/>
      </w:pPr>
      <w:r>
        <w:rPr>
          <w:b/>
        </w:rPr>
        <w:t xml:space="preserve">Figure 2</w:t>
      </w:r>
    </w:p>
    <w:p>
      <w:pPr>
        <w:pStyle w:val="BodyText"/>
      </w:pPr>
      <w:r>
        <w:t xml:space="preserve">Based on D’Orangeville Figure 3.a), but with relative growth</w:t>
      </w:r>
    </w:p>
    <w:p>
      <w:pPr>
        <w:pStyle w:val="CaptionedFigure"/>
      </w:pPr>
      <w:r>
        <w:drawing>
          <wp:inline>
            <wp:extent cx="5334000" cy="3508586"/>
            <wp:effectExtent b="0" l="0" r="0" t="0"/>
            <wp:docPr descr="Percent total (modeled) growth" title="" id="1" name="Picture"/>
            <a:graphic>
              <a:graphicData uri="http://schemas.openxmlformats.org/drawingml/2006/picture">
                <pic:pic>
                  <pic:nvPicPr>
                    <pic:cNvPr descr="tables_figures/fig2.png" id="0" name="Picture"/>
                    <pic:cNvPicPr>
                      <a:picLocks noChangeArrowheads="1" noChangeAspect="1"/>
                    </pic:cNvPicPr>
                  </pic:nvPicPr>
                  <pic:blipFill>
                    <a:blip r:embed="rId33"/>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Percent total (modeled) growth</w:t>
      </w:r>
    </w:p>
    <w:p>
      <w:pPr>
        <w:pStyle w:val="BodyText"/>
      </w:pPr>
      <w:r>
        <w:rPr>
          <w:b/>
        </w:rPr>
        <w:t xml:space="preserve">Figure 3</w:t>
      </w:r>
    </w:p>
    <w:p>
      <w:pPr>
        <w:pStyle w:val="BodyText"/>
      </w:pPr>
      <w:r>
        <w:t xml:space="preserve">Similar to D’Orangeville Figure 4.a), but with cummalative relative growth</w:t>
      </w:r>
    </w:p>
    <w:p>
      <w:pPr>
        <w:pStyle w:val="CaptionedFigure"/>
      </w:pPr>
      <w:r>
        <w:drawing>
          <wp:inline>
            <wp:extent cx="5334000" cy="3508586"/>
            <wp:effectExtent b="0" l="0" r="0" t="0"/>
            <wp:docPr descr="Cummulative percent total (modeled) growth" title="" id="1" name="Picture"/>
            <a:graphic>
              <a:graphicData uri="http://schemas.openxmlformats.org/drawingml/2006/picture">
                <pic:pic>
                  <pic:nvPicPr>
                    <pic:cNvPr descr="tables_figures/fig3.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Cummulative percent total (modeled) growth</w:t>
      </w:r>
    </w:p>
    <w:p>
      <w:pPr>
        <w:pStyle w:val="BodyText"/>
      </w:pPr>
      <w:r>
        <w:rPr>
          <w:b/>
        </w:rPr>
        <w:t xml:space="preserve">Figure 4</w:t>
      </w:r>
    </w:p>
    <w:p>
      <w:pPr>
        <w:pStyle w:val="BodyText"/>
      </w:pPr>
      <w:r>
        <w:rPr>
          <w:b/>
        </w:rPr>
        <w:t xml:space="preserve">Figure 5</w:t>
      </w:r>
    </w:p>
    <w:p>
      <w:pPr>
        <w:pStyle w:val="BodyText"/>
      </w:pPr>
      <w:r>
        <w:rPr>
          <w:b/>
        </w:rPr>
        <w:t xml:space="preserve">Figure 6</w:t>
      </w:r>
    </w:p>
    <w:p>
      <w:pPr>
        <w:pStyle w:val="BodyText"/>
      </w:pPr>
      <w:r>
        <w:t xml:space="preserve">Notes for now:</w:t>
      </w:r>
    </w:p>
    <w:p>
      <w:pPr>
        <w:pStyle w:val="Compact"/>
        <w:numPr>
          <w:numId w:val="1003"/>
          <w:ilvl w:val="0"/>
        </w:numPr>
      </w:pPr>
      <w:r>
        <w:t xml:space="preserve">Model was fit to a random sample of 20 out of 106 tags to speed up computation.</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CaptionedFigure"/>
      </w:pPr>
      <w:r>
        <w:drawing>
          <wp:inline>
            <wp:extent cx="5334000" cy="3956424"/>
            <wp:effectExtent b="0" l="0" r="0" t="0"/>
            <wp:docPr descr="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fig6.png" id="0" name="Picture"/>
                    <pic:cNvPicPr>
                      <a:picLocks noChangeArrowheads="1" noChangeAspect="1"/>
                    </pic:cNvPicPr>
                  </pic:nvPicPr>
                  <pic:blipFill>
                    <a:blip r:embed="rId35"/>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6" w:name="references"/>
      <w:r>
        <w:t xml:space="preserve">References</w:t>
      </w:r>
      <w:bookmarkEnd w:id="36"/>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2020-10-13T15:36:56Z</dcterms:created>
  <dcterms:modified xsi:type="dcterms:W3CDTF">2020-10-13T15:36:56Z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