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CO2 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CO2,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BodyText"/>
      </w:pPr>
      <w:r>
        <w:t xml:space="preserve">#relavant? reworded first line above#</w:t>
      </w:r>
      <w:r>
        <w:t xml:space="preserve"> </w:t>
      </w:r>
      <w:r>
        <w:t xml:space="preserve">(Understanding how growth is influenced by multiple factors at once is essential for developing accurate models to inform forest managers and policy makers about the role of future forests in climate change mitigation. CO2 concentrations in the atmosphere are increasing, and in a perfect scenario, trees and other plants would simply speed up growth in response to this, increasing photosynthetic efficiency in a process called CO2 fertilization (Strain and Cure, 1986; Huang et al., 2007). However, factors other than CO2 also limit tree growth, and seasonal temperature averages and precipitation patterns are changing concurrently. It is anticipated that, throughout much of the United States, future heat and drought may limit tree growth more strongly than it can be enhanced by elevated CO2 (Charney et al, 2016).)</w:t>
      </w:r>
      <w:r>
        <w:t xml:space="preserve"> </w:t>
      </w:r>
      <w:r>
        <w:t xml:space="preserve">#</w:t>
      </w:r>
    </w:p>
    <w:p>
      <w:pPr>
        <w:pStyle w:val="BodyText"/>
      </w:pPr>
      <w:r>
        <w:t xml:space="preserve">In recent decades, an increase in average Spring temperatures has been attributed to climate change. This relatively small increase has already been impacting many natural systems including forests (Parmesan &amp; Yohe, 2003; Zhihong, 2006). The effects of this Spring warming on leaf phenology have been extensively studied (Way, 2011; Klosterman &amp; Hufkins &amp; Richardson, 2018) leading to many interesting observations. As temperatures are increasing, some regions have seen earlier leaf out in deciduous trees, sometimes matched or exceeded by earlier leaf senescence, meaning a potential shift in growing season timing or length (Ibáñez et al, 2010; Jeong et al., 2011). The timing of Spring warming also has a significant effect on leaf phenology response. Warming events later in Spring were shown to impact leaf emergence timing more than earlier Spring warming (Freidl et al, 2014) and earlier leaf emergence has been shown to cause complex lagged effects on subsequent seasonal growth in European broad leaf deciduous and mixed forests (Crabbe et al, 2016). 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However, the fine-scale responses of temperate deciduous species to a warming Spring are not commonly researched due to the increased effort required. Shifts in leaf phenology timing could be accompanied by a change in stem-growth phenology, which would likely affect woody productivity, carbon and nutrient cycling, and water use patterns in temperate forests (Keeling et al, 1996;). Many observations of climate induced phenological shifts are based on GIS, eddy-covarience measurements, or other broad scale measurements of phenological timing, and do little to discern differences between individual species, where leaf and stem-growth phenology can be decoupled (D’Orangeville et al, in review). To date, very little research, has been done on the phenology of stem-growth.</w:t>
      </w:r>
    </w:p>
    <w:p>
      <w:pPr>
        <w:pStyle w:val="BodyText"/>
      </w:pPr>
      <w:r>
        <w:t xml:space="preserve">In fact, we know little about the stem-growth phenology of temperate deciduous species — let alone how these are affected by changes in Spring temperature patterns. Timing of intraannual stem-growth is extremely important as it could have profound impacts on ecosystem interactions, as well as dictate periods of highest drought sensitivity of NPP in temperate forests (Foster, 2014; ). For example, if a drought were to occur when trees were at their peak growth rates, it could decrease that year’s NPP substantially, and subsequently, reduce the total amount of carbon sequestered contributing to a negative climate feedback loop (source?). Recent results from a paper by D’Orangeville et al. (in review) have shown that wood-type plays a significant role in the timing of leaf and wood phenology. They showed that ring-porous trees begin growth earlier in the season compared to diffuse-porous trees, but both reached 75% total annual growth around the same time. This implies evolutionary differences in the mechanisms controlling growth of these species, which have the potential to expose each group to different climate stresses (source for RP vs DP?).</w:t>
      </w:r>
    </w:p>
    <w:p>
      <w:pPr>
        <w:pStyle w:val="BodyText"/>
      </w:pPr>
      <w:r>
        <w:t xml:space="preserve">While not entirely impossible, it is difficult to record intraannual growth or compare interspecific responses to Spring warming using leaf-phenology or other indirect observations. A solution to this is the use of dendrometer bands. Dendrometer bands allow a look at individual trees’ intraannual growth at a fine temporal scale (source?). Using many measurements taken within a year, we can model the growth of individual trees and extract growth milestones and variables for interspecific, intraspecific, and temporal comparison (McMahon &amp; Parker, 2014). This allows the determination of variable responses of all tree species within a single forest, meaning a better understanding of future growth under projected climate conditions. Here, we use 9 years of biweekly dendrometer band measurements for 4 species to characterize intraannual stem-growth phenology within the ForestGEO plot at SCBI, calculating for each tree in each year where data was available: the day of year (DOY) where 25, 50, and 75% annual growth was achieved; the maximum growth rate; the DOY where maximum growth rate was achieved; and the total growth. Correlation between these variables and Spring temperatures over the 9 year study period (2011-2019) were assessed using a linear mixed model in a heriarchal bayesian framework.</w:t>
      </w:r>
    </w:p>
    <w:p>
      <w:pPr>
        <w:pStyle w:val="BodyText"/>
      </w:pPr>
      <w:r>
        <w:t xml:space="preserve">We hypothesized that (1) stem-growth phenology variables would occur earlier in warmer years as compared to cooler years and (2) both wood types would increase total growth and max growth rate in response to warmer Spring temperatures.</w:t>
      </w:r>
    </w:p>
    <w:p>
      <w:pPr>
        <w:pStyle w:val="Heading3"/>
      </w:pPr>
      <w:bookmarkStart w:id="23" w:name="materials-and-methods"/>
      <w:r>
        <w:t xml:space="preserve">Materials and Methods</w:t>
      </w:r>
      <w:bookmarkEnd w:id="23"/>
    </w:p>
    <w:p>
      <w:pPr>
        <w:pStyle w:val="FirstParagraph"/>
      </w:pPr>
      <w:r>
        <w:rPr>
          <w:i/>
        </w:rPr>
        <w:t xml:space="preserve">Study sites and data</w:t>
      </w:r>
    </w:p>
    <w:p>
      <w:pPr>
        <w:pStyle w:val="BodyText"/>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r>
        <w:br/>
      </w: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w:t>
      </w:r>
      <w:r>
        <w:t xml:space="preserve"> </w:t>
      </w:r>
      <w:r>
        <w:rPr>
          <w:i/>
        </w:rPr>
        <w:t xml:space="preserve">(summary of how bands were distributed across species, focusing on ring/ diffuse porous distinction. details in an SI table)</w:t>
      </w:r>
    </w:p>
    <w:p>
      <w:pPr>
        <w:pStyle w:val="BodyText"/>
      </w:pPr>
      <w:r>
        <w:t xml:space="preserve">(After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4">
        <w:r>
          <w:rPr>
            <w:rStyle w:val="Hyperlink"/>
          </w:rPr>
          <w:t xml:space="preserve">https://www.ncdc.noaa.gov/cdo-web/datasets/GHCND/stations/GHCND:USC00443229/detail</w:t>
        </w:r>
      </w:hyperlink>
      <w:r>
        <w:t xml:space="preserve">).</w:t>
      </w:r>
    </w:p>
    <w:p>
      <w:pPr>
        <w:pStyle w:val="BodyText"/>
      </w:pPr>
      <w:r>
        <w:t xml:space="preserve">leaf phenology data?</w:t>
      </w:r>
    </w:p>
    <w:p>
      <w:pPr>
        <w:pStyle w:val="BodyText"/>
      </w:pPr>
      <w:r>
        <w:t xml:space="preserve">• leaf phenology data from NEON and/or satellite-based (leaf phenology network:</w:t>
      </w:r>
      <w:r>
        <w:t xml:space="preserve"> </w:t>
      </w:r>
      <w:hyperlink r:id="rId25">
        <w:r>
          <w:rPr>
            <w:rStyle w:val="Hyperlink"/>
          </w:rPr>
          <w:t xml:space="preserve">https://www.usanpn.org/news/spring</w:t>
        </w:r>
      </w:hyperlink>
      <w:r>
        <w:t xml:space="preserve">) ?</w:t>
      </w:r>
    </w:p>
    <w:p>
      <w:pPr>
        <w:pStyle w:val="BodyText"/>
      </w:pPr>
      <w:r>
        <w:t xml:space="preserve">• NDVI or PRI?</w:t>
      </w:r>
      <w:r>
        <w:t xml:space="preserve"> </w:t>
      </w:r>
      <w:hyperlink r:id="rId26">
        <w:r>
          <w:rPr>
            <w:rStyle w:val="Hyperlink"/>
          </w:rPr>
          <w:t xml:space="preserve">https://onlinelibrary.wiley.com/doi/10.1111/gcb.15112</w:t>
        </w:r>
      </w:hyperlink>
      <w:r>
        <w:t xml:space="preserve"> </w:t>
      </w:r>
      <w:r>
        <w:t xml:space="preserve">(from Ian)</w:t>
      </w:r>
    </w:p>
    <w:p>
      <w:pPr>
        <w:pStyle w:val="BodyText"/>
      </w:pPr>
      <w:r>
        <w:t xml:space="preserve">• From Ian: I noticed how the growth patterns observed by remote sensing pretty much mirror what Sean was finding with his dendro R package (btw is that functional on CRAN yet?) for both SERC and SCBI dendroband data.</w:t>
      </w:r>
    </w:p>
    <w:p>
      <w:pPr>
        <w:pStyle w:val="BodyText"/>
      </w:pPr>
      <w:r>
        <w:t xml:space="preserve">perhaps bring in cores?</w:t>
      </w:r>
    </w:p>
    <w:p>
      <w:pPr>
        <w:pStyle w:val="BodyText"/>
      </w:pPr>
      <w:r>
        <w:t xml:space="preserve">• Sean’s model</w:t>
      </w:r>
    </w:p>
    <w:p>
      <w:pPr>
        <w:pStyle w:val="BodyText"/>
      </w:pPr>
      <w:r>
        <w:t xml:space="preserve">• Climwin</w:t>
      </w:r>
    </w:p>
    <w:p>
      <w:pPr>
        <w:pStyle w:val="BodyText"/>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BodyText"/>
      </w:pPr>
      <w:r>
        <w:rPr>
          <w:i/>
        </w:rPr>
        <w:t xml:space="preserve">Analysis</w:t>
      </w:r>
    </w:p>
    <w:p>
      <w:pPr>
        <w:pStyle w:val="BodyText"/>
      </w:pPr>
      <w:r>
        <w:t xml:space="preserve">Here, I’ll insert a reference to Sean’s paper</w:t>
      </w:r>
      <w:r>
        <w:t xml:space="preserve"> </w:t>
      </w:r>
      <w:r>
        <w:t xml:space="preserve">(McMahon &amp; Parker, 2015)</w:t>
      </w:r>
      <w:r>
        <w:t xml:space="preserve">. This is pulled from references.bib.</w:t>
      </w:r>
    </w:p>
    <w:p>
      <w:pPr>
        <w:pStyle w:val="BodyText"/>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w:t>
      </w:r>
    </w:p>
    <w:p>
      <w:pPr>
        <w:pStyle w:val="BodyText"/>
      </w:pPr>
      <w:r>
        <w:t xml:space="preserve">• Bayesian heirarchal model</w:t>
      </w:r>
      <w:r>
        <w:t xml:space="preserve"> </w:t>
      </w:r>
      <w:r>
        <w:t xml:space="preserve">This mixed-effect model was run within a heirarchal bayesian framework.</w:t>
      </w:r>
    </w:p>
    <w:p>
      <w:pPr>
        <w:pStyle w:val="Heading3"/>
      </w:pPr>
      <w:bookmarkStart w:id="27" w:name="results"/>
      <w:r>
        <w:t xml:space="preserve">Results</w:t>
      </w:r>
      <w:bookmarkEnd w:id="27"/>
    </w:p>
    <w:p>
      <w:pPr>
        <w:pStyle w:val="FirstParagraph"/>
      </w:pPr>
      <w:r>
        <w:t xml:space="preserve">• variable averages</w:t>
      </w:r>
    </w:p>
    <w:p>
      <w:pPr>
        <w:pStyle w:val="BodyText"/>
      </w:pPr>
      <w:r>
        <w:t xml:space="preserve">Pooled across all species and all years the average DOY where max growth rate was achieved is DOY: 158, the DOY where 25% was achieved is DOY: 129, 50% - DOY: 157, 75% - DOY:184.</w:t>
      </w:r>
    </w:p>
    <w:p>
      <w:pPr>
        <w:pStyle w:val="BodyText"/>
      </w:pPr>
      <w:r>
        <w:t xml:space="preserve">Ring-porous (1395 obs) max growth rate – DOY: 147, max growth rate = .048 (find units in Sean’s function), 25% - DOY: 113, 50% DOY: 147, 75% - DOY: 181…68 days</w:t>
      </w:r>
    </w:p>
    <w:p>
      <w:pPr>
        <w:pStyle w:val="BodyText"/>
      </w:pPr>
      <w:r>
        <w:t xml:space="preserve">Diffuse-porous (993 obs) max growth rate – DOY: 172, max growth rate = .068 (find units in Sean’s function), 25% - DOY: 153, 50% - DOY: 171, 75% - DOY: 190… 37 days</w:t>
      </w:r>
    </w:p>
    <w:p>
      <w:pPr>
        <w:pStyle w:val="BodyText"/>
      </w:pPr>
      <w:r>
        <w:t xml:space="preserve">• Climwin results</w:t>
      </w:r>
    </w:p>
    <w:p>
      <w:pPr>
        <w:pStyle w:val="BodyText"/>
      </w:pPr>
      <w:r>
        <w:t xml:space="preserve">• Accounting for random effects of species and tag, pre-season temperatures had a greater effect on ring-porous species than diffuse-porous.</w:t>
      </w:r>
    </w:p>
    <w:p>
      <w:pPr>
        <w:pStyle w:val="BodyText"/>
      </w:pPr>
      <w:r>
        <w:t xml:space="preserve">• Bayesian variable results (PRE-JOINT MODEL, updating ASAP)</w:t>
      </w:r>
    </w:p>
    <w:p>
      <w:pPr>
        <w:pStyle w:val="BodyText"/>
      </w:pPr>
      <w:r>
        <w:t xml:space="preserve">Ring-porous 25% DOY estimate: -2.23 (credible interval: -2.94 - -1.55)</w:t>
      </w:r>
    </w:p>
    <w:p>
      <w:pPr>
        <w:pStyle w:val="BodyText"/>
      </w:pPr>
      <w:r>
        <w:t xml:space="preserve">Ring-porous 50% DOY estimate: - 2.10 (credible interval: -2.71 - -1.42)</w:t>
      </w:r>
    </w:p>
    <w:p>
      <w:pPr>
        <w:pStyle w:val="BodyText"/>
      </w:pPr>
      <w:r>
        <w:t xml:space="preserve">Ring-porous 75% DOY estimate: -1.89 (credible interval: -2.53 - -1.28)</w:t>
      </w:r>
    </w:p>
    <w:p>
      <w:pPr>
        <w:pStyle w:val="BodyText"/>
      </w:pPr>
      <w:r>
        <w:t xml:space="preserve">Ring-porous total growth estimate: 0.0552 (credible interval: 0.00346 - 0.108)</w:t>
      </w:r>
    </w:p>
    <w:p>
      <w:pPr>
        <w:pStyle w:val="BodyText"/>
      </w:pPr>
      <w:r>
        <w:t xml:space="preserve">Ring-porous max-rate DOY estimate: -2.20 (credible interval: -2.77 - -1.62)</w:t>
      </w:r>
    </w:p>
    <w:p>
      <w:pPr>
        <w:pStyle w:val="BodyText"/>
      </w:pPr>
      <w:r>
        <w:t xml:space="preserve">Ring-porous max-rate estimate: 0.00113 (credible interval: 0.000151 – 0.00208)</w:t>
      </w:r>
    </w:p>
    <w:p>
      <w:pPr>
        <w:pStyle w:val="BodyText"/>
      </w:pPr>
      <w:r>
        <w:t xml:space="preserve">Diffuse-porous 25% DOY estimate: -1.83 (credible interval: -2.86 - -0.822)</w:t>
      </w:r>
    </w:p>
    <w:p>
      <w:pPr>
        <w:pStyle w:val="BodyText"/>
      </w:pPr>
      <w:r>
        <w:t xml:space="preserve">Diffuse-porous 50% DOY estimate: -2.39 (credible interval: -3.35 - -1.43)</w:t>
      </w:r>
    </w:p>
    <w:p>
      <w:pPr>
        <w:pStyle w:val="BodyText"/>
      </w:pPr>
      <w:r>
        <w:t xml:space="preserve">Diffuse-porous 75% DOY estimate: -2.96 (credible interval: -4.03 - -1.92)</w:t>
      </w:r>
    </w:p>
    <w:p>
      <w:pPr>
        <w:pStyle w:val="BodyText"/>
      </w:pPr>
      <w:r>
        <w:t xml:space="preserve">Diffuse-porous total growth estimate: -0.0642 (credible interval: -0.172 – 0.0460)</w:t>
      </w:r>
    </w:p>
    <w:p>
      <w:pPr>
        <w:pStyle w:val="BodyText"/>
      </w:pPr>
      <w:r>
        <w:t xml:space="preserve">Diffuse-porous max-rate DOY estimate: -2.54 (credible interval: -3.41 - -1.69)</w:t>
      </w:r>
    </w:p>
    <w:p>
      <w:pPr>
        <w:pStyle w:val="BodyText"/>
      </w:pPr>
      <w:r>
        <w:t xml:space="preserve">Diffuse-porous max-rate estimate: 0.00209 (credible interval: 0.000118 – 0.00413)</w:t>
      </w:r>
    </w:p>
    <w:p>
      <w:pPr>
        <w:pStyle w:val="Heading3"/>
      </w:pPr>
      <w:bookmarkStart w:id="28" w:name="discussion"/>
      <w:r>
        <w:t xml:space="preserve">Discussion</w:t>
      </w:r>
      <w:bookmarkEnd w:id="28"/>
    </w:p>
    <w:p>
      <w:pPr>
        <w:pStyle w:val="FirstParagraph"/>
      </w:pPr>
      <w:r>
        <w:t xml:space="preserve">This analysis is one of a first generation of intraannual tree growth studies and as such, is the metaphorical tip of the ice berg. Here, we focused our analysis purely on early Spring warming. This falls short of the reality of our changing climate as every season if affected in some way. For example, diffuse porous trees seemed to show little, if any, relationship with the above climate window, but if we shift that window forward 20 days, the effect is much more severe, signalling a greater impact of May/June TMAX on trees of that wood type (figure or table?). A paper by Helcoski et al (2019) found that trees at SCBI had a significantly negative correlation between tree growth and May temperatures, agreeing with the results here. Other studies have found that Autumn leaf senescence is being delayed, potentially in response to warmer temperatures in the previous year’s Winter or Autumn (), this warming also impacts chilling requirements as well (), total growth is being stunted by drought and high TMAX in the current year’s Summer (). How these realtionships may impact intraannual growth patterns or variables like thos described here is uncertain, but identifying such relationships will help us further understand how climate change is impacting our forests.</w:t>
      </w:r>
    </w:p>
    <w:p>
      <w:pPr>
        <w:pStyle w:val="BodyText"/>
      </w:pPr>
      <w:r>
        <w:t xml:space="preserve">We present a mere stepping stone for future studies to build upon.</w:t>
      </w:r>
    </w:p>
    <w:p>
      <w:pPr>
        <w:pStyle w:val="BodyText"/>
      </w:pPr>
      <w:r>
        <w:t xml:space="preserve">Diffuse-porous 25-75% growth period shrinking leaving trees more vulnerable to drought while ring-porous 25-75% growing, potentially making effect of drought less damaging? But RP still prone to cavitation + longer growth period could mean exposure to higher number of droughts resulting in serious damage to water transport system?</w:t>
      </w:r>
    </w:p>
    <w:p>
      <w:pPr>
        <w:pStyle w:val="BodyText"/>
      </w:pPr>
      <w:r>
        <w:t xml:space="preserve">DIfferences in total relationship could be because of response difference in wood types OR could be because the diffuse-porous’ growth occuring during the later summer means it is exposed to drought/heat and on average, not feeling the effects of the earlier spring. differences in wood porosity growth timing means exposure to different periods of climate stress ring porous adaptable to spring temps, diffuse not so much leads to higher growth in ring however, diffuse still more resistant to cavitation potential for more frequent late frost events having large impacts as spring warms? offset of chilling requirements and spring leaf out requirements</w:t>
      </w:r>
    </w:p>
    <w:p>
      <w:pPr>
        <w:pStyle w:val="BodyText"/>
      </w:pPr>
      <w:r>
        <w:t xml:space="preserve">much assumed about future forest productivity based on gis different wood types/species may respond differently need to understand at a finer scale what is happening</w:t>
      </w:r>
    </w:p>
    <w:p>
      <w:pPr>
        <w:pStyle w:val="BodyText"/>
      </w:pPr>
      <w:r>
        <w:t xml:space="preserve">Content to incorporate: N. American strategies have conservative strategies when it comes to phenology, as historically they’ve been subject to more spring frosts. Thus, climate change is having less impact (Zohner et al., 2020)</w:t>
      </w:r>
    </w:p>
    <w:p>
      <w:pPr>
        <w:pStyle w:val="Heading3"/>
      </w:pPr>
      <w:bookmarkStart w:id="29" w:name="acknowledgements"/>
      <w:r>
        <w:t xml:space="preserve">Acknowledgements</w:t>
      </w:r>
      <w:bookmarkEnd w:id="29"/>
    </w:p>
    <w:p>
      <w:pPr>
        <w:pStyle w:val="FirstParagraph"/>
      </w:pPr>
      <w:r>
        <w:t xml:space="preserve">ForestGEO</w:t>
      </w:r>
    </w:p>
    <w:p>
      <w:pPr>
        <w:pStyle w:val="Heading3"/>
      </w:pPr>
      <w:bookmarkStart w:id="30" w:name="authors-contributions"/>
      <w:r>
        <w:t xml:space="preserve">Authors’ contributions</w:t>
      </w:r>
      <w:bookmarkEnd w:id="30"/>
    </w:p>
    <w:p>
      <w:pPr>
        <w:pStyle w:val="Heading3"/>
      </w:pPr>
      <w:bookmarkStart w:id="31" w:name="figures"/>
      <w:r>
        <w:t xml:space="preserve">Figures</w:t>
      </w:r>
      <w:bookmarkEnd w:id="31"/>
    </w:p>
    <w:p>
      <w:pPr>
        <w:pStyle w:val="FirstParagraph"/>
      </w:pPr>
      <w:r>
        <w:rPr>
          <w:b/>
        </w:rPr>
        <w:t xml:space="preserve">Figure 1</w:t>
      </w:r>
    </w:p>
    <w:p>
      <w:pPr>
        <w:pStyle w:val="BodyText"/>
      </w:pPr>
      <w:r>
        <w:t xml:space="preserve">Based on D’Orangeville Figure 1</w:t>
      </w:r>
    </w:p>
    <w:p>
      <w:pPr>
        <w:pStyle w:val="CaptionedFigure"/>
      </w:pPr>
      <w:r>
        <w:drawing>
          <wp:inline>
            <wp:extent cx="5334000" cy="3507105"/>
            <wp:effectExtent b="0" l="0" r="0" t="0"/>
            <wp:docPr descr="Logistic growth model" title="" id="1" name="Picture"/>
            <a:graphic>
              <a:graphicData uri="http://schemas.openxmlformats.org/drawingml/2006/picture">
                <pic:pic>
                  <pic:nvPicPr>
                    <pic:cNvPr descr="tables_figures/fig1.png" id="0" name="Picture"/>
                    <pic:cNvPicPr>
                      <a:picLocks noChangeArrowheads="1" noChangeAspect="1"/>
                    </pic:cNvPicPr>
                  </pic:nvPicPr>
                  <pic:blipFill>
                    <a:blip r:embed="rId32"/>
                    <a:stretch>
                      <a:fillRect/>
                    </a:stretch>
                  </pic:blipFill>
                  <pic:spPr bwMode="auto">
                    <a:xfrm>
                      <a:off x="0" y="0"/>
                      <a:ext cx="5334000" cy="3507105"/>
                    </a:xfrm>
                    <a:prstGeom prst="rect">
                      <a:avLst/>
                    </a:prstGeom>
                    <a:noFill/>
                    <a:ln w="9525">
                      <a:noFill/>
                      <a:headEnd/>
                      <a:tailEnd/>
                    </a:ln>
                  </pic:spPr>
                </pic:pic>
              </a:graphicData>
            </a:graphic>
          </wp:inline>
        </w:drawing>
      </w:r>
    </w:p>
    <w:p>
      <w:pPr>
        <w:pStyle w:val="ImageCaption"/>
      </w:pPr>
      <w:r>
        <w:t xml:space="preserve">Logistic growth model</w:t>
      </w:r>
    </w:p>
    <w:p>
      <w:pPr>
        <w:pStyle w:val="BodyText"/>
      </w:pPr>
      <w:r>
        <w:rPr>
          <w:b/>
        </w:rPr>
        <w:t xml:space="preserve">Figure 2</w:t>
      </w:r>
    </w:p>
    <w:p>
      <w:pPr>
        <w:pStyle w:val="BodyText"/>
      </w:pPr>
      <w:r>
        <w:t xml:space="preserve">Based on D’Orangeville Figure 3.a), but with relative growth</w:t>
      </w:r>
    </w:p>
    <w:p>
      <w:pPr>
        <w:pStyle w:val="CaptionedFigure"/>
      </w:pPr>
      <w:r>
        <w:drawing>
          <wp:inline>
            <wp:extent cx="5334000" cy="3508586"/>
            <wp:effectExtent b="0" l="0" r="0" t="0"/>
            <wp:docPr descr="Percent total (modeled) growth" title="" id="1" name="Picture"/>
            <a:graphic>
              <a:graphicData uri="http://schemas.openxmlformats.org/drawingml/2006/picture">
                <pic:pic>
                  <pic:nvPicPr>
                    <pic:cNvPr descr="tables_figures/fig2.png" id="0" name="Picture"/>
                    <pic:cNvPicPr>
                      <a:picLocks noChangeArrowheads="1" noChangeAspect="1"/>
                    </pic:cNvPicPr>
                  </pic:nvPicPr>
                  <pic:blipFill>
                    <a:blip r:embed="rId33"/>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Percent total (modeled) growth</w:t>
      </w:r>
    </w:p>
    <w:p>
      <w:pPr>
        <w:pStyle w:val="BodyText"/>
      </w:pPr>
      <w:r>
        <w:rPr>
          <w:b/>
        </w:rPr>
        <w:t xml:space="preserve">Figure 3</w:t>
      </w:r>
    </w:p>
    <w:p>
      <w:pPr>
        <w:pStyle w:val="BodyText"/>
      </w:pPr>
      <w:r>
        <w:t xml:space="preserve">Similar to D’Orangeville Figure 4.a), but with cummalative relative growth</w:t>
      </w:r>
    </w:p>
    <w:p>
      <w:pPr>
        <w:pStyle w:val="CaptionedFigure"/>
      </w:pPr>
      <w:r>
        <w:drawing>
          <wp:inline>
            <wp:extent cx="5334000" cy="3508586"/>
            <wp:effectExtent b="0" l="0" r="0" t="0"/>
            <wp:docPr descr="Cummulative percent total (modeled) growth" title="" id="1" name="Picture"/>
            <a:graphic>
              <a:graphicData uri="http://schemas.openxmlformats.org/drawingml/2006/picture">
                <pic:pic>
                  <pic:nvPicPr>
                    <pic:cNvPr descr="tables_figures/fig3.png" id="0" name="Picture"/>
                    <pic:cNvPicPr>
                      <a:picLocks noChangeArrowheads="1" noChangeAspect="1"/>
                    </pic:cNvPicPr>
                  </pic:nvPicPr>
                  <pic:blipFill>
                    <a:blip r:embed="rId34"/>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Cummulative percent total (modeled) growth</w:t>
      </w:r>
    </w:p>
    <w:p>
      <w:pPr>
        <w:pStyle w:val="BodyText"/>
      </w:pPr>
      <w:r>
        <w:rPr>
          <w:b/>
        </w:rPr>
        <w:t xml:space="preserve">Figure 4</w:t>
      </w:r>
    </w:p>
    <w:p>
      <w:pPr>
        <w:pStyle w:val="BodyText"/>
      </w:pPr>
      <w:r>
        <w:rPr>
          <w:b/>
        </w:rPr>
        <w:t xml:space="preserve">Figure 5</w:t>
      </w:r>
    </w:p>
    <w:p>
      <w:pPr>
        <w:pStyle w:val="BodyText"/>
      </w:pPr>
      <w:r>
        <w:rPr>
          <w:b/>
        </w:rPr>
        <w:t xml:space="preserve">Figure 6</w:t>
      </w:r>
    </w:p>
    <w:p>
      <w:pPr>
        <w:pStyle w:val="BodyText"/>
      </w:pPr>
      <w:r>
        <w:t xml:space="preserve">Notes for now:</w:t>
      </w:r>
    </w:p>
    <w:p>
      <w:pPr>
        <w:pStyle w:val="Compact"/>
        <w:numPr>
          <w:numId w:val="1003"/>
          <w:ilvl w:val="0"/>
        </w:numPr>
      </w:pPr>
      <w:r>
        <w:t xml:space="preserve">Model was fit to a random sample of 20 out of 106 tags to speed up computation.</w:t>
      </w:r>
    </w:p>
    <w:p>
      <w:pPr>
        <w:pStyle w:val="Compact"/>
        <w:numPr>
          <w:numId w:val="1003"/>
          <w:ilvl w:val="0"/>
        </w:numPr>
      </w:pPr>
      <w:r>
        <w:t xml:space="preserve">Climwin mean temperatures are recentered at 65F to help sanity check intercepts and slopes. 65F was chosen because it is a</w:t>
      </w:r>
      <w:r>
        <w:t xml:space="preserve"> </w:t>
      </w:r>
      <w:r>
        <w:t xml:space="preserve">“</w:t>
      </w:r>
      <w:r>
        <w:t xml:space="preserve">typical</w:t>
      </w:r>
      <w:r>
        <w:t xml:space="preserve">”</w:t>
      </w:r>
      <w:r>
        <w:t xml:space="preserve"> </w:t>
      </w:r>
      <w:r>
        <w:t xml:space="preserve">climwinmean value</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CaptionedFigure"/>
      </w:pPr>
      <w:r>
        <w:drawing>
          <wp:inline>
            <wp:extent cx="5334000" cy="3956424"/>
            <wp:effectExtent b="0" l="0" r="0" t="0"/>
            <wp:docPr descr="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fig6.png" id="0" name="Picture"/>
                    <pic:cNvPicPr>
                      <a:picLocks noChangeArrowheads="1" noChangeAspect="1"/>
                    </pic:cNvPicPr>
                  </pic:nvPicPr>
                  <pic:blipFill>
                    <a:blip r:embed="rId35"/>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6" w:name="references"/>
      <w:r>
        <w:t xml:space="preserve">References</w:t>
      </w:r>
      <w:bookmarkEnd w:id="36"/>
    </w:p>
    <w:bookmarkStart w:id="39" w:name="refs"/>
    <w:bookmarkStart w:id="3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37">
        <w:r>
          <w:rPr>
            <w:rStyle w:val="Hyperlink"/>
          </w:rPr>
          <w:t xml:space="preserve">https://doi.org/10.1002/ece3.1117</w:t>
        </w:r>
      </w:hyperlink>
    </w:p>
    <w:bookmarkEnd w:id="38"/>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7" Target="https://doi.org/10.1002/ece3.1117" TargetMode="External" /><Relationship Type="http://schemas.openxmlformats.org/officeDocument/2006/relationships/hyperlink" Id="rId26" Target="https://onlinelibrary.wiley.com/doi/10.1111/gcb.15112" TargetMode="External" /><Relationship Type="http://schemas.openxmlformats.org/officeDocument/2006/relationships/hyperlink" Id="rId24" Target="https://www.ncdc.noaa.gov/cdo-web/datasets/GHCND/stations/GHCND:USC00443229/detail" TargetMode="External" /><Relationship Type="http://schemas.openxmlformats.org/officeDocument/2006/relationships/hyperlink" Id="rId25" Target="https://www.usanpn.org/news/spring"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2020-10-10T16:39:46Z</dcterms:created>
  <dcterms:modified xsi:type="dcterms:W3CDTF">2020-10-10T16:39:46Z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