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Title:</w:t>
      </w:r>
    </w:p>
    <w:p>
      <w:pPr>
        <w:pStyle w:val="BodyText"/>
      </w:pPr>
      <w:r>
        <w:rPr>
          <w:b/>
        </w:rPr>
        <w:t xml:space="preserve">Authors (not yet complete, just alphabetical for now–final order TBD):</w:t>
      </w:r>
    </w:p>
    <w:p>
      <w:pPr>
        <w:pStyle w:val="BodyText"/>
      </w:pPr>
      <w:r>
        <w:t xml:space="preserve">Cameron Dow</w:t>
      </w:r>
      <w:r>
        <w:rPr>
          <w:vertAlign w:val="superscript"/>
        </w:rPr>
        <w:t xml:space="preserve">1</w:t>
      </w:r>
      <w:r>
        <w:t xml:space="preserve"> </w:t>
      </w:r>
      <w:r>
        <w:t xml:space="preserve">Erika B. Gonzalez-Akre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Ryan Helcoski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Valentine Herrmann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Sean McMahon,</w:t>
      </w:r>
      <w:r>
        <w:t xml:space="preserve"> </w:t>
      </w:r>
      <w:r>
        <w:t xml:space="preserve">Albert Kim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1,n</w:t>
      </w:r>
      <w:r>
        <w:t xml:space="preserve">*</w:t>
      </w:r>
    </w:p>
    <w:p>
      <w:pPr>
        <w:pStyle w:val="BodyText"/>
      </w:pPr>
      <w:r>
        <w:rPr>
          <w:b/>
        </w:rPr>
        <w:t xml:space="preserve">Author Affiliations:</w:t>
      </w:r>
    </w:p>
    <w:p>
      <w:pPr>
        <w:pStyle w:val="Compact"/>
        <w:numPr>
          <w:numId w:val="1001"/>
          <w:ilvl w:val="0"/>
        </w:numPr>
      </w:pPr>
      <w:r>
        <w:t xml:space="preserve">Conservation Ecology Center; Smithsonian Conservation Biology Institute; Front Royal, VA 22630, USA</w:t>
      </w:r>
    </w:p>
    <w:p>
      <w:pPr>
        <w:pStyle w:val="Compact"/>
        <w:numPr>
          <w:numId w:val="1002"/>
          <w:ilvl w:val="0"/>
        </w:numPr>
      </w:pPr>
      <w:r>
        <w:t xml:space="preserve">Center for Tropical Forest Science-Forest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r>
        <w:br w:type="page"/>
      </w:r>
    </w:p>
    <w:p>
      <w:pPr>
        <w:pStyle w:val="Heading3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rPr>
          <w:b/>
        </w:rPr>
        <w:t xml:space="preserve">Keywords</w:t>
      </w:r>
      <w:r>
        <w:t xml:space="preserve">:</w:t>
      </w:r>
    </w:p>
    <w:p>
      <w:r>
        <w:br w:type="page"/>
      </w:r>
    </w:p>
    <w:p>
      <w:pPr>
        <w:pStyle w:val="Heading3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rPr>
          <w:i/>
        </w:rPr>
        <w:t xml:space="preserve">Here, I’ll insert a reference to Sean’s paper</w:t>
      </w:r>
      <w:r>
        <w:rPr>
          <w:i/>
        </w:rPr>
        <w:t xml:space="preserve"> </w:t>
      </w:r>
      <w:r>
        <w:rPr>
          <w:i/>
        </w:rPr>
        <w:t xml:space="preserve">(McMahon &amp; Parker, 2015)</w:t>
      </w:r>
      <w:r>
        <w:rPr>
          <w:i/>
        </w:rPr>
        <w:t xml:space="preserve">. This is pulled from references.bib.</w:t>
      </w:r>
    </w:p>
    <w:p>
      <w:pPr>
        <w:pStyle w:val="Heading3"/>
      </w:pPr>
      <w:bookmarkStart w:id="23" w:name="materials-and-methods"/>
      <w:r>
        <w:t xml:space="preserve">Materials and Methods</w:t>
      </w:r>
      <w:bookmarkEnd w:id="23"/>
    </w:p>
    <w:p>
      <w:pPr>
        <w:pStyle w:val="Heading3"/>
      </w:pPr>
      <w:bookmarkStart w:id="24" w:name="results"/>
      <w:r>
        <w:t xml:space="preserve">Results</w:t>
      </w:r>
      <w:bookmarkEnd w:id="24"/>
    </w:p>
    <w:p>
      <w:pPr>
        <w:pStyle w:val="Heading3"/>
      </w:pPr>
      <w:bookmarkStart w:id="25" w:name="discussion"/>
      <w:r>
        <w:t xml:space="preserve">Discussion</w:t>
      </w:r>
      <w:bookmarkEnd w:id="25"/>
    </w:p>
    <w:p>
      <w:pPr>
        <w:pStyle w:val="Heading3"/>
      </w:pPr>
      <w:bookmarkStart w:id="26" w:name="acknowledgements"/>
      <w:r>
        <w:t xml:space="preserve">Acknowledgements</w:t>
      </w:r>
      <w:bookmarkEnd w:id="26"/>
    </w:p>
    <w:p>
      <w:pPr>
        <w:pStyle w:val="FirstParagraph"/>
      </w:pPr>
      <w:r>
        <w:t xml:space="preserve">ForestGEO</w:t>
      </w:r>
    </w:p>
    <w:p>
      <w:pPr>
        <w:pStyle w:val="Heading3"/>
      </w:pPr>
      <w:bookmarkStart w:id="27" w:name="authors-contributions"/>
      <w:r>
        <w:t xml:space="preserve">Authors’ contributions</w:t>
      </w:r>
      <w:bookmarkEnd w:id="27"/>
    </w:p>
    <w:p>
      <w:pPr>
        <w:pStyle w:val="Heading3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mcmahon_general_2015"/>
    <w:p>
      <w:pPr>
        <w:pStyle w:val="Bibliography"/>
      </w:pPr>
      <w:r>
        <w:t xml:space="preserve">McMahon, S. M., &amp; Parker, G. G. (2015). A general model of intra-annual tree growth using dendrometer bands.</w:t>
      </w:r>
      <w:r>
        <w:t xml:space="preserve"> </w:t>
      </w:r>
      <w:r>
        <w:rPr>
          <w:i/>
        </w:rPr>
        <w:t xml:space="preserve">Ecology and Evolution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(2), 243–254.</w:t>
      </w:r>
      <w:r>
        <w:t xml:space="preserve"> </w:t>
      </w:r>
      <w:hyperlink r:id="rId29">
        <w:r>
          <w:rPr>
            <w:rStyle w:val="Hyperlink"/>
          </w:rPr>
          <w:t xml:space="preserve">https://doi.org/10.1002/ece3.1117</w:t>
        </w:r>
      </w:hyperlink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4">
    <w:nsid w:val="71315dca"/>
    <w:multiLevelType w:val="multilevel"/>
    <w:lvl w:ilvl="0">
      <w:start w:val="1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02/ece3.1117" TargetMode="Externa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2/ece3.1117" TargetMode="External" /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2020-08-04T20:58:31Z</dcterms:created>
  <dcterms:modified xsi:type="dcterms:W3CDTF">2020-08-04T20:58:31Z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global-change-biology.csl</vt:lpwstr>
  </property>
  <property fmtid="{D5CDD505-2E9C-101B-9397-08002B2CF9AE}" pid="4" name="output">
    <vt:lpwstr>word_document</vt:lpwstr>
  </property>
</Properties>
</file>