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to combat this, our planet is expected to surpass the 2.5 degree C warming mark that the Paris accord pledged to avoid. The absence of human intervention increases our reliance on natural systems to soften the blow of climate change.</w:t>
      </w:r>
    </w:p>
    <w:p>
      <w:pPr>
        <w:pStyle w:val="BodyText"/>
      </w:pPr>
      <w:r>
        <w:t xml:space="preserve">Forests are an extremely valuable ecosystem for many reasons.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 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multiple factors at once is essential for developing accurate models to inform forest managers and policy makers about the role of future forests in climate change mitigation. CO2 concentrations in the atmosphere are increasing, and in a perfect scenario, trees and other plants would simply speed up growth in response to this, increasing photosynthetic efficiency in a process called CO2 fertilization (Strain and Cure, 1986; Huang et al., 2007). However, factors other than CO2 also limit tree growth, and seasonal temperature averages and precipitation patterns are changing concurrently. It is anticipated that, throughout much of the United States, future heat and drought may limit tree growth more strongly than it can be enhanced by elevated CO2 (Charney et al, 2016).</w:t>
      </w:r>
    </w:p>
    <w:p>
      <w:pPr>
        <w:pStyle w:val="BodyText"/>
      </w:pPr>
      <w:r>
        <w:t xml:space="preserve">In recent decades, an increase in average early Spring temperatures has been attributed to climate change. As temperatures are increasing, some regions have seen earlier leaf out in deciduous trees, meaning a potentially longer growing season (Ibáñez et al., 2010; Jeong et al., 2011). The effects of this extension of the growing season on leaf phenology and NPP have been well studied (Way, 2011; ), but little work has been done to understand the impacts to intraannual stem-growth variables. Shifts in leaf phenology timing could be coupled with a change in stem-growth phenology, which are likely to affect woody productivity, carbon and nutrient cycling, and water use patterns in temperate forests. Thus, it is important to understand how the warming of Spring changes stem-growth phenology.</w:t>
      </w:r>
    </w:p>
    <w:p>
      <w:pPr>
        <w:pStyle w:val="BodyText"/>
      </w:pPr>
      <w:r>
        <w:t xml:space="preserve">The timing of Spring warming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 GIS source Ian sent. However, the fine-scale responses of temperate deciduous species to a warming Spring are not fully understood. Many predictions of phenological shifts like these are based on GIS, eddy-covarience measurements, or other broad scale observations of phenological timing, and do little to discern differences between individual species, where leaf and stem-growth phenology can be decoupled (D’Orangeville et al, in review). In reality, we know little about the growth phenology of temperate deciduous species (see D’Orangeville et al., in revision for more info/ citations)—let alone how these are affected by an early spring.</w:t>
      </w:r>
    </w:p>
    <w:p>
      <w:pPr>
        <w:pStyle w:val="BodyText"/>
      </w:pPr>
      <w:r>
        <w:t xml:space="preserve">To date, very little research has been done on the phenology of stem-growth. Timing of intraannual growth is extremely improtant as it can dictate periods of highest drought sensitivity of NPP in temperate forests (Foster, 2014; ). For example, if a drought were to occur when trees were at their peak growth rates, it could decrease that year’s NPP substantially, and subsequently, reduce the total amount of carbon sequestered creating a negative climate feedback loop. Recent results from D’Orangeville et al. (in review) have shown that wood-type plays a significant role in the timing of leaf and wood phenology, as ring-porous trees begin growth earlier in the season compared to diffuse-porous trees, but both reached 75% total annual growth around the same time. This implies evolutionary differences in the mechanisms controlling growth of these species, which have the potential to expose each group to different climate stresses.</w:t>
      </w:r>
    </w:p>
    <w:p>
      <w:pPr>
        <w:pStyle w:val="BodyText"/>
      </w:pPr>
      <w:r>
        <w:t xml:space="preserve">It is difficult to map intraannual growth, or compare interspecific responses to Spring warming using leaf emergence timing alone. A solution to this is the use of dendrometer bands. Dendrometer bands allow a look at individual trees’ intraannual growth at a fine temporal scale.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the ForestGEO plot at SCBI, calculating for each tree in each year where data was available: the day of year (DOY) where 25, 50, and 75% annual growth was achieved; the maximum growth rate; the DOY where maximum growth rate was achieved; and the total growth. Correlation between these variables and pre-season temperatures over the 9 year study period (2011-2019) were assessed using a heirarchal bayesian model.</w:t>
      </w:r>
    </w:p>
    <w:p>
      <w:pPr>
        <w:pStyle w:val="BodyText"/>
      </w:pPr>
      <w:r>
        <w:t xml:space="preserve">We hypothesized that (1) ring-porous and diffuse-porous trees would both reach 25, and 50% total annual growth earlier and (2) both wood types would increase total growth in response to warmer early-Spring temperatures.</w:t>
      </w:r>
    </w:p>
    <w:p>
      <w:pPr>
        <w:pStyle w:val="Heading3"/>
      </w:pPr>
      <w:bookmarkStart w:id="23" w:name="materials-and-methods"/>
      <w:r>
        <w:t xml:space="preserve">Materials and Methods</w:t>
      </w:r>
      <w:bookmarkEnd w:id="23"/>
    </w:p>
    <w:p>
      <w:pPr>
        <w:pStyle w:val="FirstParagraph"/>
      </w:pPr>
      <w:r>
        <w:rPr>
          <w:i/>
        </w:rPr>
        <w:t xml:space="preserve">Study sites and data</w:t>
      </w:r>
    </w:p>
    <w:p>
      <w:pPr>
        <w:pStyle w:val="BodyText"/>
      </w:pPr>
      <w:r>
        <w:t xml:space="preserve">Study sites included</w:t>
      </w:r>
      <w:r>
        <w:t xml:space="preserve"> </w:t>
      </w:r>
      <w:r>
        <w:rPr>
          <w:b/>
        </w:rPr>
        <w:t xml:space="preserve">2/3</w:t>
      </w:r>
      <w:r>
        <w:t xml:space="preserve"> </w:t>
      </w:r>
      <w:r>
        <w:t xml:space="preserve">temperate forests in the Eastern United states,</w:t>
      </w:r>
      <w:r>
        <w:t xml:space="preserve"> </w:t>
      </w:r>
      <w:r>
        <w:rPr>
          <w:b/>
        </w:rPr>
        <w:t xml:space="preserve">both/all</w:t>
      </w:r>
      <w:r>
        <w:t xml:space="preserve"> </w:t>
      </w:r>
      <w:r>
        <w:t xml:space="preserve">part of the Forest Global Earth Observatory [ForestGEO; Anderson-Teixeira et al. 2015] (</w:t>
      </w:r>
      <w:r>
        <w:rPr>
          <w:b/>
        </w:rPr>
        <w:t xml:space="preserve">Table 1?</w:t>
      </w:r>
      <w:r>
        <w:t xml:space="preserve">).</w:t>
      </w:r>
      <w:r>
        <w:t xml:space="preserve"> </w:t>
      </w:r>
      <w:r>
        <w:rPr>
          <w:b/>
        </w:rPr>
        <w:t xml:space="preserve">Both/all</w:t>
      </w:r>
      <w:r>
        <w:t xml:space="preserve"> </w:t>
      </w:r>
      <w:r>
        <w:t xml:space="preserve">sites are dominated by broadleaf deciduous trees.</w:t>
      </w:r>
      <w:r>
        <w:t xml:space="preserve"> </w:t>
      </w:r>
      <w:r>
        <w:rPr>
          <w:i/>
        </w:rPr>
        <w:t xml:space="preserve">(insert site descriptions, including lat/long, elevation, plot size, climate info, dominant species. If we include SERC and if space permits, we may put this in a table, otherwise just text)</w:t>
      </w:r>
    </w:p>
    <w:p>
      <w:pPr>
        <w:pStyle w:val="BodyText"/>
      </w:pPr>
      <w:r>
        <w:t xml:space="preserve">Within the plot, metal dendrometer bands were installed on</w:t>
      </w:r>
      <w:r>
        <w:t xml:space="preserve"> </w:t>
      </w:r>
      <w:r>
        <w:rPr>
          <w:i/>
        </w:rPr>
        <w:t xml:space="preserve">&gt;#</w:t>
      </w:r>
      <w:r>
        <w:t xml:space="preserve"> </w:t>
      </w:r>
      <w:r>
        <w:t xml:space="preserve">trees and measured approximately every 1-2 weeks within the growing season for</w:t>
      </w:r>
      <w:r>
        <w:t xml:space="preserve"> </w:t>
      </w:r>
      <w:r>
        <w:rPr>
          <w:i/>
        </w:rPr>
        <w:t xml:space="preserve">9</w:t>
      </w:r>
      <w:r>
        <w:t xml:space="preserve"> </w:t>
      </w:r>
      <w:r>
        <w:t xml:space="preserve">years (</w:t>
      </w:r>
      <w:r>
        <w:rPr>
          <w:i/>
        </w:rPr>
        <w:t xml:space="preserve">list ranges, for each site if different</w:t>
      </w:r>
      <w:r>
        <w:t xml:space="preserve">).</w:t>
      </w:r>
      <w:r>
        <w:t xml:space="preserve"> </w:t>
      </w:r>
      <w:r>
        <w:rPr>
          <w:i/>
        </w:rPr>
        <w:t xml:space="preserve">(don’t bother to mention biannual bands, unless you end up using the data–which you could, for annual growth, if you’d like to increase the sample size. You can put exact numbers of bands per year in an SI file.</w:t>
      </w:r>
      <w:r>
        <w:t xml:space="preserve">) The number of bands measured at each site fluctuated somewhat as trees were added or dropped (e.g., because of tree mortality) from the census</w:t>
      </w:r>
      <w:r>
        <w:t xml:space="preserve"> </w:t>
      </w:r>
      <w:r>
        <w:rPr>
          <w:i/>
        </w:rPr>
        <w:t xml:space="preserve">(Table S1)</w:t>
      </w:r>
      <w:r>
        <w:t xml:space="preserve">. Across years, the number of bands sampled averaged</w:t>
      </w:r>
      <w:r>
        <w:t xml:space="preserve"> </w:t>
      </w:r>
      <w:r>
        <w:rPr>
          <w:i/>
        </w:rPr>
        <w:t xml:space="preserve">~150</w:t>
      </w:r>
      <w:r>
        <w:t xml:space="preserve"> </w:t>
      </w:r>
      <w:r>
        <w:t xml:space="preserve">at SCBI, # at Harvard Forest</w:t>
      </w:r>
      <w:r>
        <w:rPr>
          <w:i/>
        </w:rPr>
        <w:t xml:space="preserve">, and # at SERC</w:t>
      </w:r>
      <w:r>
        <w:t xml:space="preserve">.</w:t>
      </w:r>
      <w:r>
        <w:t xml:space="preserve"> </w:t>
      </w:r>
      <w:r>
        <w:rPr>
          <w:i/>
        </w:rPr>
        <w:t xml:space="preserve">(summary of how bands were distributed across species, focusing on ring/ diffuse porous distinction. details in an SI table)</w:t>
      </w:r>
    </w:p>
    <w:p>
      <w:pPr>
        <w:pStyle w:val="BodyText"/>
      </w:pPr>
      <w:r>
        <w:t xml:space="preserve">(After cleaning: 2011- 105 trees; 2012 - 102 trees; 2013 - 102 trees; 2014 - 149 trees; 2015 - 149 trees; 2016 - 149 trees; 2017 - 148 trees; 2018 - 146 trees; 2019 - 145 trees</w:t>
      </w:r>
      <w:r>
        <w:t xml:space="preserve"> </w:t>
      </w:r>
      <w:r>
        <w:rPr>
          <w:i/>
        </w:rPr>
        <w:t xml:space="preserve">–put this in Table S1</w:t>
      </w:r>
      <w:r>
        <w:t xml:space="preserve">).</w:t>
      </w:r>
    </w:p>
    <w:p>
      <w:pPr>
        <w:pStyle w:val="BodyText"/>
      </w:pPr>
      <w:r>
        <w:t xml:space="preserve">Measurements were timed to begin before beginning of spring growth and to continue through the cessation of growth in the fall.</w:t>
      </w:r>
      <w:r>
        <w:t xml:space="preserve"> </w:t>
      </w:r>
      <w:r>
        <w:rPr>
          <w:i/>
        </w:rPr>
        <w:t xml:space="preserve">(Give specifics, which may vary by site. Note that we adjusted timing at SCBI when we observed early leaf-out of understory shrubs/herbs)</w:t>
      </w:r>
    </w:p>
    <w:p>
      <w:pPr>
        <w:pStyle w:val="BodyText"/>
      </w:pPr>
      <w:r>
        <w:t xml:space="preserve">The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Climate data used was obtained from the National Center for Environmental Information (NCEI) weather station located in Front Royal, Virginia. Average daily maximum temperature for 2011-2019 are from the Daily Summary dataset available on their website (</w:t>
      </w:r>
      <w:hyperlink r:id="rId24">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5">
        <w:r>
          <w:rPr>
            <w:rStyle w:val="Hyperlink"/>
          </w:rPr>
          <w:t xml:space="preserve">https://www.usanpn.org/news/spring</w:t>
        </w:r>
      </w:hyperlink>
      <w:r>
        <w:t xml:space="preserve">) ?</w:t>
      </w:r>
    </w:p>
    <w:p>
      <w:pPr>
        <w:pStyle w:val="BodyText"/>
      </w:pPr>
      <w:r>
        <w:t xml:space="preserve">• NDVI or PRI?</w:t>
      </w:r>
      <w:r>
        <w:t xml:space="preserve"> </w:t>
      </w:r>
      <w:hyperlink r:id="rId26">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Spring time temperature was determined using the R package Climwin. This package tests the correlation between climate variables (daily averaged temperature) and biological variables (DOY) within a specified time-frame, reporting the window with the highest correlation as the</w:t>
      </w:r>
      <w:r>
        <w:t xml:space="preserve"> </w:t>
      </w:r>
      <w:r>
        <w:t xml:space="preserve">‘</w:t>
      </w:r>
      <w:r>
        <w:t xml:space="preserve">best-model</w:t>
      </w:r>
      <w:r>
        <w:t xml:space="preserve">’</w:t>
      </w:r>
      <w:r>
        <w:t xml:space="preserve">. We instructed Climwin to search for the best window within ### to 0 days before the phenology milestone. This was done to find corresponding best-windows for both of our wood-types; ring-porous and diffuse-porous.</w:t>
      </w:r>
    </w:p>
    <w:p>
      <w:pPr>
        <w:pStyle w:val="BodyText"/>
      </w:pPr>
      <w:r>
        <w:rPr>
          <w:i/>
        </w:rPr>
        <w:t xml:space="preserve">Analysis</w:t>
      </w:r>
    </w:p>
    <w:p>
      <w:pPr>
        <w:pStyle w:val="BodyText"/>
      </w:pPr>
      <w:r>
        <w:t xml:space="preserve">Here, I’ll insert a reference to Sean’s paper</w:t>
      </w:r>
      <w:r>
        <w:t xml:space="preserve"> </w:t>
      </w:r>
      <w:r>
        <w:t xml:space="preserve">(McMahon &amp; Parker, 2015)</w:t>
      </w:r>
      <w:r>
        <w:t xml:space="preserve">. This is pulled from references.bib.</w:t>
      </w:r>
    </w:p>
    <w:p>
      <w:pPr>
        <w:pStyle w:val="BodyText"/>
      </w:pPr>
      <w:r>
        <w:t xml:space="preserve">-Mixed effect model</w:t>
      </w:r>
    </w:p>
    <w:p>
      <w:pPr>
        <w:pStyle w:val="BodyText"/>
      </w:pPr>
      <w:r>
        <w:t xml:space="preserve">A mixed effect model was used to test the response of wood phenology variables (25% DOY, max-rate, max-rate DOY, total growth) to fixed effects of wood-type and Spring temperature, and random effects of species and tag. We ran two separate models for each of our major wood-types and one combined model to use for comparison during the bayesian analysis. (talking to Albert about possibly doing this)</w:t>
      </w:r>
    </w:p>
    <w:p>
      <w:pPr>
        <w:pStyle w:val="BodyText"/>
      </w:pPr>
      <w:r>
        <w:t xml:space="preserve">• Bayesian heirarchal model</w:t>
      </w:r>
    </w:p>
    <w:p>
      <w:pPr>
        <w:pStyle w:val="Heading3"/>
      </w:pPr>
      <w:bookmarkStart w:id="27" w:name="results"/>
      <w:r>
        <w:t xml:space="preserve">Results</w:t>
      </w:r>
      <w:bookmarkEnd w:id="27"/>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pPr>
        <w:pStyle w:val="BodyText"/>
      </w:pPr>
      <w:r>
        <w:t xml:space="preserve">• Climwin results</w:t>
      </w:r>
    </w:p>
    <w:p>
      <w:pPr>
        <w:pStyle w:val="BodyText"/>
      </w:pPr>
      <w:r>
        <w:t xml:space="preserve">• Accounting for random effects of species and tag, pre-season temperatures had a greater effect on ring-porous species than diffuse-porous.</w:t>
      </w:r>
    </w:p>
    <w:p>
      <w:pPr>
        <w:pStyle w:val="BodyText"/>
      </w:pPr>
      <w:r>
        <w:t xml:space="preserve">• Bayesian variable results (PRE-JOINT MODEL, updating ASAP)</w:t>
      </w:r>
    </w:p>
    <w:p>
      <w:pPr>
        <w:pStyle w:val="BodyText"/>
      </w:pPr>
      <w:r>
        <w:t xml:space="preserve">Ring-porous 25% DOY estimate: -2.23 (credible interval: -2.94 - -1.55)</w:t>
      </w:r>
    </w:p>
    <w:p>
      <w:pPr>
        <w:pStyle w:val="BodyText"/>
      </w:pPr>
      <w:r>
        <w:t xml:space="preserve">Ring-porous 50% DOY estimate: - 2.10 (credible interval: -2.71 - -1.42)</w:t>
      </w:r>
    </w:p>
    <w:p>
      <w:pPr>
        <w:pStyle w:val="BodyText"/>
      </w:pPr>
      <w:r>
        <w:t xml:space="preserve">Ring-porous 75% DOY estimate: -1.89 (credible interval: -2.53 - -1.28)</w:t>
      </w:r>
    </w:p>
    <w:p>
      <w:pPr>
        <w:pStyle w:val="BodyText"/>
      </w:pPr>
      <w:r>
        <w:t xml:space="preserve">Ring-porous total growth estimate: 0.0552 (credible interval: 0.00346 - 0.108)</w:t>
      </w:r>
    </w:p>
    <w:p>
      <w:pPr>
        <w:pStyle w:val="BodyText"/>
      </w:pPr>
      <w:r>
        <w:t xml:space="preserve">Ring-porous max-rate DOY estimate: -2.20 (credible interval: -2.77 - -1.62)</w:t>
      </w:r>
    </w:p>
    <w:p>
      <w:pPr>
        <w:pStyle w:val="BodyText"/>
      </w:pPr>
      <w:r>
        <w:t xml:space="preserve">Ring-porous max-rate estimate: 0.00113 (credible interval: 0.000151 – 0.00208)</w:t>
      </w:r>
    </w:p>
    <w:p>
      <w:pPr>
        <w:pStyle w:val="BodyText"/>
      </w:pPr>
      <w:r>
        <w:t xml:space="preserve">Diffuse-porous 25% DOY estimate: -1.83 (credible interval: -2.86 - -0.822)</w:t>
      </w:r>
    </w:p>
    <w:p>
      <w:pPr>
        <w:pStyle w:val="BodyText"/>
      </w:pPr>
      <w:r>
        <w:t xml:space="preserve">Diffuse-porous 50% DOY estimate: -2.39 (credible interval: -3.35 - -1.43)</w:t>
      </w:r>
    </w:p>
    <w:p>
      <w:pPr>
        <w:pStyle w:val="BodyText"/>
      </w:pPr>
      <w:r>
        <w:t xml:space="preserve">Diffuse-porous 75% DOY estimate: -2.96 (credible interval: -4.03 - -1.92)</w:t>
      </w:r>
    </w:p>
    <w:p>
      <w:pPr>
        <w:pStyle w:val="BodyText"/>
      </w:pPr>
      <w:r>
        <w:t xml:space="preserve">Diffuse-porous total growth estimate: -0.0642 (credible interval: -0.172 – 0.0460)</w:t>
      </w:r>
    </w:p>
    <w:p>
      <w:pPr>
        <w:pStyle w:val="BodyText"/>
      </w:pPr>
      <w:r>
        <w:t xml:space="preserve">Diffuse-porous max-rate DOY estimate: -2.54 (credible interval: -3.41 - -1.69)</w:t>
      </w:r>
    </w:p>
    <w:p>
      <w:pPr>
        <w:pStyle w:val="BodyText"/>
      </w:pPr>
      <w:r>
        <w:t xml:space="preserve">Diffuse-porous max-rate estimate: 0.00209 (credible interval: 0.000118 – 0.00413)</w:t>
      </w:r>
    </w:p>
    <w:p>
      <w:pPr>
        <w:pStyle w:val="Heading3"/>
      </w:pPr>
      <w:bookmarkStart w:id="28" w:name="discussion"/>
      <w:r>
        <w:t xml:space="preserve">Discussion</w:t>
      </w:r>
      <w:bookmarkEnd w:id="28"/>
    </w:p>
    <w:p>
      <w:pPr>
        <w:pStyle w:val="FirstParagraph"/>
      </w:pPr>
      <w:r>
        <w:t xml:space="preserve">Diffuse-porous 25-75% growth period shrinking leaving trees more vulnerable to drought while ring-porous 25-75% growing, potentially making effect of drought less damaging? But RP still prone to cavitation + longer growth period could mean exposure to higher number of droughts resulting in serious damage to water transport system?</w:t>
      </w:r>
    </w:p>
    <w:p>
      <w:pPr>
        <w:pStyle w:val="BodyText"/>
      </w:pPr>
      <w:r>
        <w:t xml:space="preserve">DIfferences in total relationship could be because of response difference in wood types OR could be because the diffuse-porous’ growth occuring during the later summer means it is exposed to drought/heat and on average, not feeling the effects of the earlier spring. differences in wood porosity growth timing means exposure to different periods of climate stress ring porous adaptable to spring temps, diffuse not so much leads to higher growth in ring however, diffuse still more resistant to cavitation potential for more frequent late frost events having large impacts as spring warms? offset of chilling requirements and spring leaf out requirements</w:t>
      </w:r>
    </w:p>
    <w:p>
      <w:pPr>
        <w:pStyle w:val="BodyText"/>
      </w:pPr>
      <w:r>
        <w:t xml:space="preserve">much assumed about future forest productivity based on gis different wood types/species may respond differently need to understand at a finer scale what is happening</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w:t>
      </w:r>
    </w:p>
    <w:p>
      <w:pPr>
        <w:pStyle w:val="Heading3"/>
      </w:pPr>
      <w:bookmarkStart w:id="29" w:name="acknowledgements"/>
      <w:r>
        <w:t xml:space="preserve">Acknowledgements</w:t>
      </w:r>
      <w:bookmarkEnd w:id="29"/>
    </w:p>
    <w:p>
      <w:pPr>
        <w:pStyle w:val="FirstParagraph"/>
      </w:pPr>
      <w:r>
        <w:t xml:space="preserve">ForestGEO</w:t>
      </w:r>
    </w:p>
    <w:p>
      <w:pPr>
        <w:pStyle w:val="Heading3"/>
      </w:pPr>
      <w:bookmarkStart w:id="30" w:name="authors-contributions"/>
      <w:r>
        <w:t xml:space="preserve">Authors’ contributions</w:t>
      </w:r>
      <w:bookmarkEnd w:id="30"/>
    </w:p>
    <w:p>
      <w:pPr>
        <w:pStyle w:val="Heading3"/>
      </w:pPr>
      <w:bookmarkStart w:id="31" w:name="references"/>
      <w:r>
        <w:t xml:space="preserve">References</w:t>
      </w:r>
      <w:bookmarkEnd w:id="31"/>
    </w:p>
    <w:bookmarkStart w:id="34" w:name="refs"/>
    <w:bookmarkStart w:id="33" w:name="ref-mcmahon_general_2015"/>
    <w:p>
      <w:pPr>
        <w:pStyle w:val="Bibliography"/>
      </w:pPr>
      <w:r>
        <w:t xml:space="preserve">McMahon, S. M., &amp; Parker, G. G. (2015). A general model of intra-annual tree growth using dendrometer bands.</w:t>
      </w:r>
      <w:r>
        <w:t xml:space="preserve"> </w:t>
      </w:r>
      <w:r>
        <w:rPr>
          <w:i/>
        </w:rPr>
        <w:t xml:space="preserve">Ecology and Evolution</w:t>
      </w:r>
      <w:r>
        <w:t xml:space="preserve">,</w:t>
      </w:r>
      <w:r>
        <w:t xml:space="preserve"> </w:t>
      </w:r>
      <w:r>
        <w:rPr>
          <w:i/>
        </w:rPr>
        <w:t xml:space="preserve">5</w:t>
      </w:r>
      <w:r>
        <w:t xml:space="preserve">(2), 243–254.</w:t>
      </w:r>
      <w:r>
        <w:t xml:space="preserve"> </w:t>
      </w:r>
      <w:hyperlink r:id="rId32">
        <w:r>
          <w:rPr>
            <w:rStyle w:val="Hyperlink"/>
          </w:rPr>
          <w:t xml:space="preserve">https://doi.org/10.1002/ece3.1117</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02/ece3.1117" TargetMode="Externa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2020-09-03T15:14:56Z</dcterms:created>
  <dcterms:modified xsi:type="dcterms:W3CDTF">2020-09-03T15:14:56Z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