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 springs alter timing but not total growth of temperate deciduous trees</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stem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w:t>
      </w:r>
      <w:r>
        <w:rPr>
          <w:vertAlign w:val="superscript"/>
        </w:rPr>
        <w:t xml:space="preserve">23,28,30</w:t>
      </w:r>
      <w:r>
        <w:t xml:space="preserve">, nutrient limitation</w:t>
      </w:r>
      <w:r>
        <w:rPr>
          <w:vertAlign w:val="superscript"/>
        </w:rPr>
        <w:t xml:space="preserve">38</w:t>
      </w:r>
      <w:r>
        <w:t xml:space="preserve">, daylength</w:t>
      </w:r>
      <w:r>
        <w:rPr>
          <w:vertAlign w:val="superscript"/>
        </w:rPr>
        <w:t xml:space="preserve">30</w:t>
      </w:r>
      <w:r>
        <w:t xml:space="preserve">, or sink saturation</w:t>
      </w:r>
      <w:r>
        <w:rPr>
          <w:vertAlign w:val="superscript"/>
        </w:rPr>
        <w:t xml:space="preserve">23,31</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4,20</w:t>
      </w:r>
      <w:r>
        <w:t xml:space="preserve"> </w:t>
      </w:r>
      <w:r>
        <w:t xml:space="preserve">and increase net annual CO</w:t>
      </w:r>
      <w:r>
        <w:rPr>
          <w:vertAlign w:val="subscript"/>
        </w:rPr>
        <w:t xml:space="preserve">2</w:t>
      </w:r>
      <w:r>
        <w:t xml:space="preserve"> </w:t>
      </w:r>
      <w:r>
        <w:t xml:space="preserve">uptake</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48"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7">
        <w:r>
          <w:rPr>
            <w:rStyle w:val="Hyperlink"/>
          </w:rPr>
          <w:t xml:space="preserve">https://github.com/SCBI-ForestGEO/Dendrobands</w:t>
        </w:r>
      </w:hyperlink>
      <w:r>
        <w:t xml:space="preserve">), which is archived in Zenodo (DOI 10.5281/zenodo.5551143), and for Harvard Forest via the Harvard Forest Data Archive (</w:t>
      </w:r>
      <w:hyperlink r:id="rId38">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9">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0">
        <w:r>
          <w:rPr>
            <w:rStyle w:val="Hyperlink"/>
          </w:rPr>
          <w:t xml:space="preserve">https://harvardforest1.fas.harvard.edu/exist/apps/datasets/showData.html?id=HF001</w:t>
        </w:r>
      </w:hyperlink>
      <w:r>
        <w:t xml:space="preserve"> </w:t>
      </w:r>
      <w:r>
        <w:t xml:space="preserve">AND</w:t>
      </w:r>
      <w:r>
        <w:t xml:space="preserve"> </w:t>
      </w:r>
      <w:hyperlink r:id="rId41">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2">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3">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4">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5">
        <w:r>
          <w:rPr>
            <w:rStyle w:val="Hyperlink"/>
          </w:rPr>
          <w:t xml:space="preserve">https://www.ncei.noaa.gov/products/paleoclimatology/tree-ring</w:t>
        </w:r>
      </w:hyperlink>
      <w:r>
        <w:t xml:space="preserve">), the DendroEcological Network (DEN;</w:t>
      </w:r>
      <w:r>
        <w:t xml:space="preserve"> </w:t>
      </w:r>
      <w:hyperlink r:id="rId46">
        <w:r>
          <w:rPr>
            <w:rStyle w:val="Hyperlink"/>
          </w:rPr>
          <w:t xml:space="preserve">https://www.uvm.edu/femc/dendro/</w:t>
        </w:r>
      </w:hyperlink>
      <w:r>
        <w:t xml:space="preserve">), and/or the Harvard Forest Data Archive (</w:t>
      </w:r>
      <w:hyperlink r:id="rId47">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8"/>
    <w:bookmarkStart w:id="51"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9">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0">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1"/>
    <w:bookmarkStart w:id="141"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0" w:name="refs"/>
    <w:bookmarkStart w:id="52"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2"/>
    <w:bookmarkStart w:id="53"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3"/>
    <w:bookmarkStart w:id="54"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4"/>
    <w:bookmarkStart w:id="55"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5"/>
    <w:bookmarkStart w:id="56"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5"/>
    <w:bookmarkStart w:id="67"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6">
        <w:r>
          <w:rPr>
            <w:rStyle w:val="Hyperlink"/>
          </w:rPr>
          <w:t xml:space="preserve">10.1038/s41558-020-00976-6</w:t>
        </w:r>
      </w:hyperlink>
      <w:r>
        <w:t xml:space="preserve">.</w:t>
      </w:r>
    </w:p>
    <w:bookmarkEnd w:id="67"/>
    <w:bookmarkStart w:id="68"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8"/>
    <w:bookmarkStart w:id="69"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9"/>
    <w:bookmarkStart w:id="70"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0"/>
    <w:bookmarkStart w:id="71"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1"/>
    <w:bookmarkStart w:id="72"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2"/>
    <w:bookmarkStart w:id="73"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3"/>
    <w:bookmarkStart w:id="74"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4"/>
    <w:bookmarkStart w:id="75"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80"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9">
        <w:r>
          <w:rPr>
            <w:rStyle w:val="Hyperlink"/>
          </w:rPr>
          <w:t xml:space="preserve">10.1038/s41559-022-01668-4</w:t>
        </w:r>
      </w:hyperlink>
      <w:r>
        <w:t xml:space="preserve">.</w:t>
      </w:r>
    </w:p>
    <w:bookmarkEnd w:id="80"/>
    <w:bookmarkStart w:id="81"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1"/>
    <w:bookmarkStart w:id="82"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2"/>
    <w:bookmarkStart w:id="83"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3"/>
    <w:bookmarkStart w:id="84"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4"/>
    <w:bookmarkStart w:id="85"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elmore_earlier_2016"/>
    <w:p>
      <w:pPr>
        <w:pStyle w:val="Bibliography"/>
      </w:pPr>
      <w:r>
        <w:t xml:space="preserve">38.</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1"/>
    <w:bookmarkStart w:id="92"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2"/>
    <w:bookmarkStart w:id="93"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3"/>
    <w:bookmarkStart w:id="94"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4"/>
    <w:bookmarkStart w:id="95"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5"/>
    <w:bookmarkStart w:id="96"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6"/>
    <w:bookmarkStart w:id="98"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7">
        <w:r>
          <w:rPr>
            <w:rStyle w:val="Hyperlink"/>
          </w:rPr>
          <w:t xml:space="preserve">10.1073/pnas.2002713117</w:t>
        </w:r>
      </w:hyperlink>
      <w:r>
        <w:t xml:space="preserve">.</w:t>
      </w:r>
    </w:p>
    <w:bookmarkEnd w:id="98"/>
    <w:bookmarkStart w:id="99"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9"/>
    <w:bookmarkStart w:id="100"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0"/>
    <w:bookmarkStart w:id="101"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9"/>
    <w:bookmarkStart w:id="110"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0"/>
    <w:bookmarkStart w:id="111"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1"/>
    <w:bookmarkStart w:id="113"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2">
        <w:r>
          <w:rPr>
            <w:rStyle w:val="Hyperlink"/>
          </w:rPr>
          <w:t xml:space="preserve">10.5067/MODIS/MCD12Q2.006</w:t>
        </w:r>
      </w:hyperlink>
      <w:r>
        <w:t xml:space="preserve">.</w:t>
      </w:r>
    </w:p>
    <w:bookmarkEnd w:id="113"/>
    <w:bookmarkStart w:id="115"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4">
        <w:r>
          <w:rPr>
            <w:rStyle w:val="Hyperlink"/>
          </w:rPr>
          <w:t xml:space="preserve">10.5281/ZENODO.4041609</w:t>
        </w:r>
      </w:hyperlink>
      <w:r>
        <w:t xml:space="preserve">.</w:t>
      </w:r>
    </w:p>
    <w:bookmarkEnd w:id="115"/>
    <w:bookmarkStart w:id="116"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6"/>
    <w:bookmarkStart w:id="118"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7">
        <w:r>
          <w:rPr>
            <w:rStyle w:val="Hyperlink"/>
          </w:rPr>
          <w:t xml:space="preserve">10.6073/PASTA/213335F5DAA17222A738C105B9FA60C4</w:t>
        </w:r>
      </w:hyperlink>
      <w:r>
        <w:t xml:space="preserve">.</w:t>
      </w:r>
    </w:p>
    <w:bookmarkEnd w:id="118"/>
    <w:bookmarkStart w:id="120"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9">
        <w:r>
          <w:rPr>
            <w:rStyle w:val="Hyperlink"/>
          </w:rPr>
          <w:t xml:space="preserve">10.6073/PASTA/69E92642B512897032446CFE795CFFB8</w:t>
        </w:r>
      </w:hyperlink>
      <w:r>
        <w:t xml:space="preserve">.</w:t>
      </w:r>
    </w:p>
    <w:bookmarkEnd w:id="120"/>
    <w:bookmarkStart w:id="121"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1"/>
    <w:bookmarkStart w:id="122"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6"/>
    <w:bookmarkStart w:id="127"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7"/>
    <w:bookmarkStart w:id="128"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8"/>
    <w:bookmarkStart w:id="129"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9"/>
    <w:bookmarkStart w:id="130"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0"/>
    <w:bookmarkStart w:id="131"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4"/>
    <w:bookmarkStart w:id="135"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7"/>
    <w:bookmarkStart w:id="138"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End w:id="140"/>
    <w:bookmarkEnd w:id="141"/>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2022-04-27T18:12:04Z</dcterms:created>
  <dcterms:modified xsi:type="dcterms:W3CDTF">2022-04-27T18:12:04Z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