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3.png" ContentType="image/png"/>
  <Override PartName="/word/media/rId22.png" ContentType="image/png"/>
  <Override PartName="/word/media/rId29.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r>
        <w:rPr>
          <w:vertAlign w:val="superscript"/>
        </w:rPr>
        <w:t xml:space="preserve">5</w:t>
      </w:r>
    </w:p>
    <w:p>
      <w:pPr>
        <w:pStyle w:val="BodyText"/>
      </w:pPr>
      <w:r>
        <w:t xml:space="preserve">Justin Maxwell</w:t>
      </w:r>
      <w:r>
        <w:rPr>
          <w:vertAlign w:val="superscript"/>
        </w:rPr>
        <w:t xml:space="preserve">6</w:t>
      </w:r>
    </w:p>
    <w:p>
      <w:pPr>
        <w:pStyle w:val="BodyText"/>
      </w:pPr>
      <w:r>
        <w:t xml:space="preserve">Ian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Department of Geography, Indiana University, Bloomington, Indiana,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4"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 this is currently way too long.</w:t>
      </w:r>
      <w:r>
        <w:t xml:space="preserve">)</w:t>
      </w:r>
    </w:p>
    <w:p>
      <w:pPr>
        <w:pStyle w:val="BodyText"/>
      </w:pPr>
      <w:r>
        <w:t xml:space="preserve">As the climate changes, warmer spring temperatures are causing earlier leaf-out</w:t>
      </w:r>
      <w:r>
        <w:rPr>
          <w:vertAlign w:val="superscript"/>
        </w:rPr>
        <w:t xml:space="preserve">1,2</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1,3–5</w:t>
      </w:r>
      <w:r>
        <w:t xml:space="preserve"> </w:t>
      </w:r>
      <w:r>
        <w:t xml:space="preserve">and annual CO</w:t>
      </w:r>
      <w:r>
        <w:rPr>
          <w:vertAlign w:val="subscript"/>
        </w:rPr>
        <w:t xml:space="preserve">2</w:t>
      </w:r>
      <w:r>
        <w:t xml:space="preserve"> </w:t>
      </w:r>
      <w:r>
        <w:t xml:space="preserve">sequestration</w:t>
      </w:r>
      <w:r>
        <w:rPr>
          <w:vertAlign w:val="superscript"/>
        </w:rPr>
        <w:t xml:space="preserve">2,6–10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findings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10</w:t>
      </w:r>
      <w:r>
        <w:t xml:space="preserve">, with observations that warm springs result in earlier leaf senescence</w:t>
      </w:r>
      <w:r>
        <w:rPr>
          <w:vertAlign w:val="superscript"/>
        </w:rPr>
        <w:t xml:space="preserve">15,16</w:t>
      </w:r>
      <w:r>
        <w:t xml:space="preserve">, and with evidence that forest CO</w:t>
      </w:r>
      <w:r>
        <w:rPr>
          <w:vertAlign w:val="subscript"/>
        </w:rPr>
        <w:t xml:space="preserve">2</w:t>
      </w:r>
      <w:r>
        <w:t xml:space="preserve"> </w:t>
      </w:r>
      <w:r>
        <w:t xml:space="preserve">sequestration is sink-limited</w:t>
      </w:r>
      <w:r>
        <w:rPr>
          <w:vertAlign w:val="superscript"/>
        </w:rPr>
        <w:t xml:space="preserve">16</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6–8</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rPr>
          <w:iCs/>
          <w:i/>
          <w:bCs/>
          <w:b/>
        </w:rPr>
        <w:t xml:space="preserve">(DROP THIS FIRST PARAGRAPH?)</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t xml:space="preserve">In recent decades, warming temperatures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Warmer spring temperatures and earlier leaf-out are also linked to earlier leaf senescence</w:t>
      </w:r>
      <w:r>
        <w:rPr>
          <w:vertAlign w:val="superscript"/>
        </w:rPr>
        <w:t xml:space="preserve">15,21</w:t>
      </w:r>
      <w:r>
        <w:t xml:space="preserve">, apparently because of sink-limitation to CO</w:t>
      </w:r>
      <w:r>
        <w:rPr>
          <w:vertAlign w:val="subscript"/>
        </w:rPr>
        <w:t xml:space="preserve">2</w:t>
      </w:r>
      <w:r>
        <w:t xml:space="preserve"> </w:t>
      </w:r>
      <w:r>
        <w:t xml:space="preserve">sequestration</w:t>
      </w:r>
      <w:r>
        <w:rPr>
          <w:vertAlign w:val="superscript"/>
        </w:rPr>
        <w:t xml:space="preserve">16</w:t>
      </w:r>
      <w:r>
        <w:t xml:space="preserve">.</w:t>
      </w:r>
      <w:r>
        <w:t xml:space="preserve"> </w:t>
      </w:r>
      <w:r>
        <w:t xml:space="preserve">However, warmer summer and autumn temperatures can delay leaf senescence</w:t>
      </w:r>
      <w:r>
        <w:rPr>
          <w:vertAlign w:val="superscript"/>
        </w:rPr>
        <w:t xml:space="preserve">1,5,7,8,15,22</w:t>
      </w:r>
      <w:r>
        <w:t xml:space="preserve">, and as a result warming may advance or delay autumn senescence [REFS].</w:t>
      </w:r>
      <w:r>
        <w:t xml:space="preserve"> </w:t>
      </w:r>
      <w:r>
        <w:t xml:space="preserve">The net result is that spring warming generally results in an increased growing season length, measured as the period over which trees have leaves</w:t>
      </w:r>
      <w:r>
        <w:rPr>
          <w:vertAlign w:val="superscript"/>
        </w:rPr>
        <w:t xml:space="preserve">1,1,3–5</w:t>
      </w:r>
      <w:r>
        <w:t xml:space="preserve"> </w:t>
      </w:r>
      <w:r>
        <w:t xml:space="preserve">and the ecosystem is a net CO</w:t>
      </w:r>
      <w:r>
        <w:rPr>
          <w:vertAlign w:val="subscript"/>
        </w:rPr>
        <w:t xml:space="preserve">2</w:t>
      </w:r>
      <w:r>
        <w:t xml:space="preserve"> </w:t>
      </w:r>
      <w:r>
        <w:t xml:space="preserve">sink[REFS].</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2,9,10,23</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16</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16</w:t>
      </w:r>
      <w:r>
        <w:t xml:space="preserve">.</w:t>
      </w:r>
    </w:p>
    <w:p>
      <w:pPr>
        <w:pStyle w:val="BodyText"/>
      </w:pPr>
      <w: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8"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 (KAT thinks so)</w:t>
      </w:r>
      <w:r>
        <w:t xml:space="preserve"> </w:t>
      </w:r>
      <w:r>
        <w:t xml:space="preserve">See</w:t>
      </w:r>
      <w:r>
        <w:t xml:space="preserve"> </w:t>
      </w:r>
      <w:hyperlink r:id="rId24">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1519053"/>
            <wp:effectExtent b="0" l="0" r="0" t="0"/>
            <wp:docPr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5"/>
                    <a:stretch>
                      <a:fillRect/>
                    </a:stretch>
                  </pic:blipFill>
                  <pic:spPr bwMode="auto">
                    <a:xfrm>
                      <a:off x="0" y="0"/>
                      <a:ext cx="5943600" cy="1519053"/>
                    </a:xfrm>
                    <a:prstGeom prst="rect">
                      <a:avLst/>
                    </a:prstGeom>
                    <a:noFill/>
                    <a:ln w="9525">
                      <a:noFill/>
                      <a:headEnd/>
                      <a:tailEnd/>
                    </a:ln>
                  </pic:spPr>
                </pic:pic>
              </a:graphicData>
            </a:graphic>
          </wp:inline>
        </w:drawing>
      </w:r>
    </w:p>
    <w:p>
      <w:pPr>
        <w:pStyle w:val="ImageCaption"/>
      </w:pPr>
      <w:r>
        <w:rPr>
          <w:bCs/>
          <w:b/>
        </w:rPr>
        <w:t xml:space="preserve">Figure 3 | Response of the timing of stem growth phenology to spring temperatures.</w:t>
      </w:r>
      <w:r>
        <w:t xml:space="preserve"> </w:t>
      </w:r>
      <w:r>
        <w:t xml:space="preserve">The days of year on which 25%, 50% and 75% of annual growth were acheived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declinde significantly with mean</w:t>
      </w:r>
      <w:r>
        <w:t xml:space="preserve"> </w:t>
      </w:r>
      <m:oMath>
        <m:sSub>
          <m:e>
            <m:r>
              <m:t>T</m:t>
            </m:r>
          </m:e>
          <m:sub>
            <m:r>
              <m:t>m</m:t>
            </m:r>
            <m:r>
              <m:t>a</m:t>
            </m:r>
            <m:r>
              <m:t>x</m:t>
            </m:r>
          </m:sub>
        </m:sSub>
      </m:oMath>
      <w:r>
        <w:t xml:space="preserve"> </w:t>
      </w:r>
      <w:r>
        <w:t xml:space="preserve">during the critical temperature window (CTW). For each CTW</w:t>
      </w:r>
      <w:r>
        <w:t xml:space="preserve"> </w:t>
      </w:r>
      <m:oMath>
        <m:sSub>
          <m:e>
            <m:r>
              <m:t>T</m:t>
            </m:r>
          </m:e>
          <m:sub>
            <m:r>
              <m:t>m</m:t>
            </m:r>
            <m:r>
              <m:t>a</m:t>
            </m:r>
            <m:r>
              <m:t>x</m:t>
            </m:r>
          </m:sub>
        </m:sSub>
      </m:oMath>
      <w:r>
        <w:t xml:space="preserve">, the posterior mean of the fitted day of year is represented by the solid line and 95% credible intervals are represented by bands. Relationsips for additional growth parameters (Fig. 1a) aare given in Extended Data Figure 4. (</w:t>
      </w:r>
      <w:r>
        <w:rPr>
          <w:bCs/>
          <w:b/>
        </w:rPr>
        <w:t xml:space="preserve">DOYrmax will be dropped.</w:t>
      </w:r>
      <w:r>
        <w:t xml:space="preserve"> </w:t>
      </w:r>
      <w:hyperlink r:id="rId26">
        <w:r>
          <w:rPr>
            <w:rStyle w:val="Hyperlink"/>
          </w:rPr>
          <w:t xml:space="preserve">GitHub Issue 23</w:t>
        </w:r>
      </w:hyperlink>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w:t>
      </w:r>
      <w:r>
        <w:t xml:space="preserve"> </w:t>
      </w:r>
      <w:hyperlink r:id="rId27">
        <w:r>
          <w:rPr>
            <w:rStyle w:val="Hyperlink"/>
          </w:rPr>
          <w:t xml:space="preserve">greenup DOY occurred 21 days earlier at SCBI and 7 days earlier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w:t>
      </w:r>
      <w:r>
        <w:t xml:space="preserve"> </w:t>
      </w:r>
      <w:hyperlink r:id="rId27">
        <w:r>
          <w:rPr>
            <w:rStyle w:val="Hyperlink"/>
          </w:rPr>
          <w:t xml:space="preserve">1-8 days per degree Celsius</w:t>
        </w:r>
      </w:hyperlink>
      <w:r>
        <w:t xml:space="preserve"> </w:t>
      </w:r>
      <w:r>
        <w:t xml:space="preserve">during the CTW (Figs. 1- 3, 2; see also Extended Data Figures</w:t>
      </w:r>
      <w:r>
        <w:t xml:space="preserve"> </w:t>
      </w:r>
      <w:r>
        <w:rPr>
          <w:bCs/>
          <w:b/>
        </w:rPr>
        <w:t xml:space="preserve">4-6</w:t>
      </w:r>
      <w:r>
        <w:t xml:space="preserv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bookmarkEnd w:id="28"/>
    <w:bookmarkStart w:id="31"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9"/>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30">
        <w:r>
          <w:rPr>
            <w:rStyle w:val="Hyperlink"/>
          </w:rPr>
          <w:t xml:space="preserve">GitHub Issue #49</w:t>
        </w:r>
      </w:hyperlink>
      <w:r>
        <w:t xml:space="preserve">.)</w:t>
      </w:r>
    </w:p>
    <w:p>
      <w:pPr>
        <w:pStyle w:val="BodyText"/>
      </w:pPr>
      <w:r>
        <w:t xml:space="preserve">The patterns observed at our focal sites were mirrored across an additional 192 chronologies from 112 sites (Fig. 4; Extended Data Figure 1)</w:t>
      </w:r>
      <w:r>
        <w:rPr>
          <w:vertAlign w:val="superscript"/>
        </w:rPr>
        <w:t xml:space="preserve">26</w:t>
      </w:r>
      <w:r>
        <w:t xml:space="preserve">.</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31"/>
    <w:bookmarkStart w:id="33"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1- 4).</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stem growth, like leaf phenology</w:t>
      </w:r>
      <w:r>
        <w:rPr>
          <w:vertAlign w:val="superscript"/>
        </w:rPr>
        <w:t xml:space="preserve">16</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4, Extended Data Figure 7)</w:t>
      </w:r>
      <w:r>
        <w:rPr>
          <w:vertAlign w:val="superscript"/>
        </w:rPr>
        <w:t xml:space="preserve">24,27</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26</w:t>
      </w:r>
      <w:r>
        <w:t xml:space="preserve">.</w:t>
      </w:r>
      <w:r>
        <w:t xml:space="preserve"> </w:t>
      </w:r>
      <w:r>
        <w:t xml:space="preserve">It is possible that an earlier start to the growing season may provide some buffer against drought later in the growing season</w:t>
      </w:r>
      <w:r>
        <w:rPr>
          <w:vertAlign w:val="superscript"/>
        </w:rPr>
        <w:t xml:space="preserve">28</w:t>
      </w:r>
      <w:r>
        <w:t xml:space="preserve">, potentially contributing to observed trends of declining drought sensitivity in the region</w:t>
      </w:r>
      <w:r>
        <w:rPr>
          <w:vertAlign w:val="superscript"/>
        </w:rPr>
        <w:t xml:space="preserve">24,29</w:t>
      </w:r>
      <w:r>
        <w:t xml:space="preserv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9,10</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9,10</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30</w:t>
      </w:r>
      <w:r>
        <w:t xml:space="preserve">, or saved within trees as non-structural carbohydrates and used towards growth the following year</w:t>
      </w:r>
      <w:r>
        <w:rPr>
          <w:vertAlign w:val="superscript"/>
        </w:rPr>
        <w:t xml:space="preserve">31,32</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24</w:t>
      </w:r>
      <w:r>
        <w:t xml:space="preserve"> </w:t>
      </w:r>
      <w:r>
        <w:rPr>
          <w:iCs/>
          <w:i/>
        </w:rPr>
        <w:t xml:space="preserve">we can easily test this:</w:t>
      </w:r>
      <w:r>
        <w:rPr>
          <w:iCs/>
          <w:i/>
        </w:rPr>
        <w:t xml:space="preserve"> </w:t>
      </w:r>
      <w:hyperlink r:id="rId32">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31</w:t>
      </w:r>
      <w:r>
        <w:t xml:space="preserve">.</w:t>
      </w:r>
      <w:r>
        <w:t xml:space="preserve"> </w:t>
      </w:r>
      <w:r>
        <w:t xml:space="preserve">Most of this carbon would have a relatively low residence time in the ecosystem</w:t>
      </w:r>
      <w:r>
        <w:rPr>
          <w:vertAlign w:val="superscript"/>
        </w:rPr>
        <w:t xml:space="preserve">31</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9,10</w:t>
      </w:r>
      <w:r>
        <w:t xml:space="preserve">.</w:t>
      </w:r>
      <w:r>
        <w:t xml:space="preserve"> </w:t>
      </w:r>
      <w:r>
        <w:t xml:space="preserve">Studies examining long-term trends in growing season length and ecosystem C uptake</w:t>
      </w:r>
      <w:r>
        <w:rPr>
          <w:vertAlign w:val="superscript"/>
        </w:rPr>
        <w:t xml:space="preserve">2,6,7</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31</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33</w:t>
      </w:r>
      <w:r>
        <w:t xml:space="preserve">, and NEE.</w:t>
      </w:r>
      <w:r>
        <w:rPr>
          <w:vertAlign w:val="superscript"/>
        </w:rPr>
        <w:t xml:space="preserve">23</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1- 3).</w:t>
      </w:r>
      <w:r>
        <w:t xml:space="preserve"> </w:t>
      </w:r>
      <w:r>
        <w:t xml:space="preserve">Yet, an earlier start to the growing season is not associated with a longer growing season or increased growth (Figs. 1, 4), presumably because stem diameter growth is curtailed by C sink limitation</w:t>
      </w:r>
      <w:r>
        <w:rPr>
          <w:vertAlign w:val="superscript"/>
        </w:rPr>
        <w:t xml:space="preserve">16</w:t>
      </w:r>
      <w:r>
        <w:t xml:space="preserve"> </w:t>
      </w:r>
      <w:r>
        <w:t xml:space="preserve">or drought</w:t>
      </w:r>
      <w:r>
        <w:rPr>
          <w:vertAlign w:val="superscript"/>
        </w:rPr>
        <w:t xml:space="preserve">24,26</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16</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p>
    <w:bookmarkEnd w:id="33"/>
    <w:bookmarkEnd w:id="34"/>
    <w:bookmarkStart w:id="47"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5"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5"/>
    <w:bookmarkStart w:id="43" w:name="Data"/>
    <w:p>
      <w:pPr>
        <w:pStyle w:val="Heading2"/>
      </w:pPr>
      <w:r>
        <w:t xml:space="preserve">Data collection and preparation</w:t>
      </w:r>
    </w:p>
    <w:bookmarkStart w:id="36"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6"/>
    <w:bookmarkStart w:id="38"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34</w:t>
      </w:r>
    </w:p>
    <w:p>
      <w:pPr>
        <w:pStyle w:val="BodyText"/>
      </w:pPr>
      <w:r>
        <w:t xml:space="preserve">description here:</w:t>
      </w:r>
      <w:r>
        <w:t xml:space="preserve"> </w:t>
      </w:r>
      <w:hyperlink r:id="rId37">
        <w:r>
          <w:rPr>
            <w:rStyle w:val="Hyperlink"/>
          </w:rPr>
          <w:t xml:space="preserve">https://developers.google.com/earth-engine/datasets/catalog/MODIS_006_MCD12Q2#description</w:t>
        </w:r>
      </w:hyperlink>
    </w:p>
    <w:bookmarkEnd w:id="38"/>
    <w:bookmarkStart w:id="39"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35</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112 deciduous and mixed forest sites in Eastern North America</w:t>
      </w:r>
      <w:r>
        <w:rPr>
          <w:vertAlign w:val="superscript"/>
        </w:rPr>
        <w:t xml:space="preserve">26</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36,37</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38</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39</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36</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36</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9"/>
    <w:bookmarkStart w:id="42"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40">
        <w:r>
          <w:rPr>
            <w:rStyle w:val="Hyperlink"/>
          </w:rPr>
          <w:t xml:space="preserve">https://forestgeo.github.io/Climate/</w:t>
        </w:r>
      </w:hyperlink>
      <w:r>
        <w:t xml:space="preserve">;].</w:t>
      </w:r>
      <w:r>
        <w:rPr>
          <w:vertAlign w:val="superscript"/>
        </w:rPr>
        <w:t xml:space="preserve">40</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1">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41</w:t>
      </w:r>
      <w:r>
        <w:t xml:space="preserve"> again via the ForestGEO Climate Data Portal v1.0.</w:t>
      </w:r>
      <w:r>
        <w:rPr>
          <w:vertAlign w:val="superscript"/>
        </w:rPr>
        <w:t xml:space="preserve">40</w:t>
      </w:r>
    </w:p>
    <w:bookmarkEnd w:id="42"/>
    <w:bookmarkEnd w:id="43"/>
    <w:bookmarkStart w:id="46" w:name="analyses"/>
    <w:p>
      <w:pPr>
        <w:pStyle w:val="Heading2"/>
      </w:pPr>
      <w:r>
        <w:rPr>
          <w:rStyle w:val="SectionNumber"/>
        </w:rPr>
        <w:t xml:space="preserve">1.1</w:t>
      </w:r>
      <w:r>
        <w:tab/>
      </w:r>
      <w:r>
        <w:t xml:space="preserve">Analyses</w:t>
      </w:r>
    </w:p>
    <w:bookmarkStart w:id="44"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42</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4"/>
    <w:bookmarkStart w:id="45"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43</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5"/>
    <w:bookmarkEnd w:id="46"/>
    <w:bookmarkEnd w:id="47"/>
    <w:bookmarkStart w:id="48"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8"/>
    <w:bookmarkStart w:id="49" w:name="Author"/>
    <w:p>
      <w:pPr>
        <w:pStyle w:val="Heading1"/>
      </w:pPr>
      <w:r>
        <w:t xml:space="preserve">Author Contributions</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00" w:name="References"/>
    <w:p>
      <w:pPr>
        <w:pStyle w:val="Heading1"/>
      </w:pPr>
      <w:r>
        <w:t xml:space="preserve">References</w:t>
      </w:r>
    </w:p>
    <w:bookmarkStart w:id="99"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menzel_growing_1999"/>
    <w:p>
      <w:pPr>
        <w:pStyle w:val="Bibliography"/>
      </w:pPr>
      <w:r>
        <w:t xml:space="preserve">3.</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3"/>
    <w:bookmarkStart w:id="54" w:name="ref-menzel_european_2006"/>
    <w:p>
      <w:pPr>
        <w:pStyle w:val="Bibliography"/>
      </w:pPr>
      <w:r>
        <w:t xml:space="preserve">4.</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4"/>
    <w:bookmarkStart w:id="55" w:name="ref-ibanez_forecasting_2010"/>
    <w:p>
      <w:pPr>
        <w:pStyle w:val="Bibliography"/>
      </w:pPr>
      <w:r>
        <w:t xml:space="preserve">5.</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5"/>
    <w:bookmarkStart w:id="56" w:name="ref-keeling_increased_1996"/>
    <w:p>
      <w:pPr>
        <w:pStyle w:val="Bibliography"/>
      </w:pPr>
      <w:r>
        <w:t xml:space="preserve">6.</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7.</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8.</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9.</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10.</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2"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1">
        <w:r>
          <w:rPr>
            <w:rStyle w:val="Hyperlink"/>
          </w:rPr>
          <w:t xml:space="preserve">10.1088/1748-9326/abed01</w:t>
        </w:r>
      </w:hyperlink>
      <w:r>
        <w:t xml:space="preserve">.</w:t>
      </w:r>
    </w:p>
    <w:bookmarkEnd w:id="62"/>
    <w:bookmarkStart w:id="63"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5"/>
    <w:bookmarkStart w:id="66" w:name="ref-zohner_ongoing_2019"/>
    <w:p>
      <w:pPr>
        <w:pStyle w:val="Bibliography"/>
      </w:pPr>
      <w:r>
        <w:t xml:space="preserve">15.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6"/>
    <w:bookmarkStart w:id="67"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0"/>
    <w:bookmarkStart w:id="71"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1"/>
    <w:bookmarkStart w:id="72" w:name="ref-keenan_timing_2015"/>
    <w:p>
      <w:pPr>
        <w:pStyle w:val="Bibliography"/>
      </w:pPr>
      <w:r>
        <w:t xml:space="preserve">21.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2"/>
    <w:bookmarkStart w:id="73" w:name="ref-vitasse_responses_2009"/>
    <w:p>
      <w:pPr>
        <w:pStyle w:val="Bibliography"/>
      </w:pPr>
      <w:r>
        <w:t xml:space="preserve">22.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3"/>
    <w:bookmarkStart w:id="74" w:name="ref-churkina_spatial_2005"/>
    <w:p>
      <w:pPr>
        <w:pStyle w:val="Bibliography"/>
      </w:pPr>
      <w:r>
        <w:t xml:space="preserve">23.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4"/>
    <w:bookmarkStart w:id="75"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28.</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29.</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33.</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37.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38.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39.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42.</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43.</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1"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6" Target="https://github.com/EcoClimLab/growth_phenology/issues/23" TargetMode="External" /><Relationship Type="http://schemas.openxmlformats.org/officeDocument/2006/relationships/hyperlink" Id="rId30"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2" Target="https://github.com/EcoClimLab/growth_phenology/issues/57" TargetMode="External" /><Relationship Type="http://schemas.openxmlformats.org/officeDocument/2006/relationships/hyperlink" Id="rId27" Target="https://github.com/EcoClimLab/growth_phenology/issues/58"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1"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6" Target="https://github.com/EcoClimLab/growth_phenology/issues/23" TargetMode="External" /><Relationship Type="http://schemas.openxmlformats.org/officeDocument/2006/relationships/hyperlink" Id="rId30"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2" Target="https://github.com/EcoClimLab/growth_phenology/issues/57" TargetMode="External" /><Relationship Type="http://schemas.openxmlformats.org/officeDocument/2006/relationships/hyperlink" Id="rId27" Target="https://github.com/EcoClimLab/growth_phenology/issues/58"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2021-04-30T20:36:12Z</dcterms:created>
  <dcterms:modified xsi:type="dcterms:W3CDTF">2021-04-30T20:36:12Z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