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However, warmer summer and autumn temperatures and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Cs/>
          <w:b/>
          <w:vertAlign w:val="superscript"/>
        </w:rPr>
        <w:t xml:space="preserve">zohner_how_2021?</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5"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DOYs of leaf greenup and mid-greenup (measured at ecosystem level via remote sensing) advanced with increasing</w:t>
      </w:r>
      <w:r>
        <w:t xml:space="preserve"> </w:t>
      </w:r>
      <m:oMath>
        <m:sSub>
          <m:e>
            <m:r>
              <m:t>T</m:t>
            </m:r>
          </m:e>
          <m:sub>
            <m:r>
              <m:t>m</m:t>
            </m:r>
            <m:r>
              <m:t>a</m:t>
            </m:r>
            <m:r>
              <m:t>x</m:t>
            </m:r>
          </m:sub>
        </m:sSub>
      </m:oMath>
      <w:r>
        <w:t xml:space="preserve"> </w:t>
      </w:r>
      <w:r>
        <w:t xml:space="preserve">during the critical temperature window (p=0.001 and 0.139, respectively).</w:t>
      </w:r>
      <w:r>
        <w:t xml:space="preserve"> </w:t>
      </w:r>
      <w:r>
        <w:t xml:space="preserve">Specifically,</w:t>
      </w:r>
      <w:r>
        <w:t xml:space="preserve"> </w:t>
      </w:r>
      <w:hyperlink r:id="rId24">
        <w:r>
          <w:rPr>
            <w:rStyle w:val="Hyperlink"/>
          </w:rPr>
          <w:t xml:space="preserve">greenup DOY occurred 21 days earlier (-4.535 days/</w:t>
        </w:r>
        <m:oMath>
          <m:sSup>
            <m:e>
              <m:r>
                <m:t>​</m:t>
              </m:r>
            </m:e>
            <m:sup>
              <m:r>
                <m:rPr>
                  <m:sty m:val="p"/>
                </m:rPr>
                <m:t>∘</m:t>
              </m:r>
            </m:sup>
          </m:sSup>
        </m:oMath>
        <w:r>
          <w:rPr>
            <w:rStyle w:val="Hyperlink"/>
          </w:rPr>
          <w:t xml:space="preserve">C) at SCBI and 7 days earlier (-2.437 days/</w:t>
        </w:r>
        <w:r>
          <w:rPr>
            <w:rStyle w:val="Hyperlink"/>
          </w:rPr>
          <w:t xml:space="preserve"> </w:t>
        </w:r>
        <m:oMath>
          <m:sSup>
            <m:e>
              <m:r>
                <m:t>​</m:t>
              </m:r>
            </m:e>
            <m:sup>
              <m:r>
                <m:rPr>
                  <m:sty m:val="p"/>
                </m:rPr>
                <m:t>∘</m:t>
              </m:r>
            </m:sup>
          </m:sSup>
        </m:oMath>
        <w:r>
          <w:rPr>
            <w:rStyle w:val="Hyperlink"/>
          </w:rPr>
          <w:t xml:space="preserve">C) at Harvard Forest when comparing the years with the warmest and coldest mean</w:t>
        </w:r>
        <w:r>
          <w:rPr>
            <w:rStyle w:val="Hyperlink"/>
          </w:rPr>
          <w:t xml:space="preserve"> </w:t>
        </w:r>
        <m:oMath>
          <m:sSub>
            <m:e>
              <m:r>
                <m:t>T</m:t>
              </m:r>
            </m:e>
            <m:sub>
              <m:r>
                <m:t>m</m:t>
              </m:r>
              <m:r>
                <m:t>a</m:t>
              </m:r>
              <m:r>
                <m:t>x</m:t>
              </m:r>
            </m:sub>
          </m:sSub>
        </m:oMath>
        <w:r>
          <w:rPr>
            <w:rStyle w:val="Hyperlink"/>
          </w:rPr>
          <w:t xml:space="preserve"> </w:t>
        </w:r>
        <w:r>
          <w:rPr>
            <w:rStyle w:val="Hyperlink"/>
          </w:rPr>
          <w:t xml:space="preserve">during the critical temperature window</w:t>
        </w:r>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 </w:t>
      </w:r>
      <w:r>
        <w:t xml:space="preserve">(SCBI: RP = -1.91 days/</w:t>
      </w:r>
      <w:r>
        <w:t xml:space="preserve"> </w:t>
      </w:r>
      <m:oMath>
        <m:sSup>
          <m:e>
            <m:r>
              <m:t>​</m:t>
            </m:r>
          </m:e>
          <m:sup>
            <m:r>
              <m:rPr>
                <m:sty m:val="p"/>
              </m:rPr>
              <m:t>∘</m:t>
            </m:r>
          </m:sup>
        </m:sSup>
      </m:oMath>
      <w:r>
        <w:t xml:space="preserve">C, DP = -3.47 days/</w:t>
      </w:r>
      <m:oMath>
        <m:sSup>
          <m:e>
            <m:r>
              <m:t>​</m:t>
            </m:r>
          </m:e>
          <m:sup>
            <m:r>
              <m:rPr>
                <m:sty m:val="p"/>
              </m:rPr>
              <m:t>∘</m:t>
            </m:r>
          </m:sup>
        </m:sSup>
      </m:oMath>
      <w:r>
        <w:t xml:space="preserve">C , HF: RP = -2.79 days/</w:t>
      </w:r>
      <m:oMath>
        <m:sSup>
          <m:e>
            <m:r>
              <m:t>​</m:t>
            </m:r>
          </m:e>
          <m:sup>
            <m:r>
              <m:rPr>
                <m:sty m:val="p"/>
              </m:rPr>
              <m:t>∘</m:t>
            </m:r>
          </m:sup>
        </m:sSup>
      </m:oMath>
      <w:r>
        <w:t xml:space="preserve">C, DP = -7.90 days/</w:t>
      </w:r>
      <m:oMath>
        <m:sSup>
          <m:e>
            <m:r>
              <m:t>​</m:t>
            </m:r>
          </m:e>
          <m:sup>
            <m:r>
              <m:rPr>
                <m:sty m:val="p"/>
              </m:rPr>
              <m:t>∘</m:t>
            </m:r>
          </m:sup>
        </m:sSup>
      </m:oMath>
      <w:r>
        <w:t xml:space="preserve">C ),</w:t>
      </w:r>
      <w:r>
        <w:t xml:space="preserve"> </w:t>
      </w:r>
      <m:oMath>
        <m:r>
          <m:t>D</m:t>
        </m:r>
        <m:r>
          <m:t>O</m:t>
        </m:r>
        <m:sSub>
          <m:e>
            <m:r>
              <m:t>Y</m:t>
            </m:r>
          </m:e>
          <m:sub>
            <m:r>
              <m:t>50</m:t>
            </m:r>
          </m:sub>
        </m:sSub>
      </m:oMath>
      <w:r>
        <w:t xml:space="preserve"> </w:t>
      </w:r>
      <w:r>
        <w:t xml:space="preserve">(SCBI: RP = -1.54 days/</w:t>
      </w:r>
      <w:r>
        <w:t xml:space="preserve"> </w:t>
      </w:r>
      <m:oMath>
        <m:sSup>
          <m:e>
            <m:r>
              <m:t>​</m:t>
            </m:r>
          </m:e>
          <m:sup>
            <m:r>
              <m:rPr>
                <m:sty m:val="p"/>
              </m:rPr>
              <m:t>∘</m:t>
            </m:r>
          </m:sup>
        </m:sSup>
      </m:oMath>
      <w:r>
        <w:t xml:space="preserve">C, DP = -3.52 days/</w:t>
      </w:r>
      <m:oMath>
        <m:sSup>
          <m:e>
            <m:r>
              <m:t>​</m:t>
            </m:r>
          </m:e>
          <m:sup>
            <m:r>
              <m:rPr>
                <m:sty m:val="p"/>
              </m:rPr>
              <m:t>∘</m:t>
            </m:r>
          </m:sup>
        </m:sSup>
      </m:oMath>
      <w:r>
        <w:t xml:space="preserve">C, HF: RP = -4.98 days/</w:t>
      </w:r>
      <m:oMath>
        <m:sSup>
          <m:e>
            <m:r>
              <m:t>​</m:t>
            </m:r>
          </m:e>
          <m:sup>
            <m:r>
              <m:rPr>
                <m:sty m:val="p"/>
              </m:rPr>
              <m:t>∘</m:t>
            </m:r>
          </m:sup>
        </m:sSup>
      </m:oMath>
      <w:r>
        <w:t xml:space="preserve">C, DP = -7.27 days/</w:t>
      </w:r>
      <m:oMath>
        <m:sSup>
          <m:e>
            <m:r>
              <m:t>​</m:t>
            </m:r>
          </m:e>
          <m:sup>
            <m:r>
              <m:rPr>
                <m:sty m:val="p"/>
              </m:rPr>
              <m:t>∘</m:t>
            </m:r>
          </m:sup>
        </m:sSup>
      </m:oMath>
      <w:r>
        <w:t xml:space="preserve">C),</w:t>
      </w:r>
      <w:r>
        <w:t xml:space="preserve"> </w:t>
      </w:r>
      <m:oMath>
        <m:r>
          <m:t>D</m:t>
        </m:r>
        <m:r>
          <m:t>O</m:t>
        </m:r>
        <m:sSub>
          <m:e>
            <m:r>
              <m:t>Y</m:t>
            </m:r>
          </m:e>
          <m:sub>
            <m:r>
              <m:t>75</m:t>
            </m:r>
          </m:sub>
        </m:sSub>
      </m:oMath>
      <w:r>
        <w:t xml:space="preserve"> </w:t>
      </w:r>
      <w:r>
        <w:t xml:space="preserve">(SCBI: RP = -1.128 days/</w:t>
      </w:r>
      <m:oMath>
        <m:sSup>
          <m:e>
            <m:r>
              <m:t>​</m:t>
            </m:r>
          </m:e>
          <m:sup>
            <m:r>
              <m:rPr>
                <m:sty m:val="p"/>
              </m:rPr>
              <m:t>∘</m:t>
            </m:r>
          </m:sup>
        </m:sSup>
      </m:oMath>
      <w:r>
        <w:t xml:space="preserve">C, DP = -3.56 days/</w:t>
      </w:r>
      <m:oMath>
        <m:sSup>
          <m:e>
            <m:r>
              <m:t>​</m:t>
            </m:r>
          </m:e>
          <m:sup>
            <m:r>
              <m:rPr>
                <m:sty m:val="p"/>
              </m:rPr>
              <m:t>∘</m:t>
            </m:r>
          </m:sup>
        </m:sSup>
      </m:oMath>
      <w:r>
        <w:t xml:space="preserve">C , HF: RP = -7.17 days/</w:t>
      </w:r>
      <m:oMath>
        <m:sSup>
          <m:e>
            <m:r>
              <m:t>​</m:t>
            </m:r>
          </m:e>
          <m:sup>
            <m:r>
              <m:rPr>
                <m:sty m:val="p"/>
              </m:rPr>
              <m:t>∘</m:t>
            </m:r>
          </m:sup>
        </m:sSup>
      </m:oMath>
      <w:r>
        <w:t xml:space="preserve">C, DP= -6.62 days/</w:t>
      </w:r>
      <m:oMath>
        <m:sSup>
          <m:e>
            <m:r>
              <m:t>​</m:t>
            </m:r>
          </m:e>
          <m:sup>
            <m:r>
              <m:rPr>
                <m:sty m:val="p"/>
              </m:rPr>
              <m:t>∘</m:t>
            </m:r>
          </m:sup>
        </m:sSup>
      </m:oMath>
      <w:r>
        <w:t xml:space="preserve">C), and</w:t>
      </w:r>
      <w:r>
        <w:t xml:space="preserve"> </w:t>
      </w:r>
      <m:oMath>
        <m:r>
          <m:t>D</m:t>
        </m:r>
        <m:r>
          <m:t>O</m:t>
        </m:r>
        <m:sSub>
          <m:e>
            <m:r>
              <m:t>Y</m:t>
            </m:r>
          </m:e>
          <m:sub>
            <m:r>
              <m:t>g</m:t>
            </m:r>
            <m:r>
              <m:rPr>
                <m:sty m:val="p"/>
              </m:rPr>
              <m:t>.</m:t>
            </m:r>
            <m:r>
              <m:t>m</m:t>
            </m:r>
            <m:r>
              <m:t>a</m:t>
            </m:r>
            <m:r>
              <m:t>x</m:t>
            </m:r>
          </m:sub>
        </m:sSub>
      </m:oMath>
      <w:r>
        <w:t xml:space="preserve"> </w:t>
      </w:r>
      <w:r>
        <w:t xml:space="preserve">at both sites all decreased with mean</w:t>
      </w:r>
      <w:r>
        <w:t xml:space="preserve"> </w:t>
      </w:r>
      <m:oMath>
        <m:sSub>
          <m:e>
            <m:r>
              <m:t>T</m:t>
            </m:r>
          </m:e>
          <m:sub>
            <m:r>
              <m:t>m</m:t>
            </m:r>
            <m:r>
              <m:t>a</m:t>
            </m:r>
            <m:r>
              <m:t>x</m:t>
            </m:r>
          </m:sub>
        </m:sSub>
      </m:oMath>
      <w:r>
        <w:t xml:space="preserve"> </w:t>
      </w:r>
      <w:r>
        <w:t xml:space="preserve">during the critical temperature window (</w:t>
      </w:r>
      <w:hyperlink r:id="rId24">
        <w:r>
          <w:rPr>
            <w:rStyle w:val="Hyperlink"/>
          </w:rPr>
          <w:t xml:space="preserve">https://github.com/EcoClimLab/growth_phenology/issues/58</w:t>
        </w:r>
      </w:hyperlink>
      <w:r>
        <w:t xml:space="preserve">) during the critical temperature window (Figs. 1, 2; see also Extended Data Figures Extended Data Figure 4-Extended Data Figure 6).</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bookmarkEnd w:id="25"/>
    <w:bookmarkStart w:id="28"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critical temperature windows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7">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w:t>
      </w:r>
      <w:r>
        <w:t xml:space="preserve"> </w:t>
      </w:r>
      <w:r>
        <w:rPr>
          <w:vertAlign w:val="subscript"/>
        </w:rPr>
        <w:t xml:space="preserve">CTW</w:t>
      </w:r>
      <w:r>
        <w:t xml:space="preserve"> </w:t>
      </w:r>
      <w:r>
        <w:t xml:space="preserve">April</w:t>
      </w:r>
      <w:r>
        <w:t xml:space="preserve"> </w:t>
      </w:r>
      <m:oMath>
        <m:sSub>
          <m:e>
            <m:r>
              <m:t>T</m:t>
            </m:r>
          </m:e>
          <m:sub>
            <m:r>
              <m:t>m</m:t>
            </m:r>
            <m:r>
              <m:t>a</m:t>
            </m:r>
            <m:r>
              <m:t>x</m:t>
            </m:r>
          </m:sub>
        </m:sSub>
      </m:oMath>
      <w:r>
        <w:t xml:space="preserve"> </w:t>
      </w:r>
      <w:r>
        <w:t xml:space="preserve">(</w:t>
      </w:r>
      <w:r>
        <w:rPr>
          <w:bCs/>
          <w:b/>
        </w:rPr>
        <w:t xml:space="preserve">Cam, please confirm this change</w:t>
      </w:r>
      <w:r>
        <w:t xml:space="preserve">).</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8"/>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29">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photosynthesis is</w:t>
      </w:r>
      <w:r>
        <w:rPr>
          <w:bCs/>
          <w:b/>
          <w:vertAlign w:val="superscript"/>
        </w:rPr>
        <w:t xml:space="preserve">muller_water_2011?</w:t>
      </w:r>
      <w:r>
        <w:t xml:space="preserve">. This seems to promote the investment of sequestered carbon into root growth in times of drought stress. Zoehner et al 2021</w:t>
      </w:r>
      <w:r>
        <w:rPr>
          <w:bCs/>
          <w:b/>
          <w:vertAlign w:val="superscript"/>
        </w:rPr>
        <w:t xml:space="preserve">zohner_how_2021?</w:t>
      </w:r>
      <w:r>
        <w:t xml:space="preserve">, found that the proportion of root-to-stem growth increased under spring warming, suggesting that increased ecosystem sequestration resulting from spring warming may be promoting the growth of below-ground biomass. However, this study was done under tightly controlled conditions within potted plants and does not represent the environmental conditions of forests like our study does.</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Cs/>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0"/>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9"/>
    <w:bookmarkEnd w:id="40"/>
    <w:bookmarkStart w:id="43" w:name="analyses"/>
    <w:p>
      <w:pPr>
        <w:pStyle w:val="Heading2"/>
      </w:pPr>
      <w:r>
        <w:rPr>
          <w:rStyle w:val="SectionNumber"/>
        </w:rPr>
        <w:t xml:space="preserve">1.1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0" w:name="References"/>
    <w:p>
      <w:pPr>
        <w:pStyle w:val="Heading1"/>
      </w:pPr>
      <w:r>
        <w:t xml:space="preserve">References</w:t>
      </w:r>
    </w:p>
    <w:bookmarkStart w:id="9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3"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4"/>
    <w:bookmarkStart w:id="65"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9"/>
    <w:bookmarkStart w:id="7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24" Target="https://github.com/EcoClimLab/growth_phenology/issues/58"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24" Target="https://github.com/EcoClimLab/growth_phenology/issues/58"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2021-09-17T14:34:35Z</dcterms:created>
  <dcterms:modified xsi:type="dcterms:W3CDTF">2021-09-17T14:34:35Z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