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~2562 words (1609 intro + results, discussion 953)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bookmarkEnd w:id="21"/>
    <w:bookmarkStart w:id="28"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23</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22</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24,25</w:t>
      </w:r>
      <w:r>
        <w:t xml:space="preserve">,</w:t>
      </w:r>
      <w:r>
        <w:t xml:space="preserve"> </w:t>
      </w:r>
      <w:r>
        <w:t xml:space="preserve"> </w:t>
      </w:r>
      <w:r>
        <w:t xml:space="preserve">with some hints that warmer springs may have a modest positive effect on growth</w:t>
      </w:r>
      <w:r>
        <w:rPr>
          <w:vertAlign w:val="superscript"/>
        </w:rPr>
        <w:t xml:space="preserve">25</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125</w:t>
      </w:r>
      <w:r>
        <w:t xml:space="preserve"> </w:t>
      </w:r>
      <w:r>
        <w:t xml:space="preserve">trees from 2011-2020) and Harvard Forest (Massachusetts, USA; n =</w:t>
      </w:r>
      <w:r>
        <w:t xml:space="preserve"> </w:t>
      </w:r>
      <w:r>
        <w:rPr>
          <w:bCs/>
          <w:b/>
        </w:rPr>
        <w:t xml:space="preserve">340</w:t>
      </w:r>
      <w:r>
        <w:t xml:space="preserve"> </w:t>
      </w:r>
      <w:r>
        <w:t xml:space="preserve">trees from 1998-2003), we fit a growth model</w:t>
      </w:r>
      <w:r>
        <w:rPr>
          <w:vertAlign w:val="superscript"/>
        </w:rPr>
        <w:t xml:space="preserve">26</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23</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23</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25</w:t>
      </w:r>
      <w:r>
        <w:t xml:space="preserve"> </w:t>
      </w:r>
      <w:r>
        <w:t xml:space="preserve">and 4 species at Harvard Forest (Extended Data Table 1), along with an additional 192 chronologies from 106 sites (Fig. 3; Extended Data Figure 1; Extended Data Table 3)</w:t>
      </w:r>
      <w:r>
        <w:rPr>
          <w:vertAlign w:val="superscript"/>
        </w:rPr>
        <w:t xml:space="preserve">24</w:t>
      </w:r>
      <w:r>
        <w:t xml:space="preserve">.</w:t>
      </w:r>
      <w:r>
        <w:t xml:space="preserve"> </w:t>
      </w:r>
      <w:r>
        <w:t xml:space="preserve">In total, our analysis included 208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27"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w:t>
      </w:r>
      <w:r>
        <w:t xml:space="preserve"> </w:t>
      </w:r>
      <w:r>
        <w:t xml:space="preserve">or sink limitation</w:t>
      </w:r>
      <w:r>
        <w:rPr>
          <w:vertAlign w:val="superscript"/>
        </w:rPr>
        <w:t xml:space="preserve">16</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of drought stress</w:t>
      </w:r>
      <w:r>
        <w:rPr>
          <w:vertAlign w:val="superscript"/>
        </w:rPr>
        <w:t xml:space="preserve">24</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29</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We show that this extra C sequestration in years with warm springs does not substantially augment woody growth, raising the question of where it goes.</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30</w:t>
      </w:r>
      <w:r>
        <w:t xml:space="preserve">, resulting in formation of more carbon-dense cell walls in years with warm springs (</w:t>
      </w:r>
      <w:r>
        <w:rPr>
          <w:bCs/>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31,32</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6),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22</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22</w:t>
      </w:r>
      <w:r>
        <w:t xml:space="preserve">, or root exudates.</w:t>
      </w:r>
      <w:r>
        <w:t xml:space="preserve"> </w:t>
      </w:r>
      <w:r>
        <w:t xml:space="preserve">Most of this carbon would have a shorter residence time within the ecosystem than C allocated to woody productivity[</w:t>
      </w:r>
      <w:r>
        <w:rPr>
          <w:bCs/>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31</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33,</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34</w:t>
      </w:r>
      <w:r>
        <w:t xml:space="preserve">, and NEE.</w:t>
      </w:r>
      <w:r>
        <w:rPr>
          <w:vertAlign w:val="superscript"/>
        </w:rPr>
        <w:t xml:space="preserve">21</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16</w:t>
      </w:r>
      <w:r>
        <w:t xml:space="preserve"> </w:t>
      </w:r>
      <w:r>
        <w:t xml:space="preserve">or drought</w:t>
      </w:r>
      <w:r>
        <w:rPr>
          <w:vertAlign w:val="superscript"/>
        </w:rPr>
        <w:t xml:space="preserve">24,25,33</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7"/>
    <w:bookmarkEnd w:id="28"/>
    <w:bookmarkStart w:id="29"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35,36,</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16,37</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1,7,9,10,35,38,</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12,33</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16,35</w:t>
      </w:r>
      <w:r>
        <w:t xml:space="preserve"> </w:t>
      </w:r>
      <w:r>
        <w:t xml:space="preserve">They contrast, however, with model expectations</w:t>
      </w:r>
      <w:r>
        <w:rPr>
          <w:vertAlign w:val="superscript"/>
        </w:rPr>
        <w:t xml:space="preserve">2,3,16</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22</w:t>
      </w:r>
      <w:r>
        <w:t xml:space="preserve">.</w:t>
      </w:r>
    </w:p>
    <w:bookmarkEnd w:id="29"/>
    <w:bookmarkStart w:id="42"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0"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25</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23</w:t>
      </w:r>
      <w:r>
        <w:t xml:space="preserve"> </w:t>
      </w:r>
    </w:p>
    <w:bookmarkEnd w:id="30"/>
    <w:bookmarkStart w:id="38" w:name="Data"/>
    <w:p>
      <w:pPr>
        <w:pStyle w:val="Heading2"/>
      </w:pPr>
      <w:r>
        <w:t xml:space="preserve">Data collection and preparation</w:t>
      </w:r>
    </w:p>
    <w:bookmarkStart w:id="31"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~124</w:t>
      </w:r>
      <w:r>
        <w:t xml:space="preserve"> </w:t>
      </w:r>
      <w:r>
        <w:t xml:space="preserve">(range: 91-138)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26</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26</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1"/>
    <w:bookmarkStart w:id="33"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p>
    <w:p>
      <w:pPr>
        <w:pStyle w:val="BodyText"/>
      </w:pPr>
      <w:r>
        <w:t xml:space="preserve">description here:</w:t>
      </w:r>
      <w:r>
        <w:t xml:space="preserve"> </w:t>
      </w:r>
      <w:hyperlink r:id="rId32">
        <w:r>
          <w:rPr>
            <w:rStyle w:val="Hyperlink"/>
          </w:rPr>
          <w:t xml:space="preserve">https://developers.google.com/earth-engine/datasets/catalog/MODIS_006_MCD12Q2#description</w:t>
        </w:r>
      </w:hyperlink>
    </w:p>
    <w:bookmarkEnd w:id="33"/>
    <w:bookmarkStart w:id="34"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25</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40</w:t>
      </w:r>
      <w:r>
        <w:t xml:space="preserve"> and trees found newly dead in annual tree mortality in 2016 and 2017(</w:t>
      </w:r>
      <w:r>
        <w:rPr>
          <w:vertAlign w:val="superscript"/>
        </w:rPr>
        <w:t xml:space="preserve">25</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960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24,</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41,42</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43</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44</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41</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41</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4"/>
    <w:bookmarkStart w:id="37"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5">
        <w:r>
          <w:rPr>
            <w:rStyle w:val="Hyperlink"/>
          </w:rPr>
          <w:t xml:space="preserve">https://forestgeo.github.io/Climate/</w:t>
        </w:r>
      </w:hyperlink>
      <w:r>
        <w:t xml:space="preserve">;].</w:t>
      </w:r>
      <w:r>
        <w:rPr>
          <w:vertAlign w:val="superscript"/>
        </w:rPr>
        <w:t xml:space="preserve">45</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6">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 — Data came</w:t>
      </w:r>
      <w:r>
        <w:rPr>
          <w:iCs/>
          <w:i/>
        </w:rPr>
        <w:t xml:space="preserve"> </w:t>
      </w:r>
      <w:r>
        <w:rPr>
          <w:iCs/>
          <w:i/>
        </w:rPr>
        <w:t xml:space="preserve">“</w:t>
      </w:r>
      <w:r>
        <w:rPr>
          <w:iCs/>
          <w:i/>
        </w:rPr>
        <w:t xml:space="preserve">pre-cleaned</w:t>
      </w:r>
      <w:r>
        <w:rPr>
          <w:iCs/>
          <w:i/>
        </w:rPr>
        <w:t xml:space="preserve">”</w:t>
      </w:r>
      <w:r>
        <w:rPr>
          <w:iCs/>
          <w:i/>
        </w:rPr>
        <w:t xml:space="preserve"> </w:t>
      </w:r>
      <w:r>
        <w:rPr>
          <w:iCs/>
          <w:i/>
        </w:rPr>
        <w:t xml:space="preserve">as far as I could tell</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46</w:t>
      </w:r>
      <w:r>
        <w:t xml:space="preserve"> again via the ForestGEO Climate Data Portal v1.0.</w:t>
      </w:r>
      <w:r>
        <w:rPr>
          <w:vertAlign w:val="superscript"/>
        </w:rPr>
        <w:t xml:space="preserve">45</w:t>
      </w:r>
    </w:p>
    <w:bookmarkEnd w:id="37"/>
    <w:bookmarkEnd w:id="38"/>
    <w:bookmarkStart w:id="41" w:name="analyses"/>
    <w:p>
      <w:pPr>
        <w:pStyle w:val="Heading2"/>
      </w:pPr>
      <w:r>
        <w:rPr>
          <w:rStyle w:val="SectionNumber"/>
        </w:rPr>
        <w:t xml:space="preserve">3.1</w:t>
      </w:r>
      <w:r>
        <w:tab/>
      </w:r>
      <w:r>
        <w:t xml:space="preserve">Analyses</w:t>
      </w:r>
    </w:p>
    <w:bookmarkStart w:id="39"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47</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25</w:t>
      </w:r>
      <w:r>
        <w:t xml:space="preserve"> Determining the climate variables that most strongly control all parameters is beyond the scope of this analysis.</w:t>
      </w:r>
    </w:p>
    <w:bookmarkEnd w:id="39"/>
    <w:bookmarkStart w:id="40"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48</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0"/>
    <w:bookmarkEnd w:id="41"/>
    <w:bookmarkEnd w:id="42"/>
    <w:bookmarkStart w:id="43"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3"/>
    <w:bookmarkStart w:id="44" w:name="Author"/>
    <w:p>
      <w:pPr>
        <w:pStyle w:val="Heading1"/>
      </w:pPr>
      <w:r>
        <w:t xml:space="preserve">Author Contributions</w:t>
      </w:r>
    </w:p>
    <w:bookmarkEnd w:id="44"/>
    <w:bookmarkStart w:id="45"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5"/>
    <w:bookmarkStart w:id="100" w:name="References"/>
    <w:p>
      <w:pPr>
        <w:pStyle w:val="Heading1"/>
      </w:pPr>
      <w:r>
        <w:t xml:space="preserve">References</w:t>
      </w:r>
    </w:p>
    <w:bookmarkStart w:id="99" w:name="refs"/>
    <w:bookmarkStart w:id="46"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6"/>
    <w:bookmarkStart w:id="47"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7"/>
    <w:bookmarkStart w:id="48"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48"/>
    <w:bookmarkStart w:id="49"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49"/>
    <w:bookmarkStart w:id="50" w:name="ref-menzel_growing_1999"/>
    <w:p>
      <w:pPr>
        <w:pStyle w:val="Bibliography"/>
      </w:pPr>
      <w:r>
        <w:t xml:space="preserve">5.</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0"/>
    <w:bookmarkStart w:id="51" w:name="ref-menzel_european_2006"/>
    <w:p>
      <w:pPr>
        <w:pStyle w:val="Bibliography"/>
      </w:pPr>
      <w:r>
        <w:t xml:space="preserve">6.</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1"/>
    <w:bookmarkStart w:id="52" w:name="ref-ibanez_forecasting_2010"/>
    <w:p>
      <w:pPr>
        <w:pStyle w:val="Bibliography"/>
      </w:pPr>
      <w:r>
        <w:t xml:space="preserve">7.</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2"/>
    <w:bookmarkStart w:id="53"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3"/>
    <w:bookmarkStart w:id="54"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4"/>
    <w:bookmarkStart w:id="55"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5"/>
    <w:bookmarkStart w:id="56"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6"/>
    <w:bookmarkStart w:id="57"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7"/>
    <w:bookmarkStart w:id="58"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8"/>
    <w:bookmarkStart w:id="59"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9"/>
    <w:bookmarkStart w:id="60"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0"/>
    <w:bookmarkStart w:id="61" w:name="ref-zani_increased_2020"/>
    <w:p>
      <w:pPr>
        <w:pStyle w:val="Bibliography"/>
      </w:pPr>
      <w:r>
        <w:t xml:space="preserve">16.</w:t>
      </w:r>
      <w:r>
        <w:t xml:space="preserve"> </w:t>
      </w:r>
      <w:r>
        <w:t xml:space="preserve">	</w:t>
      </w:r>
      <w:r>
        <w:t xml:space="preserve">Zani, D., Crowther, T. W., Mo, L., Renner, S. S. &amp; Zohner, C. M. Increased growing-season productivity drives earlier autumn leaf senescence in temperate trees. 7 (2020).</w:t>
      </w:r>
    </w:p>
    <w:bookmarkEnd w:id="61"/>
    <w:bookmarkStart w:id="62" w:name="ref-pan_large_2011"/>
    <w:p>
      <w:pPr>
        <w:pStyle w:val="Bibliography"/>
      </w:pPr>
      <w:r>
        <w:t xml:space="preserve">17.</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2"/>
    <w:bookmarkStart w:id="63" w:name="ref-pugh_role_2019"/>
    <w:p>
      <w:pPr>
        <w:pStyle w:val="Bibliography"/>
      </w:pPr>
      <w:r>
        <w:t xml:space="preserve">18.</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3"/>
    <w:bookmarkStart w:id="64" w:name="ref-arora_carbon_2020"/>
    <w:p>
      <w:pPr>
        <w:pStyle w:val="Bibliography"/>
      </w:pPr>
      <w:r>
        <w:t xml:space="preserve">19.</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4"/>
    <w:bookmarkStart w:id="6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5"/>
    <w:bookmarkStart w:id="66" w:name="ref-churkina_spatial_2005"/>
    <w:p>
      <w:pPr>
        <w:pStyle w:val="Bibliography"/>
      </w:pPr>
      <w:r>
        <w:t xml:space="preserve">21.</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6"/>
    <w:bookmarkStart w:id="67" w:name="ref-zohner_how_2021"/>
    <w:p>
      <w:pPr>
        <w:pStyle w:val="Bibliography"/>
      </w:pPr>
      <w:r>
        <w:t xml:space="preserve">22.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7"/>
    <w:bookmarkStart w:id="69" w:name="ref-dorangeville_peak_2021"/>
    <w:p>
      <w:pPr>
        <w:pStyle w:val="Bibliography"/>
      </w:pPr>
      <w:r>
        <w:t xml:space="preserve">23.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8">
        <w:r>
          <w:rPr>
            <w:rStyle w:val="Hyperlink"/>
          </w:rPr>
          <w:t xml:space="preserve">10.1093/treephys/tpab101</w:t>
        </w:r>
      </w:hyperlink>
      <w:r>
        <w:t xml:space="preserve">.</w:t>
      </w:r>
    </w:p>
    <w:bookmarkEnd w:id="69"/>
    <w:bookmarkStart w:id="70" w:name="ref-dorangeville_drought_2018"/>
    <w:p>
      <w:pPr>
        <w:pStyle w:val="Bibliography"/>
      </w:pPr>
      <w:r>
        <w:t xml:space="preserve">24.</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0"/>
    <w:bookmarkStart w:id="71" w:name="ref-helcoski_growing_2019"/>
    <w:p>
      <w:pPr>
        <w:pStyle w:val="Bibliography"/>
      </w:pPr>
      <w:r>
        <w:t xml:space="preserve">25.</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1"/>
    <w:bookmarkStart w:id="72" w:name="ref-mcmahon_general_2015"/>
    <w:p>
      <w:pPr>
        <w:pStyle w:val="Bibliography"/>
      </w:pPr>
      <w:r>
        <w:t xml:space="preserve">26.</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2"/>
    <w:bookmarkStart w:id="73" w:name="ref-parmesan_globally_2003"/>
    <w:p>
      <w:pPr>
        <w:pStyle w:val="Bibliography"/>
      </w:pPr>
      <w:r>
        <w:t xml:space="preserve">27.</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3"/>
    <w:bookmarkStart w:id="74" w:name="ref-friedl_tale_2014"/>
    <w:p>
      <w:pPr>
        <w:pStyle w:val="Bibliography"/>
      </w:pPr>
      <w:r>
        <w:t xml:space="preserve">28.</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4"/>
    <w:bookmarkStart w:id="75" w:name="ref-vicente-serrano_multiscalar_2010"/>
    <w:p>
      <w:pPr>
        <w:pStyle w:val="Bibliography"/>
      </w:pPr>
      <w:r>
        <w:t xml:space="preserve">29.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75"/>
    <w:bookmarkStart w:id="76" w:name="ref-cuny_woody_2015"/>
    <w:p>
      <w:pPr>
        <w:pStyle w:val="Bibliography"/>
      </w:pPr>
      <w:r>
        <w:t xml:space="preserve">30.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6"/>
    <w:bookmarkStart w:id="77" w:name="ref-trumbore_quantifying_2002"/>
    <w:p>
      <w:pPr>
        <w:pStyle w:val="Bibliography"/>
      </w:pPr>
      <w:r>
        <w:t xml:space="preserve">31.</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7"/>
    <w:bookmarkStart w:id="78" w:name="ref-richardson_seasonal_2013"/>
    <w:p>
      <w:pPr>
        <w:pStyle w:val="Bibliography"/>
      </w:pPr>
      <w:r>
        <w:t xml:space="preserve">32.</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8"/>
    <w:bookmarkStart w:id="79" w:name="ref-zhang_drought_2021"/>
    <w:p>
      <w:pPr>
        <w:pStyle w:val="Bibliography"/>
      </w:pPr>
      <w:r>
        <w:t xml:space="preserve">33.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9"/>
    <w:bookmarkStart w:id="81" w:name="ref-banburymorgan_global_2021"/>
    <w:p>
      <w:pPr>
        <w:pStyle w:val="Bibliography"/>
      </w:pPr>
      <w:r>
        <w:t xml:space="preserve">34.</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0">
        <w:r>
          <w:rPr>
            <w:rStyle w:val="Hyperlink"/>
          </w:rPr>
          <w:t xml:space="preserve">10.1111/gcb.15574</w:t>
        </w:r>
      </w:hyperlink>
      <w:r>
        <w:t xml:space="preserve">.</w:t>
      </w:r>
    </w:p>
    <w:bookmarkEnd w:id="81"/>
    <w:bookmarkStart w:id="82" w:name="ref-zohner_ongoing_2019"/>
    <w:p>
      <w:pPr>
        <w:pStyle w:val="Bibliography"/>
      </w:pPr>
      <w:r>
        <w:t xml:space="preserve">35.</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2"/>
    <w:bookmarkStart w:id="83" w:name="ref-keenan_timing_2015"/>
    <w:p>
      <w:pPr>
        <w:pStyle w:val="Bibliography"/>
      </w:pPr>
      <w:r>
        <w:t xml:space="preserve">36.</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3"/>
    <w:bookmarkStart w:id="84" w:name="ref-lempereur_growth_2015"/>
    <w:p>
      <w:pPr>
        <w:pStyle w:val="Bibliography"/>
      </w:pPr>
      <w:r>
        <w:t xml:space="preserve">37.</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4"/>
    <w:bookmarkStart w:id="85" w:name="ref-vitasse_responses_2009"/>
    <w:p>
      <w:pPr>
        <w:pStyle w:val="Bibliography"/>
      </w:pPr>
      <w:r>
        <w:t xml:space="preserve">38.</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85"/>
    <w:bookmarkStart w:id="87" w:name="ref-friedl_mcd12q2_2019"/>
    <w:p>
      <w:pPr>
        <w:pStyle w:val="Bibliography"/>
      </w:pPr>
      <w:r>
        <w:t xml:space="preserve">39.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40.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41.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42.</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43.</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44.</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46.</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48.</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2"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8" Target="https://doi.org/10.1093/treephys/tpab101" TargetMode="External" /><Relationship Type="http://schemas.openxmlformats.org/officeDocument/2006/relationships/hyperlink" Id="rId80"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8" Target="https://doi.org/10.1093/treephys/tpab101" TargetMode="External" /><Relationship Type="http://schemas.openxmlformats.org/officeDocument/2006/relationships/hyperlink" Id="rId80"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5" Target="https://forestgeo.github.io/Climate/" TargetMode="External" /><Relationship Type="http://schemas.openxmlformats.org/officeDocument/2006/relationships/hyperlink" Id="rId36"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2021-10-15T20:11:06Z</dcterms:created>
  <dcterms:modified xsi:type="dcterms:W3CDTF">2021-10-15T20:11:06Z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