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1,2</w:t>
      </w:r>
      <w:r>
        <w:t xml:space="preserve"> </w:t>
      </w:r>
      <w:r>
        <w:t xml:space="preserve">( Orcid ID : 0000-0002-8365-598X)</w:t>
      </w:r>
    </w:p>
    <w:p>
      <w:pPr>
        <w:pStyle w:val="BodyText"/>
      </w:pPr>
      <w:r>
        <w:t xml:space="preserve">Albert Y. Kim</w:t>
      </w:r>
      <w:r>
        <w:rPr>
          <w:vertAlign w:val="superscript"/>
        </w:rPr>
        <w:t xml:space="preserve">1,3</w:t>
      </w:r>
      <w:r>
        <w:t xml:space="preserve"> </w:t>
      </w:r>
      <w:r>
        <w:t xml:space="preserve">( Orcid ID : 0000-0001-7824-306X)</w:t>
      </w:r>
    </w:p>
    <w:p>
      <w:pPr>
        <w:pStyle w:val="BodyText"/>
      </w:pPr>
      <w:r>
        <w:t xml:space="preserve">Loïc D’Orangeville</w:t>
      </w:r>
      <w:r>
        <w:rPr>
          <w:vertAlign w:val="superscript"/>
        </w:rPr>
        <w:t xml:space="preserve">4,5</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6</w:t>
      </w:r>
      <w:r>
        <w:t xml:space="preserve"> </w:t>
      </w:r>
      <w:r>
        <w:t xml:space="preserve">( Orcid ID : 0000-0003-1557-8465)</w:t>
      </w:r>
    </w:p>
    <w:p>
      <w:pPr>
        <w:pStyle w:val="BodyText"/>
      </w:pPr>
      <w:r>
        <w:t xml:space="preserve">Justin T. Maxwell</w:t>
      </w:r>
      <w:r>
        <w:rPr>
          <w:vertAlign w:val="superscript"/>
        </w:rPr>
        <w:t xml:space="preserve">7</w:t>
      </w:r>
      <w:r>
        <w:t xml:space="preserve"> </w:t>
      </w:r>
      <w:r>
        <w:t xml:space="preserve">(Orcid ID: 0000-0001-9195-3146)</w:t>
      </w:r>
    </w:p>
    <w:p>
      <w:pPr>
        <w:pStyle w:val="BodyText"/>
      </w:pPr>
      <w:r>
        <w:t xml:space="preserve">Ian R. McGregor</w:t>
      </w:r>
      <w:r>
        <w:rPr>
          <w:vertAlign w:val="superscript"/>
        </w:rPr>
        <w:t xml:space="preserve">1,8</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9,11</w:t>
      </w:r>
      <w:r>
        <w:t xml:space="preserve"> </w:t>
      </w:r>
      <w:r>
        <w:t xml:space="preserve">(Orcid ID : 0000-0001-8302-6908)</w:t>
      </w:r>
    </w:p>
    <w:p>
      <w:pPr>
        <w:pStyle w:val="BodyText"/>
      </w:pPr>
      <w:r>
        <w:t xml:space="preserve">Neil Pederson</w:t>
      </w:r>
      <w:r>
        <w:rPr>
          <w:vertAlign w:val="superscript"/>
        </w:rPr>
        <w:t xml:space="preserve">4</w:t>
      </w:r>
      <w:r>
        <w:t xml:space="preserve"> </w:t>
      </w:r>
      <w:r>
        <w:t xml:space="preserve">(Orcid ID : 0000-0003-3830-263X)</w:t>
      </w:r>
    </w:p>
    <w:p>
      <w:pPr>
        <w:pStyle w:val="BodyText"/>
      </w:pPr>
      <w:r>
        <w:t xml:space="preserve">Alan J. Tepley</w:t>
      </w:r>
      <w:r>
        <w:rPr>
          <w:vertAlign w:val="superscript"/>
        </w:rPr>
        <w:t xml:space="preserve">1,10</w:t>
      </w:r>
      <w:r>
        <w:t xml:space="preserve"> </w:t>
      </w:r>
      <w:r>
        <w:t xml:space="preserve">( Orcid ID : 0000-0002-5701-9613)</w:t>
      </w:r>
    </w:p>
    <w:p>
      <w:pPr>
        <w:pStyle w:val="BodyText"/>
      </w:pPr>
      <w:r>
        <w:t xml:space="preserve">Kristina J. Anderson-Teixeira</w:t>
      </w:r>
      <w:r>
        <w:rPr>
          <w:vertAlign w:val="superscript"/>
        </w:rPr>
        <w:t xml:space="preserve">1,11</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Department of Forestry and Natural Resources, Purdue University, West Lafayette, Indiana,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Earth and Spatial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7,</w:t>
      </w:r>
      <w:r>
        <w:rPr>
          <w:vertAlign w:val="superscript"/>
          <w:bCs/>
          <w:b/>
        </w:rPr>
        <w:t xml:space="preserve"> </w:t>
      </w:r>
      <w:r>
        <w:rPr>
          <w:vertAlign w:val="superscript"/>
          <w:bCs/>
          <w:b/>
        </w:rPr>
        <w:t xml:space="preserve">1,4,5</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2,4,8–12</w:t>
      </w:r>
      <w:r>
        <w:rPr>
          <w:bCs/>
          <w:b/>
        </w:rPr>
        <w:t xml:space="preserve">.</w:t>
      </w:r>
      <w:r>
        <w:t xml:space="preserve"> </w:t>
      </w:r>
      <w:r>
        <w:rPr>
          <w:bCs/>
          <w:b/>
        </w:rPr>
        <w:t xml:space="preserve">However, less is known about how spring temperatures affect tree stem growth</w:t>
      </w:r>
      <w:r>
        <w:rPr>
          <w:vertAlign w:val="superscript"/>
          <w:bCs/>
          <w:b/>
        </w:rPr>
        <w:t xml:space="preserve">13,14</w:t>
      </w:r>
      <w:r>
        <w:rPr>
          <w:bCs/>
          <w:b/>
        </w:rPr>
        <w:t xml:space="preserve">, which sequesters carbon (C)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440 trees across two forests, we show that warmer spring temperatures shifted the peak stem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any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8–10</w:t>
      </w:r>
      <w:r>
        <w:rPr>
          <w:bCs/>
          <w:b/>
        </w:rPr>
        <w:t xml:space="preserve"> </w:t>
      </w:r>
      <w:r>
        <w:rPr>
          <w:bCs/>
          <w:b/>
        </w:rPr>
        <w:t xml:space="preserve">does not significantly contribute to increased sequestration in long-lived woody stem biomass.</w:t>
      </w:r>
      <w:r>
        <w:t xml:space="preserve"> </w:t>
      </w:r>
      <w:r>
        <w:rPr>
          <w:bCs/>
          <w:b/>
        </w:rPr>
        <w:t xml:space="preserve">Rather, contradicting current projections from global C cycle models</w:t>
      </w:r>
      <w:r>
        <w:rPr>
          <w:vertAlign w:val="superscript"/>
          <w:bCs/>
          <w:b/>
        </w:rPr>
        <w:t xml:space="preserve">2,3,17,18</w:t>
      </w:r>
      <w:r>
        <w:rPr>
          <w:bCs/>
          <w:b/>
        </w:rPr>
        <w:t xml:space="preserve">, our empirical results imply that warming spring temperatures are unlikely to increase woody productivity enough to strengthen the long-term CO</w:t>
      </w:r>
      <w:r>
        <w:rPr>
          <w:vertAlign w:val="subscript"/>
          <w:bCs/>
          <w:b/>
        </w:rPr>
        <w:t xml:space="preserve">2</w:t>
      </w:r>
      <w:r>
        <w:rPr>
          <w:bCs/>
          <w:b/>
        </w:rPr>
        <w:t xml:space="preserve"> </w:t>
      </w:r>
      <w:r>
        <w:rPr>
          <w:bCs/>
          <w:b/>
        </w:rPr>
        <w:t xml:space="preserve">sink of temperate deciduous forests.</w:t>
      </w:r>
    </w:p>
    <w:p>
      <w:pPr>
        <w:pStyle w:val="BodyText"/>
      </w:pPr>
      <w:r>
        <w:t xml:space="preserve">In recent decades, tree growth in Earth’s forests has more than offset losses from deforestation and other disturbances, such that a net forest CO</w:t>
      </w:r>
      <w:r>
        <w:rPr>
          <w:vertAlign w:val="subscript"/>
        </w:rPr>
        <w:t xml:space="preserve">2</w:t>
      </w:r>
      <w:r>
        <w:t xml:space="preserve"> </w:t>
      </w:r>
      <w:r>
        <w:t xml:space="preserve">sink of ~1.6 Gt C yr</w:t>
      </w:r>
      <w:r>
        <w:rPr>
          <w:vertAlign w:val="superscript"/>
        </w:rPr>
        <w:t xml:space="preserve">-1</w:t>
      </w:r>
      <w:r>
        <w:t xml:space="preserve"> </w:t>
      </w:r>
      <w:r>
        <w:t xml:space="preserve">offsets ~20%</w:t>
      </w:r>
      <w:r>
        <w:t xml:space="preserve"> </w:t>
      </w:r>
      <w:r>
        <w:t xml:space="preserve">of anthropogenic emissions</w:t>
      </w:r>
      <w:r>
        <w:rPr>
          <w:vertAlign w:val="superscript"/>
        </w:rPr>
        <w:t xml:space="preserve">19</w:t>
      </w:r>
      <w:r>
        <w:t xml:space="preserve">, dramatically slowing the pace of atmospheric CO</w:t>
      </w:r>
      <w:r>
        <w:rPr>
          <w:vertAlign w:val="subscript"/>
        </w:rPr>
        <w:t xml:space="preserve">2</w:t>
      </w:r>
      <w:r>
        <w:t xml:space="preserve"> </w:t>
      </w:r>
      <w:r>
        <w:t xml:space="preserve">accumulation and climate change.</w:t>
      </w:r>
      <w:r>
        <w:t xml:space="preserve"> </w:t>
      </w:r>
      <w:r>
        <w:t xml:space="preserve"> </w:t>
      </w:r>
      <w:r>
        <w:t xml:space="preserve">Of this important C sink, ~ 47%</w:t>
      </w:r>
      <w:r>
        <w:t xml:space="preserve"> </w:t>
      </w:r>
      <w:r>
        <w:t xml:space="preserve">occurs in temperate forests</w:t>
      </w:r>
      <w:r>
        <w:rPr>
          <w:vertAlign w:val="superscript"/>
        </w:rPr>
        <w:t xml:space="preserve">19</w:t>
      </w:r>
      <w:r>
        <w:t xml:space="preserve">,</w:t>
      </w:r>
      <w:r>
        <w:t xml:space="preserve"> </w:t>
      </w:r>
      <w:r>
        <w:t xml:space="preserve"> </w:t>
      </w:r>
      <w:r>
        <w:t xml:space="preserve">with temperate deciduous forests sequestering &gt;0.3 Gt C yr</w:t>
      </w:r>
      <w:r>
        <w:rPr>
          <w:vertAlign w:val="superscript"/>
        </w:rPr>
        <w:t xml:space="preserve">-1</w:t>
      </w:r>
      <w:r>
        <w:t xml:space="preserve">.</w:t>
      </w:r>
      <w:r>
        <w:rPr>
          <w:vertAlign w:val="superscript"/>
        </w:rPr>
        <w:t xml:space="preserve">20</w:t>
      </w:r>
      <w:r>
        <w:t xml:space="preserve"> </w:t>
      </w:r>
      <w:r>
        <w:t xml:space="preserve"> </w:t>
      </w:r>
      <w:r>
        <w:t xml:space="preserve">The future behavior of this C 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21–23</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w:t>
      </w:r>
      <w:r>
        <w:rPr>
          <w:vertAlign w:val="superscript"/>
        </w:rPr>
        <w:t xml:space="preserve"> </w:t>
      </w:r>
      <w:r>
        <w:rPr>
          <w:vertAlign w:val="superscript"/>
        </w:rPr>
        <w:t xml:space="preserve">7,</w:t>
      </w:r>
      <w:r>
        <w:rPr>
          <w:vertAlign w:val="superscript"/>
        </w:rPr>
        <w:t xml:space="preserve"> </w:t>
      </w:r>
      <w:r>
        <w:rPr>
          <w:vertAlign w:val="superscript"/>
        </w:rPr>
        <w:t xml:space="preserve">24</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2,24</w:t>
      </w:r>
      <w:r>
        <w:t xml:space="preserve">.</w:t>
      </w:r>
      <w:r>
        <w:t xml:space="preserve"> </w:t>
      </w:r>
      <w:r>
        <w:t xml:space="preserve">Based on these observations, current terrestrial ecosystem models effectively assume that longer growing seasons lead to sustained increases in annual net CO</w:t>
      </w:r>
      <w:r>
        <w:rPr>
          <w:vertAlign w:val="subscript"/>
        </w:rPr>
        <w:t xml:space="preserve">2</w:t>
      </w:r>
      <w:r>
        <w:t xml:space="preserve"> </w:t>
      </w:r>
      <w:r>
        <w:t xml:space="preserve">uptake (i.e., net ecosystem exchange, NEE)</w:t>
      </w:r>
      <w:r>
        <w:rPr>
          <w:vertAlign w:val="superscript"/>
        </w:rPr>
        <w:t xml:space="preserve">2,3,17,18</w:t>
      </w:r>
      <w:r>
        <w:t xml:space="preserve">, as occurs when additional C is allocated to woody growth and therefore resides in the ecosystem for decades to centuries</w:t>
      </w:r>
      <w:r>
        <w:rPr>
          <w:vertAlign w:val="superscript"/>
        </w:rPr>
        <w:t xml:space="preserve">15,16</w:t>
      </w:r>
      <w:r>
        <w:t xml:space="preserve">.</w:t>
      </w:r>
      <w:r>
        <w:t xml:space="preserve"> </w:t>
      </w:r>
      <w:r>
        <w:t xml:space="preserve">However, model representation of C allocation to stem growth is overly simplistic and does not capture known decoupling of stem growth from photosynthate production</w:t>
      </w:r>
      <w:r>
        <w:rPr>
          <w:vertAlign w:val="superscript"/>
        </w:rPr>
        <w:t xml:space="preserve">14,23,25</w:t>
      </w:r>
      <w:r>
        <w:t xml:space="preserve">.</w:t>
      </w:r>
      <w:r>
        <w:t xml:space="preserve"> </w:t>
      </w:r>
      <w:r>
        <w:t xml:space="preserve">As a result, the consequences of rising spring temperatures on stem growth – or woody aboveground net primary productivity (</w:t>
      </w:r>
      <m:oMath>
        <m:r>
          <m:t>A</m:t>
        </m:r>
        <m:r>
          <m:t>N</m:t>
        </m:r>
        <m:r>
          <m:t>P</m:t>
        </m:r>
        <m:sSub>
          <m:e>
            <m:r>
              <m:t>P</m:t>
            </m:r>
          </m:e>
          <m:sub>
            <m:r>
              <m:t>w</m:t>
            </m:r>
            <m:r>
              <m:t>o</m:t>
            </m:r>
            <m:r>
              <m:t>o</m:t>
            </m:r>
            <m:r>
              <m:t>d</m:t>
            </m:r>
            <m:r>
              <m:t>y</m:t>
            </m:r>
          </m:sub>
        </m:sSub>
      </m:oMath>
      <w:r>
        <w:t xml:space="preserve">) on the ecosystem level – may not be accurately represented in models</w:t>
      </w:r>
      <w:r>
        <w:rPr>
          <w:vertAlign w:val="superscript"/>
        </w:rPr>
        <w:t xml:space="preserve">14,23</w:t>
      </w:r>
      <w:r>
        <w:t xml:space="preserve">.</w:t>
      </w:r>
      <w:r>
        <w:t xml:space="preserve"> </w:t>
      </w:r>
      <w:r>
        <w:t xml:space="preserve">Understanding the sensitivity of</w:t>
      </w:r>
      <w:r>
        <w:t xml:space="preserve"> </w:t>
      </w:r>
      <m:oMath>
        <m:r>
          <m:t>A</m:t>
        </m:r>
        <m:r>
          <m:t>N</m:t>
        </m:r>
        <m:r>
          <m:t>P</m:t>
        </m:r>
        <m:sSub>
          <m:e>
            <m:r>
              <m:t>P</m:t>
            </m:r>
          </m:e>
          <m:sub>
            <m:r>
              <m:t>w</m:t>
            </m:r>
            <m:r>
              <m:t>o</m:t>
            </m:r>
            <m:r>
              <m:t>o</m:t>
            </m:r>
            <m:r>
              <m:t>d</m:t>
            </m:r>
            <m:r>
              <m:t>y</m:t>
            </m:r>
          </m:sub>
        </m:sSub>
      </m:oMath>
      <w:r>
        <w:t xml:space="preserve"> </w:t>
      </w:r>
      <w:r>
        <w:t xml:space="preserve">to spring temperatures is central to predicting the future of the temperate deciduous forest C sink.</w:t>
      </w:r>
    </w:p>
    <w:p>
      <w:pPr>
        <w:pStyle w:val="BodyText"/>
      </w:pPr>
      <w:r>
        <w:t xml:space="preserve">Most studies on tree growth responses to warmer spring temperatures have focused on boreal or temperate conifers, which tend to respond to warmer spring temperatures with an earlier start to growth</w:t>
      </w:r>
      <w:r>
        <w:rPr>
          <w:vertAlign w:val="superscript"/>
        </w:rPr>
        <w:t xml:space="preserve">26,</w:t>
      </w:r>
      <w:r>
        <w:rPr>
          <w:vertAlign w:val="superscript"/>
        </w:rPr>
        <w:t xml:space="preserve"> </w:t>
      </w:r>
      <w:r>
        <w:rPr>
          <w:vertAlign w:val="superscript"/>
        </w:rPr>
        <w:t xml:space="preserve">27</w:t>
      </w:r>
      <w:r>
        <w:t xml:space="preserve"> </w:t>
      </w:r>
      <w:r>
        <w:t xml:space="preserve">and increased annual growth in mesic climates</w:t>
      </w:r>
      <w:r>
        <w:rPr>
          <w:vertAlign w:val="superscript"/>
        </w:rPr>
        <w:t xml:space="preserve">28–31</w:t>
      </w:r>
      <w:r>
        <w:t xml:space="preserve">.</w:t>
      </w:r>
      <w:r>
        <w:t xml:space="preserve"> </w:t>
      </w:r>
      <w:r>
        <w:t xml:space="preserve"> </w:t>
      </w:r>
      <w:r>
        <w:t xml:space="preserve">In contrast, we have little evidence as to how stem growth and</w:t>
      </w:r>
      <w:r>
        <w:t xml:space="preserve"> </w:t>
      </w:r>
      <m:oMath>
        <m:r>
          <m:t>A</m:t>
        </m:r>
        <m:r>
          <m:t>N</m:t>
        </m:r>
        <m:r>
          <m:t>P</m:t>
        </m:r>
        <m:sSub>
          <m:e>
            <m:r>
              <m:t>P</m:t>
            </m:r>
          </m:e>
          <m:sub>
            <m:r>
              <m:t>w</m:t>
            </m:r>
            <m:r>
              <m:t>o</m:t>
            </m:r>
            <m:r>
              <m:t>o</m:t>
            </m:r>
            <m:r>
              <m:t>d</m:t>
            </m:r>
            <m:r>
              <m:t>y</m:t>
            </m:r>
          </m:sub>
        </m:sSub>
      </m:oMath>
      <w:r>
        <w:t xml:space="preserve"> </w:t>
      </w:r>
      <w:r>
        <w:t xml:space="preserve">respond to warmer spring temperatures in deciduous forests</w:t>
      </w:r>
      <w:r>
        <w:rPr>
          <w:vertAlign w:val="superscript"/>
        </w:rPr>
        <w:t xml:space="preserve">13,14</w:t>
      </w:r>
      <w:r>
        <w:t xml:space="preserve">.</w:t>
      </w:r>
      <w:r>
        <w:t xml:space="preserve"> </w:t>
      </w:r>
      <w:r>
        <w:t xml:space="preserve">Close coordination of budburst and initiation of xylogenesis</w:t>
      </w:r>
      <w:r>
        <w:rPr>
          <w:vertAlign w:val="superscript"/>
        </w:rPr>
        <w:t xml:space="preserve">14</w:t>
      </w:r>
      <w:r>
        <w:t xml:space="preserve"> </w:t>
      </w:r>
      <w:r>
        <w:t xml:space="preserve">suggests that warm springs should shift the onset of growth earlier alongside observed advances in leaf phenology</w:t>
      </w:r>
      <w:r>
        <w:rPr>
          <w:vertAlign w:val="superscript"/>
        </w:rPr>
        <w:t xml:space="preserve">1–6</w:t>
      </w:r>
      <w:r>
        <w:t xml:space="preserve">.</w:t>
      </w:r>
      <w:r>
        <w:t xml:space="preserve"> </w:t>
      </w:r>
      <w:r>
        <w:t xml:space="preserve">However, earlier initiation of growth would not necessarily translate to earlier, faster, or greater stem growth; rather, stem growth is dependent upon environmental conditions on hourly to daily time scales</w:t>
      </w:r>
      <w:r>
        <w:rPr>
          <w:vertAlign w:val="superscript"/>
        </w:rPr>
        <w:t xml:space="preserve">32,33</w:t>
      </w:r>
      <w:r>
        <w:t xml:space="preserve">, and annual growth is more closely linked to conditions within the growing season than to growing season length</w:t>
      </w:r>
      <w:r>
        <w:rPr>
          <w:vertAlign w:val="superscript"/>
        </w:rPr>
        <w:t xml:space="preserve">34</w:t>
      </w:r>
      <w:r>
        <w:t xml:space="preserve">, gross primary productivity (GPP)</w:t>
      </w:r>
      <w:r>
        <w:rPr>
          <w:vertAlign w:val="superscript"/>
        </w:rPr>
        <w:t xml:space="preserve">25</w:t>
      </w:r>
      <w:r>
        <w:t xml:space="preserve">, or NEE</w:t>
      </w:r>
      <w:r>
        <w:rPr>
          <w:vertAlign w:val="superscript"/>
        </w:rPr>
        <w:t xml:space="preserve">25</w:t>
      </w:r>
      <w:r>
        <w:t xml:space="preserve">.</w:t>
      </w:r>
      <w:r>
        <w:t xml:space="preserve"> </w:t>
      </w:r>
      <w:r>
        <w:t xml:space="preserve">Furthermore, growth of broadleaf deciduous trees may be sink-saturated</w:t>
      </w:r>
      <w:r>
        <w:rPr>
          <w:vertAlign w:val="superscript"/>
        </w:rPr>
        <w:t xml:space="preserve">23</w:t>
      </w:r>
      <w:r>
        <w:t xml:space="preserve">, such that longer growing seasons with more C fixation do not necessarily augment growth</w:t>
      </w:r>
      <w:r>
        <w:rPr>
          <w:vertAlign w:val="superscript"/>
        </w:rPr>
        <w:t xml:space="preserve">17,25,35</w:t>
      </w:r>
      <w:r>
        <w:t xml:space="preserve">.</w:t>
      </w:r>
      <w:r>
        <w:t xml:space="preserve"> </w:t>
      </w:r>
      <w:r>
        <w:t xml:space="preserve">Tree-ring records, which can be used to examine relationships of annual growth to temperature but not to understand growth seasonality, reveal that growth of temperate deciduous trees tends to be most sensitive to temperature or potential evapotranspiration between late spring and early summer</w:t>
      </w:r>
      <w:r>
        <w:rPr>
          <w:vertAlign w:val="superscript"/>
        </w:rPr>
        <w:t xml:space="preserve">36,37</w:t>
      </w:r>
      <w:r>
        <w:t xml:space="preserve">, with some evidence that warmer springs may have a modest, but usually insignificant, positive effect on growth</w:t>
      </w:r>
      <w:r>
        <w:rPr>
          <w:vertAlign w:val="superscript"/>
        </w:rPr>
        <w:t xml:space="preserve">31,37</w:t>
      </w:r>
      <w:r>
        <w:t xml:space="preserve">.</w:t>
      </w:r>
      <w:r>
        <w:t xml:space="preserve"> </w:t>
      </w:r>
      <w:r>
        <w:t xml:space="preserve">These observations do not necessarily align with the finding that warming spring temperatures increase annual forest CO</w:t>
      </w:r>
      <w:r>
        <w:rPr>
          <w:vertAlign w:val="subscript"/>
        </w:rPr>
        <w:t xml:space="preserve">2</w:t>
      </w:r>
      <w:r>
        <w:t xml:space="preserve"> </w:t>
      </w:r>
      <w:r>
        <w:t xml:space="preserve">uptake in temperate deciduous forests</w:t>
      </w:r>
      <w:r>
        <w:rPr>
          <w:vertAlign w:val="superscript"/>
        </w:rPr>
        <w:t xml:space="preserve">2,24</w:t>
      </w:r>
      <w:r>
        <w:t xml:space="preserve">.</w:t>
      </w:r>
      <w:r>
        <w:t xml:space="preserve"> </w:t>
      </w:r>
      <w:r>
        <w:t xml:space="preserve">Characterizing responses of stem growth to warming spring temperatures is critical to bridging this conceptual disconnect and understanding how forest biomass growth is likely to change as the climate warms.</w:t>
      </w:r>
    </w:p>
    <w:p>
      <w:pPr>
        <w:pStyle w:val="BodyText"/>
      </w:pPr>
      <w:r>
        <w:t xml:space="preserve">Here, we evaluate how spring temperatures affect stem growth timing, growth rates, and annual growth of temperate deciduous trees across eastern North America.</w:t>
      </w:r>
      <w:r>
        <w:t xml:space="preserve"> </w:t>
      </w:r>
      <w:r>
        <w:t xml:space="preserve">To test whether warmer springs extend the period of peak stem growth, we used dendrometer band measurements on 440 trees across two mid-latitude forests.</w:t>
      </w:r>
      <w:r>
        <w:t xml:space="preserve"> </w:t>
      </w:r>
      <w:r>
        <w:t xml:space="preserve">To test whether spring temperatures consistently increased annual growth, we analyzed 207 tree-ring chronologies from 108 forests.</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119 trees from 2011-2020) and Harvard Forest (Massachusetts, USA; n = 321 trees from 1998-2003), we fit a logistic growth model</w:t>
      </w:r>
      <w:r>
        <w:rPr>
          <w:vertAlign w:val="superscript"/>
        </w:rPr>
        <w:t xml:space="preserve">38</w:t>
      </w:r>
      <w:r>
        <w:t xml:space="preserve"> </w:t>
      </w:r>
      <w:r>
        <w:t xml:space="preserve">to determine the days of year (DOY)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occurs on average within 5 days of</w:t>
      </w:r>
      <w:r>
        <w:t xml:space="preserve"> </w:t>
      </w:r>
      <m:oMath>
        <m:r>
          <m:t>D</m:t>
        </m:r>
        <m:r>
          <m:t>O</m:t>
        </m:r>
        <m:sSub>
          <m:e>
            <m:r>
              <m:t>Y</m:t>
            </m:r>
          </m:e>
          <m:sub>
            <m:r>
              <m:t>50</m:t>
            </m:r>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w:t>
      </w:r>
      <w:r>
        <w:t xml:space="preserve"> </w:t>
      </w:r>
      <w:r>
        <w:t xml:space="preserve">and diffuse porous</w:t>
      </w:r>
      <w:r>
        <w:t xml:space="preserve"> </w:t>
      </w:r>
      <w:r>
        <w:t xml:space="preserve">species (Extended Data Table 1), which differ in the seasonal timing of growth(Extended Data Table 2)</w:t>
      </w:r>
      <w:r>
        <w:rPr>
          <w:vertAlign w:val="superscript"/>
        </w:rPr>
        <w:t xml:space="preserve">33,39</w:t>
      </w:r>
      <w:r>
        <w:t xml:space="preserve">.</w:t>
      </w:r>
      <w:r>
        <w:t xml:space="preserve"> </w:t>
      </w:r>
      <w:r>
        <w:t xml:space="preserve">These stem-growth milestones were compared to canopy foliage phenology (measured at ecosystem level via remote sensing).</w:t>
      </w:r>
    </w:p>
    <w:p>
      <w:pPr>
        <w:pStyle w:val="CaptionedFigure"/>
      </w:pPr>
      <w:r>
        <w:drawing>
          <wp:inline>
            <wp:extent cx="5943600" cy="7197083"/>
            <wp:effectExtent b="0" l="0" r="0" t="0"/>
            <wp:docPr descr="Figure 1 | Summary of temperate deciduous tree growth responses to warmer spring temperatures. (a) Schematic illustrating parameters of interest and summarizing predominant responses of each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circC-1),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7197083"/>
                    </a:xfrm>
                    <a:prstGeom prst="rect">
                      <a:avLst/>
                    </a:prstGeom>
                    <a:noFill/>
                    <a:ln w="9525">
                      <a:noFill/>
                      <a:headEnd/>
                      <a:tailEnd/>
                    </a:ln>
                  </pic:spPr>
                </pic:pic>
              </a:graphicData>
            </a:graphic>
          </wp:inline>
        </w:drawing>
      </w:r>
    </w:p>
    <w:p>
      <w:pPr>
        <w:pStyle w:val="ImageCaption"/>
      </w:pPr>
      <w:r>
        <w:rPr>
          <w:bCs/>
          <w:b/>
        </w:rPr>
        <w:t xml:space="preserve">Figure 1 | Summary of temperate deciduous tree growth responses to warmer spring temperatures.</w:t>
      </w:r>
      <w:r>
        <w:t xml:space="preserve"> </w:t>
      </w:r>
      <w:r>
        <w:t xml:space="preserve">(a) Schematic illustrating parameters of interest and summarizing predominant responses of each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increases and decreases that are significant both statistically (p&lt;0.05) and biologically (effect size &gt;3%</w:t>
      </w:r>
      <m:oMath>
        <m:sSup>
          <m:e>
            <m:r>
              <m:t>​</m:t>
            </m:r>
          </m:e>
          <m:sup>
            <m:r>
              <m:rPr>
                <m:sty m:val="p"/>
              </m:rPr>
              <m:t>∘</m:t>
            </m:r>
          </m:sup>
        </m:sSup>
      </m:oMath>
      <w:r>
        <w:t xml:space="preserve">C</w:t>
      </w:r>
      <w:r>
        <w:rPr>
          <w:vertAlign w:val="superscript"/>
        </w:rPr>
        <w:t xml:space="preserve">-1</w:t>
      </w:r>
      <w:r>
        <w:t xml:space="preserve">),</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Both canopy foliage phenology and the timing of stem growth shifted earlier as spring temperatures increased (Fig. 2, Extended Data Figures 4-5).</w:t>
      </w:r>
      <w:r>
        <w:t xml:space="preserve"> </w:t>
      </w:r>
      <w:r>
        <w:t xml:space="preserve">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 growth timing were found using</w:t>
      </w:r>
      <w:r>
        <w:t xml:space="preserve"> </w:t>
      </w:r>
      <m:oMath>
        <m:sSub>
          <m:e>
            <m:r>
              <m:t>T</m:t>
            </m:r>
          </m:e>
          <m:sub>
            <m:r>
              <m:t>m</m:t>
            </m:r>
            <m:r>
              <m:t>a</m:t>
            </m:r>
            <m:r>
              <m:t>x</m:t>
            </m:r>
          </m:sub>
        </m:sSub>
      </m:oMath>
      <w:r>
        <w:t xml:space="preserve"> </w:t>
      </w:r>
      <w:r>
        <w:t xml:space="preserve">during a critical temperature window (CTW).</w:t>
      </w:r>
      <w:r>
        <w:t xml:space="preserve"> </w:t>
      </w:r>
      <w:r>
        <w:t xml:space="preserve">CTW was identified by measuring the correlation between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for all combinations of consecutive weeks from January 1 to mean</w:t>
      </w:r>
      <w:r>
        <w:t xml:space="preserve"> </w:t>
      </w:r>
      <m:oMath>
        <m:r>
          <m:t>D</m:t>
        </m:r>
        <m:r>
          <m:t>O</m:t>
        </m:r>
        <m:sSub>
          <m:e>
            <m:r>
              <m:t>Y</m:t>
            </m:r>
          </m:e>
          <m:sub>
            <m:r>
              <m:t>25</m:t>
            </m:r>
          </m:sub>
        </m:sSub>
      </m:oMath>
      <w:r>
        <w:t xml:space="preserve"> </w:t>
      </w:r>
      <w:r>
        <w:t xml:space="preserve">for each xylem architecture-site combination (Extended Data Figure 3).</w:t>
      </w:r>
      <w:r>
        <w:t xml:space="preserve"> </w:t>
      </w:r>
      <w:r>
        <w:t xml:space="preserve">The CTW was defined as the weeks for which this correlation was strongest, and mean</w:t>
      </w:r>
      <w:r>
        <w:t xml:space="preserve"> </w:t>
      </w:r>
      <m:oMath>
        <m:sSub>
          <m:e>
            <m:r>
              <m:t>T</m:t>
            </m:r>
          </m:e>
          <m:sub>
            <m:r>
              <m:t>m</m:t>
            </m:r>
            <m:r>
              <m:t>a</m:t>
            </m:r>
            <m:r>
              <m:t>x</m:t>
            </m:r>
          </m:sub>
        </m:sSub>
      </m:oMath>
      <w:r>
        <w:t xml:space="preserve"> </w:t>
      </w:r>
      <w:r>
        <w:t xml:space="preserve">during this period (CTW</w:t>
      </w:r>
      <w:r>
        <w:t xml:space="preserve"> </w:t>
      </w:r>
      <m:oMath>
        <m:sSub>
          <m:e>
            <m:r>
              <m:t>T</m:t>
            </m:r>
          </m:e>
          <m:sub>
            <m:r>
              <m:t>m</m:t>
            </m:r>
            <m:r>
              <m:t>a</m:t>
            </m:r>
            <m:r>
              <m:t>x</m:t>
            </m:r>
          </m:sub>
        </m:sSub>
      </m:oMath>
      <w:r>
        <w:t xml:space="preserve">) used as our independent variable.</w:t>
      </w:r>
    </w:p>
    <w:p>
      <w:pPr>
        <w:pStyle w:val="CaptionedFigure"/>
      </w:pPr>
      <w:r>
        <w:drawing>
          <wp:inline>
            <wp:extent cx="5943600" cy="4953000"/>
            <wp:effectExtent b="0" l="0" r="0" t="0"/>
            <wp:docPr descr="Figure 2 | Responses of foliage phenology (a,b) and stem growth timing (c,d) to spring temperatures at the Smithsonian Conservation Biology Institute (a,c) and Harvard Forest (b,d). 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 DOY_{25}, DOY_{50}, and DOY_{75} were estimated using the Bayesian model visualized, with confidence intervals, in Extended Data Figure 4. Mean maximum temperature (T_{max})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 T_{max} of the porosity group containing the dominant canopy species at each site (diffuse porous at SCBI, ring porous at Harvard Forest)."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Responses of foliage phenology (a,b) and stem growth timing (c,d) to spring temperatures at the Smithsonian Conservation Biology Institute (a,c) and Harvard Forest (b,d).</w:t>
      </w:r>
      <w:r>
        <w:t xml:space="preserve"> </w:t>
      </w:r>
      <w:r>
        <w:t xml:space="preserve">Panels (a-b) show ecosystem-level canopy foliage phenology from 2001-2018, obtained from the MODIS Global Vegetation Phenology product (MCD12Q2.006) for a single pixel at the center of each ForestGEO plot, where G = Greenup, M=Mid-greenup, P=peak, and S=Senescence (i.e., beginning of green-down). Panels (c-d) show the dates at which stem growth milestones were achieved, on average, for sampled populations of ring porous and diffuse porous trees at SCBI (2011-2020) and Harvard Forest (1999-2003). Mean</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were estimated using the Bayesian model visualized, with confidence intervals, in Extended Data Figure 4. Mean maximum temperature (</w:t>
      </w:r>
      <m:oMath>
        <m:sSub>
          <m:e>
            <m:r>
              <m:t>T</m:t>
            </m:r>
          </m:e>
          <m:sub>
            <m:r>
              <m:t>m</m:t>
            </m:r>
            <m:r>
              <m:t>a</m:t>
            </m:r>
            <m:r>
              <m:t>x</m:t>
            </m:r>
          </m:sub>
        </m:sSub>
      </m:oMath>
      <w:r>
        <w:t xml:space="preserve">) was calculated for each xylem architecture/site combination over the respective critical temperature window (CTW), then turned into a ratio and assigned a color on a gradient where the coldest year in the sample is blue and the warmest is red. Leaf phenology years are colored according to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w:t>
      </w:r>
    </w:p>
    <w:p>
      <w:pPr>
        <w:pStyle w:val="BodyText"/>
      </w:pPr>
      <w:r>
        <w:t xml:space="preserve">For ring- and diffuse- porous species at both sites, warmer CTW</w:t>
      </w:r>
      <w:r>
        <w:t xml:space="preserve"> </w:t>
      </w:r>
      <m:oMath>
        <m:sSub>
          <m:e>
            <m:r>
              <m:t>T</m:t>
            </m:r>
          </m:e>
          <m:sub>
            <m:r>
              <m:t>m</m:t>
            </m:r>
            <m:r>
              <m:t>a</m:t>
            </m:r>
            <m:r>
              <m:t>x</m:t>
            </m:r>
          </m:sub>
        </m:sSub>
      </m:oMath>
      <w:r>
        <w:t xml:space="preserve"> </w:t>
      </w:r>
      <w:r>
        <w:t xml:space="preserve">resulted in earlier achievement of seasonal milestones.</w:t>
      </w:r>
      <w:r>
        <w:t xml:space="preserve"> </w:t>
      </w:r>
      <w:r>
        <w:t xml:space="preserve">Consistent with findings from previous studies</w:t>
      </w:r>
      <w:r>
        <w:t xml:space="preserve">, leaf phenological milestones advanced at both sites (Fig. 2a-b, Extended Data Table 2), with greenup (DOY when EVI2 first crossed 15% of the segment EVI2 amplitude) advancing 3.45 days/</w:t>
      </w:r>
      <m:oMath>
        <m:sSup>
          <m:e>
            <m:r>
              <m:t>​</m:t>
            </m:r>
          </m:e>
          <m:sup>
            <m:r>
              <m:rPr>
                <m:sty m:val="p"/>
              </m:rPr>
              <m:t>∘</m:t>
            </m:r>
          </m:sup>
        </m:sSup>
      </m:oMath>
      <w:r>
        <w:t xml:space="preserve">C at SCBI (p=0.016) and 2.4 days/</w:t>
      </w:r>
      <w:r>
        <w:t xml:space="preserve"> </w:t>
      </w:r>
      <m:oMath>
        <m:sSup>
          <m:e>
            <m:r>
              <m:t>​</m:t>
            </m:r>
          </m:e>
          <m:sup>
            <m:r>
              <m:rPr>
                <m:sty m:val="p"/>
              </m:rPr>
              <m:t>∘</m:t>
            </m:r>
          </m:sup>
        </m:sSup>
      </m:oMath>
      <w:r>
        <w:t xml:space="preserve">C at Harvard Forest (p=0.1).</w:t>
      </w:r>
      <w:r>
        <w:t xml:space="preserve"> </w:t>
      </w:r>
      <w:r>
        <w:t xml:space="preserve">Similarly, with the exception of ring porous</w:t>
      </w:r>
      <w:r>
        <w:t xml:space="preserve"> </w:t>
      </w:r>
      <m:oMath>
        <m:r>
          <m:t>D</m:t>
        </m:r>
        <m:r>
          <m:t>O</m:t>
        </m:r>
        <m:sSub>
          <m:e>
            <m:r>
              <m:t>Y</m:t>
            </m:r>
          </m:e>
          <m:sub>
            <m:r>
              <m:t>75</m:t>
            </m:r>
          </m:sub>
        </m:sSub>
      </m:oMath>
      <w:r>
        <w:t xml:space="preserve"> </w:t>
      </w:r>
      <w:r>
        <w:t xml:space="preserve">at SCBI, the stem growth milestones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decreased with CTW</w:t>
      </w:r>
      <w:r>
        <w:t xml:space="preserve"> </w:t>
      </w:r>
      <m:oMath>
        <m:sSub>
          <m:e>
            <m:r>
              <m:t>T</m:t>
            </m:r>
          </m:e>
          <m:sub>
            <m:r>
              <m:t>m</m:t>
            </m:r>
            <m:r>
              <m:t>a</m:t>
            </m:r>
            <m:r>
              <m:t>x</m:t>
            </m:r>
          </m:sub>
        </m:sSub>
      </m:oMath>
      <w:r>
        <w:t xml:space="preserve"> </w:t>
      </w:r>
      <w:r>
        <w:t xml:space="preserve">(Figs. 1, 2c-d;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0-1.7 days/</w:t>
      </w:r>
      <w:r>
        <w:t xml:space="preserve"> </w:t>
      </w:r>
      <m:oMath>
        <m:sSup>
          <m:e>
            <m:r>
              <m:t>​</m:t>
            </m:r>
          </m:e>
          <m:sup>
            <m:r>
              <m:rPr>
                <m:sty m:val="p"/>
              </m:rPr>
              <m:t>∘</m:t>
            </m:r>
          </m:sup>
        </m:sSup>
      </m:oMath>
      <w:r>
        <w:t xml:space="preserve">C for ring porous species and 2.8-2.9 days/</w:t>
      </w:r>
      <w:r>
        <w:t xml:space="preserve"> </w:t>
      </w:r>
      <m:oMath>
        <m:sSup>
          <m:e>
            <m:r>
              <m:t>​</m:t>
            </m:r>
          </m:e>
          <m:sup>
            <m:r>
              <m:rPr>
                <m:sty m:val="p"/>
              </m:rPr>
              <m:t>∘</m:t>
            </m:r>
          </m:sup>
        </m:sSup>
      </m:oMath>
      <w:r>
        <w:t xml:space="preserve">C for diffuse porous species at SCBI, and 10.3-12.3 days/</w:t>
      </w:r>
      <w:r>
        <w:t xml:space="preserve"> </w:t>
      </w:r>
      <m:oMath>
        <m:sSup>
          <m:e>
            <m:r>
              <m:t>​</m:t>
            </m:r>
          </m:e>
          <m:sup>
            <m:r>
              <m:rPr>
                <m:sty m:val="p"/>
              </m:rPr>
              <m:t>∘</m:t>
            </m:r>
          </m:sup>
        </m:sSup>
      </m:oMath>
      <w:r>
        <w:t xml:space="preserve">C for ring porous species and 0.9-4.2 days/</w:t>
      </w:r>
      <w:r>
        <w:t xml:space="preserve"> </w:t>
      </w:r>
      <m:oMath>
        <m:sSup>
          <m:e>
            <m:r>
              <m:t>​</m:t>
            </m:r>
          </m:e>
          <m:sup>
            <m:r>
              <m:rPr>
                <m:sty m:val="p"/>
              </m:rPr>
              <m:t>∘</m:t>
            </m:r>
          </m:sup>
        </m:sSup>
      </m:oMath>
      <w:r>
        <w:t xml:space="preserve">C for diffuse 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with the CTW</w:t>
      </w:r>
      <w:r>
        <w:t xml:space="preserve"> </w:t>
      </w:r>
      <m:oMath>
        <m:sSub>
          <m:e>
            <m:r>
              <m:t>T</m:t>
            </m:r>
          </m:e>
          <m:sub>
            <m:r>
              <m:t>m</m:t>
            </m:r>
            <m:r>
              <m:t>a</m:t>
            </m:r>
            <m:r>
              <m:t>x</m:t>
            </m:r>
          </m:sub>
        </m:sSub>
      </m:oMath>
      <w:r>
        <w:t xml:space="preserve"> </w:t>
      </w:r>
      <w:r>
        <w:t xml:space="preserve">of the porosity group containing the dominant canopy species at each site (diffuse porous at SCBI, ring porous at Harvard Forest; Fig. 2a-b),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 CTW</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displayed extremely small negative changes (Harvard Forest) or changes in opposite directions (SCBI) in relationship to CTW</w:t>
      </w:r>
      <w:r>
        <w:t xml:space="preserve"> </w:t>
      </w:r>
      <m:oMath>
        <m:sSub>
          <m:e>
            <m:r>
              <m:t>T</m:t>
            </m:r>
          </m:e>
          <m:sub>
            <m:r>
              <m:t>m</m:t>
            </m:r>
            <m:r>
              <m:t>a</m:t>
            </m:r>
            <m:r>
              <m:t>x</m:t>
            </m:r>
          </m:sub>
        </m:sSub>
      </m:oMath>
      <w:r>
        <w:t xml:space="preserve"> </w:t>
      </w:r>
      <w:r>
        <w:t xml:space="preserve">for ring- and diffuse- porous species.</w:t>
      </w:r>
      <w:r>
        <w:t xml:space="preserve"> </w:t>
      </w:r>
      <m:oMath>
        <m:r>
          <m:t>Δ</m:t>
        </m:r>
        <m:r>
          <m:t>D</m:t>
        </m:r>
        <m:r>
          <m:t>B</m:t>
        </m:r>
        <m:r>
          <m:t>H</m:t>
        </m:r>
      </m:oMath>
      <w:r>
        <w:t xml:space="preserve"> </w:t>
      </w:r>
      <w:r>
        <w:t xml:space="preserve">displayed a weak positive relationship (+0.029-0.08 mm/</w:t>
      </w:r>
      <w:r>
        <w:t xml:space="preserve"> </w:t>
      </w:r>
      <m:oMath>
        <m:sSup>
          <m:e>
            <m:r>
              <m:t>​</m:t>
            </m:r>
          </m:e>
          <m:sup>
            <m:r>
              <m:rPr>
                <m:sty m:val="p"/>
              </m:rPr>
              <m:t>∘</m:t>
            </m:r>
          </m:sup>
        </m:sSup>
      </m:oMath>
      <w:r>
        <w:t xml:space="preserve">C) with CTW</w:t>
      </w:r>
      <w:r>
        <w:t xml:space="preserve"> </w:t>
      </w:r>
      <m:oMath>
        <m:sSub>
          <m:e>
            <m:r>
              <m:t>T</m:t>
            </m:r>
          </m:e>
          <m:sub>
            <m:r>
              <m:t>m</m:t>
            </m:r>
            <m:r>
              <m:t>a</m:t>
            </m:r>
            <m:r>
              <m:t>x</m:t>
            </m:r>
          </m:sub>
        </m:sSub>
      </m:oMath>
      <w:r>
        <w:t xml:space="preserve"> </w:t>
      </w:r>
      <w:r>
        <w:t xml:space="preserve">at SCBI and a weak negative relationship (-0.2-0.03 mm/</w:t>
      </w:r>
      <w:r>
        <w:t xml:space="preserve"> </w:t>
      </w:r>
      <m:oMath>
        <m:sSup>
          <m:e>
            <m:r>
              <m:t>​</m:t>
            </m:r>
          </m:e>
          <m:sup>
            <m:r>
              <m:rPr>
                <m:sty m:val="p"/>
              </m:rPr>
              <m:t>∘</m:t>
            </m:r>
          </m:sup>
        </m:sSup>
      </m:oMath>
      <w:r>
        <w:t xml:space="preserve">C) at Harvard Forest (Extended Data Figure 4).</w:t>
      </w:r>
    </w:p>
    <w:bookmarkEnd w:id="23"/>
    <w:bookmarkStart w:id="25" w:name="Tree"/>
    <w:p>
      <w:pPr>
        <w:pStyle w:val="Heading2"/>
      </w:pPr>
      <w:r>
        <w:t xml:space="preserve">Tree-ring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37</w:t>
      </w:r>
      <w:r>
        <w:t xml:space="preserve"> </w:t>
      </w:r>
      <w:r>
        <w:t xml:space="preserve">and 4 species at Harvard Forest (Extended Data Table 1), plus an additional 191 chronologies from 106 sites (Fig. 3; Extended Data Figure 1; Extended Data Table 3)</w:t>
      </w:r>
      <w:r>
        <w:rPr>
          <w:vertAlign w:val="superscript"/>
        </w:rPr>
        <w:t xml:space="preserve">36</w:t>
      </w:r>
      <w:r>
        <w:t xml:space="preserve">.</w:t>
      </w:r>
      <w:r>
        <w:t xml:space="preserve"> </w:t>
      </w:r>
      <w:r>
        <w:t xml:space="preserve">In total, our analysis included 207 chronologies representing 24 broadleaf species at 108 sites distributed from Alabama (34.35</w:t>
      </w:r>
      <m:oMath>
        <m:sSup>
          <m:e>
            <m:r>
              <m:t>​</m:t>
            </m:r>
          </m:e>
          <m:sup>
            <m:r>
              <m:rPr>
                <m:sty m:val="p"/>
              </m:rPr>
              <m:t>∘</m:t>
            </m:r>
          </m:sup>
        </m:sSup>
      </m:oMath>
      <w:r>
        <w:t xml:space="preserve">N latitude) to Michigan (45.56</w:t>
      </w:r>
      <m:oMath>
        <m:sSup>
          <m:e>
            <m:r>
              <m:t>​</m:t>
            </m:r>
          </m:e>
          <m:sup>
            <m:r>
              <m:rPr>
                <m:sty m:val="p"/>
              </m:rPr>
              <m:t>∘</m:t>
            </m:r>
          </m:sup>
        </m:sSup>
      </m:oMath>
      <w:r>
        <w:t xml:space="preserve">N latitude)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the standardized ring-width index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 porous and 4 of 66 diffuse porous species-site combinations (Extended Data Table 3).</w:t>
      </w:r>
      <w:r>
        <w:t xml:space="preserve"> </w:t>
      </w:r>
      <w:r>
        <w:t xml:space="preserve">There were even fewer significant positive correlations with March and May</w:t>
      </w:r>
      <w:r>
        <w:t xml:space="preserve"> </w:t>
      </w:r>
      <m:oMath>
        <m:sSub>
          <m:e>
            <m:r>
              <m:t>T</m:t>
            </m:r>
          </m:e>
          <m:sub>
            <m:r>
              <m:t>m</m:t>
            </m:r>
            <m:r>
              <m:t>a</m:t>
            </m:r>
            <m:r>
              <m:t>x</m:t>
            </m:r>
          </m:sub>
        </m:sSub>
      </m:oMath>
      <w:r>
        <w:t xml:space="preserve">: 0% and 1%, respectively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 porous and diffuse porous species, respectively.</w:t>
      </w:r>
      <w:r>
        <w:t xml:space="preserve"> </w:t>
      </w:r>
      <m:oMath>
        <m:sSub>
          <m:e>
            <m:r>
              <m:t>T</m:t>
            </m:r>
          </m:e>
          <m:sub>
            <m:r>
              <m:t>m</m:t>
            </m:r>
            <m:r>
              <m:t>i</m:t>
            </m:r>
            <m:r>
              <m:t>n</m:t>
            </m:r>
          </m:sub>
        </m:sSub>
      </m:oMath>
      <w:r>
        <w:t xml:space="preserve"> </w:t>
      </w:r>
      <w:r>
        <w:t xml:space="preserve">generally exhibited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warm springs might result in storage of non-structural carbohydrates (NSC) that would augment growth the following year</w:t>
      </w:r>
      <w:r>
        <w:rPr>
          <w:vertAlign w:val="superscript"/>
        </w:rPr>
        <w:t xml:space="preserve">40</w:t>
      </w:r>
      <w:r>
        <w:t xml:space="preserve">, we extended the analysis to examine correlations between RWI and</w:t>
      </w:r>
      <w:r>
        <w:t xml:space="preserve"> </w:t>
      </w:r>
      <m:oMath>
        <m:sSub>
          <m:e>
            <m:r>
              <m:t>T</m:t>
            </m:r>
          </m:e>
          <m:sub>
            <m:r>
              <m:t>m</m:t>
            </m:r>
            <m:r>
              <m:t>a</m:t>
            </m:r>
            <m:r>
              <m:t>x</m:t>
            </m:r>
          </m:sub>
        </m:sSub>
      </m:oMath>
      <w:r>
        <w:t xml:space="preserve"> </w:t>
      </w:r>
      <w:r>
        <w:t xml:space="preserve">in the previous year (Extended Data Figure 7).</w:t>
      </w:r>
      <w:r>
        <w:t xml:space="preserve"> </w:t>
      </w:r>
      <w:r>
        <w:t xml:space="preserve">This revealed little effect of previous spring temperatures on annual growth, with significant positive correlations of RWI to previous March or April</w:t>
      </w:r>
      <w:r>
        <w:t xml:space="preserve"> </w:t>
      </w:r>
      <m:oMath>
        <m:sSub>
          <m:e>
            <m:r>
              <m:t>T</m:t>
            </m:r>
          </m:e>
          <m:sub>
            <m:r>
              <m:t>m</m:t>
            </m:r>
            <m:r>
              <m:t>a</m:t>
            </m:r>
            <m:r>
              <m:t>x</m:t>
            </m:r>
          </m:sub>
        </m:sSub>
      </m:oMath>
      <w:r>
        <w:t xml:space="preserve"> </w:t>
      </w:r>
      <w:r>
        <w:t xml:space="preserve">for 5/142 ring porous chronologies and to previous April or May</w:t>
      </w:r>
      <w:r>
        <w:t xml:space="preserve"> </w:t>
      </w:r>
      <m:oMath>
        <m:sSub>
          <m:e>
            <m:r>
              <m:t>T</m:t>
            </m:r>
          </m:e>
          <m:sub>
            <m:r>
              <m:t>m</m:t>
            </m:r>
            <m:r>
              <m:t>a</m:t>
            </m:r>
            <m:r>
              <m:t>x</m:t>
            </m:r>
          </m:sub>
        </m:sSub>
      </m:oMath>
      <w:r>
        <w:t xml:space="preserve"> </w:t>
      </w:r>
      <w:r>
        <w:t xml:space="preserve">for 7/66 diffuse porous chronologies.</w:t>
      </w:r>
    </w:p>
    <w:p>
      <w:pPr>
        <w:pStyle w:val="BodyText"/>
      </w:pPr>
      <w:r>
        <w:t xml:space="preserve">To test whether the negative effect of summer temperatures might offset an enhancement of growth by warmer spring temperatures,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4% of chronologies and significant negative correlations with June-July</w:t>
      </w:r>
      <w:r>
        <w:t xml:space="preserve"> </w:t>
      </w:r>
      <m:oMath>
        <m:sSub>
          <m:e>
            <m:r>
              <m:t>T</m:t>
            </m:r>
          </m:e>
          <m:sub>
            <m:r>
              <m:t>m</m:t>
            </m:r>
            <m:r>
              <m:t>a</m:t>
            </m:r>
            <m:r>
              <m:t>x</m:t>
            </m:r>
          </m:sub>
        </m:sSub>
      </m:oMath>
      <w:r>
        <w:t xml:space="preserve"> </w:t>
      </w:r>
      <w:r>
        <w:t xml:space="preserve">for 77% of chronologies (Extended Data Table 3).</w:t>
      </w:r>
    </w:p>
    <w:p>
      <w:pPr>
        <w:pStyle w:val="CaptionedFigure"/>
      </w:pPr>
      <w:r>
        <w:drawing>
          <wp:inline>
            <wp:extent cx="5943600" cy="5751078"/>
            <wp:effectExtent b="0" l="0" r="0" t="0"/>
            <wp:docPr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751078"/>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mean maximum temperatures (</w:t>
      </w:r>
      <m:oMath>
        <m:sSub>
          <m:e>
            <m:r>
              <m:t>T</m:t>
            </m:r>
          </m:e>
          <m:sub>
            <m:r>
              <m:t>m</m:t>
            </m:r>
            <m:r>
              <m:t>a</m:t>
            </m:r>
            <m:r>
              <m:t>x</m:t>
            </m:r>
          </m:sub>
        </m:sSub>
      </m:oMath>
      <w:r>
        <w:rPr>
          <w:bCs/>
          <w:b/>
        </w:rPr>
        <w:t xml:space="preserve">), for 207 chronologies from 108 sites across eastern North America</w:t>
      </w:r>
      <w:r>
        <w:t xml:space="preserve"> </w:t>
      </w:r>
      <w:r>
        <w:t xml:space="preserve">(Extended Data Figure 1). Colors indicate the correlation between monthly</w:t>
      </w:r>
      <w:r>
        <w:t xml:space="preserve"> </w:t>
      </w:r>
      <m:oMath>
        <m:sSub>
          <m:e>
            <m:r>
              <m:t>T</m:t>
            </m:r>
          </m:e>
          <m:sub>
            <m:r>
              <m:t>m</m:t>
            </m:r>
            <m:r>
              <m:t>a</m:t>
            </m:r>
            <m:r>
              <m:t>x</m:t>
            </m:r>
          </m:sub>
        </m:sSub>
      </m:oMath>
      <w:r>
        <w:t xml:space="preserve"> </w:t>
      </w:r>
      <w:r>
        <w:t xml:space="preserve">and a dimensionless ring width index (RWI) derived from the multiple trees that form each chronology and emphasizing interannual variability associated with climate. Chronologies are grouped by xylem porosity and ordered by mean April</w:t>
      </w:r>
      <w:r>
        <w:t xml:space="preserve"> </w:t>
      </w:r>
      <m:oMath>
        <m:sSub>
          <m:e>
            <m:r>
              <m:t>T</m:t>
            </m:r>
          </m:e>
          <m:sub>
            <m:r>
              <m:t>m</m:t>
            </m:r>
            <m:r>
              <m:t>a</m:t>
            </m:r>
            <m:r>
              <m:t>x</m:t>
            </m:r>
          </m:sub>
        </m:sSub>
      </m:oMath>
      <w:r>
        <w:t xml:space="preserve">. Plots are annotated to highlight records from our two focal sites, the Smithsonian Conservation Biology Institute (SCBI) and Harvard Forest (HF) (Extended Data Table 1). Species analyzed and numbers of significant correlations to</w:t>
      </w:r>
      <w:r>
        <w:t xml:space="preserve"> </w:t>
      </w:r>
      <m:oMath>
        <m:sSub>
          <m:e>
            <m:r>
              <m:t>T</m:t>
            </m:r>
          </m:e>
          <m:sub>
            <m:r>
              <m:t>m</m:t>
            </m:r>
            <m:r>
              <m:t>a</m:t>
            </m:r>
            <m:r>
              <m:t>x</m:t>
            </m:r>
          </m:sub>
        </m:sSub>
      </m:oMath>
      <w:r>
        <w:t xml:space="preserve"> </w:t>
      </w:r>
      <w:r>
        <w:t xml:space="preserve">are summarized in Extended Data Table 3, and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timing of stem growth but have little effect on total annual growth (Figs. 1-3).</w:t>
      </w:r>
      <w:r>
        <w:t xml:space="preserve"> </w:t>
      </w:r>
      <w:r>
        <w:t xml:space="preserve">The observed advance in stem growth under warmer springs parallels advances observed for canopy foliage phenology (Fig. 2a-b)</w:t>
      </w:r>
      <w:r>
        <w:rPr>
          <w:vertAlign w:val="superscript"/>
        </w:rPr>
        <w:t xml:space="preserve">2,4,5</w:t>
      </w:r>
      <w:r>
        <w:t xml:space="preserve"> </w:t>
      </w:r>
      <w:r>
        <w:t xml:space="preserve">and NEE</w:t>
      </w:r>
      <w:r>
        <w:rPr>
          <w:vertAlign w:val="superscript"/>
        </w:rPr>
        <w:t xml:space="preserve">2,4</w:t>
      </w:r>
      <w:r>
        <w:t xml:space="preserve">.</w:t>
      </w:r>
      <w:r>
        <w:t xml:space="preserve"> </w:t>
      </w:r>
      <w:r>
        <w:t xml:space="preserve">However, inconsistent with the concept that an earlier start to growth would increase</w:t>
      </w:r>
      <w:r>
        <w:t xml:space="preserve"> </w:t>
      </w:r>
      <m:oMath>
        <m:r>
          <m:t>A</m:t>
        </m:r>
        <m:r>
          <m:t>N</m:t>
        </m:r>
        <m:r>
          <m:t>P</m:t>
        </m:r>
        <m:sSub>
          <m:e>
            <m:r>
              <m:t>P</m:t>
            </m:r>
          </m:e>
          <m:sub>
            <m:r>
              <m:t>w</m:t>
            </m:r>
            <m:r>
              <m:t>o</m:t>
            </m:r>
            <m:r>
              <m:t>o</m:t>
            </m:r>
            <m:r>
              <m:t>d</m:t>
            </m:r>
            <m:r>
              <m:t>y</m:t>
            </m:r>
          </m:sub>
        </m:sSub>
      </m:oMath>
      <w:r>
        <w:t xml:space="preserve">, we demonstrate that warmer springs either hasten the deceleration of stem expansion or otherwise fail to translate extended growing seasons into biologically significant increases in stem growth (Fig. 1), and thereby have negligible effect on total annual growth for most species and locations (Fig. 3).</w:t>
      </w:r>
      <w:r>
        <w:t xml:space="preserve"> </w:t>
      </w:r>
      <w:r>
        <w:t xml:space="preserve">Our observations suggest that the deceleration of stem expansion, which occurs mid-summer near the time of peak canopy greenness (Extended Data Figure 2)</w:t>
      </w:r>
      <w:r>
        <w:rPr>
          <w:vertAlign w:val="superscript"/>
        </w:rPr>
        <w:t xml:space="preserve">4,34</w:t>
      </w:r>
      <w:r>
        <w:t xml:space="preserve">, is driven by cues other than photosynthate limitation, such as water stress, daylength, or sink limitation</w:t>
      </w:r>
      <w:r>
        <w:rPr>
          <w:vertAlign w:val="superscript"/>
        </w:rPr>
        <w:t xml:space="preserve">17,32,34,41,14,</w:t>
      </w:r>
      <w:r>
        <w:rPr>
          <w:vertAlign w:val="superscript"/>
        </w:rPr>
        <w:t xml:space="preserve"> </w:t>
      </w:r>
      <w:r>
        <w:rPr>
          <w:vertAlign w:val="superscript"/>
        </w:rPr>
        <w:t xml:space="preserve">25</w:t>
      </w:r>
      <w:r>
        <w:t xml:space="preserve">.</w:t>
      </w:r>
      <w:r>
        <w:t xml:space="preserve"> </w:t>
      </w:r>
      <w:r>
        <w:t xml:space="preserve">This adds to a growing body of evidence for a sink limitation of stem growth</w:t>
      </w:r>
      <w:r>
        <w:rPr>
          <w:vertAlign w:val="superscript"/>
        </w:rPr>
        <w:t xml:space="preserve">25,</w:t>
      </w:r>
      <w:r>
        <w:rPr>
          <w:bCs/>
          <w:b/>
          <w:vertAlign w:val="superscript"/>
        </w:rPr>
        <w:t xml:space="preserve">refs?</w:t>
      </w:r>
      <w:r>
        <w:t xml:space="preserve">, wherein global change factors known to enhance photosynthesis, such as longer growing seasons or elevated CO</w:t>
      </w:r>
      <w:r>
        <w:rPr>
          <w:vertAlign w:val="subscript"/>
        </w:rPr>
        <w:t xml:space="preserve">2</w:t>
      </w:r>
      <w:r>
        <w:t xml:space="preserve">, do not cause a corresponding increase in stem growth</w:t>
      </w:r>
      <w:r>
        <w:rPr>
          <w:vertAlign w:val="superscript"/>
        </w:rPr>
        <w:t xml:space="preserve">42,</w:t>
      </w:r>
      <w:r>
        <w:rPr>
          <w:bCs/>
          <w:b/>
          <w:vertAlign w:val="superscript"/>
        </w:rPr>
        <w:t xml:space="preserve">refs?</w:t>
      </w:r>
      <w:r>
        <w:t xml:space="preserve">.</w:t>
      </w:r>
    </w:p>
    <w:p>
      <w:pPr>
        <w:pStyle w:val="BodyText"/>
      </w:pPr>
      <w:r>
        <w:t xml:space="preserve">Combined with widespread observations that warming springs tend to lengthen the season of C sequestration</w:t>
      </w:r>
      <w:r>
        <w:rPr>
          <w:vertAlign w:val="superscript"/>
        </w:rPr>
        <w:t xml:space="preserve">4,24</w:t>
      </w:r>
      <w:r>
        <w:t xml:space="preserve"> </w:t>
      </w:r>
      <w:r>
        <w:t xml:space="preserve">and increase net C sequestration</w:t>
      </w:r>
      <w:r>
        <w:rPr>
          <w:vertAlign w:val="superscript"/>
        </w:rPr>
        <w:t xml:space="preserve">2,4,8–12</w:t>
      </w:r>
      <w:r>
        <w:t xml:space="preserve">, our findings imply a lengthening of the period from peak stem growth to the cessation of CO</w:t>
      </w:r>
      <w:r>
        <w:rPr>
          <w:vertAlign w:val="subscript"/>
        </w:rPr>
        <w:t xml:space="preserve">2</w:t>
      </w:r>
      <w:r>
        <w:t xml:space="preserve"> </w:t>
      </w:r>
      <w:r>
        <w:t xml:space="preserve">uptake by the ecosystem and an increase in C allocated to functions other than stem expansion in the current or following year (Extended Data Figure 7).</w:t>
      </w:r>
      <w:r>
        <w:t xml:space="preserve"> </w:t>
      </w:r>
      <w:r>
        <w:t xml:space="preserve">It remains theoretically possible that warm springs could augment</w:t>
      </w:r>
      <w:r>
        <w:t xml:space="preserve"> </w:t>
      </w:r>
      <m:oMath>
        <m:r>
          <m:t>A</m:t>
        </m:r>
        <m:r>
          <m:t>N</m:t>
        </m:r>
        <m:r>
          <m:t>P</m:t>
        </m:r>
        <m:sSub>
          <m:e>
            <m:r>
              <m:t>P</m:t>
            </m:r>
          </m:e>
          <m:sub>
            <m:r>
              <m:t>w</m:t>
            </m:r>
            <m:r>
              <m:t>o</m:t>
            </m:r>
            <m:r>
              <m:t>o</m:t>
            </m:r>
            <m:r>
              <m:t>d</m:t>
            </m:r>
            <m:r>
              <m:t>y</m:t>
            </m:r>
          </m:sub>
        </m:sSub>
      </m:oMath>
      <w:r>
        <w:t xml:space="preserve">, which, although routinely calculated based on stem growth, can be partially decoupled from it through differences in wood density or C content</w:t>
      </w:r>
      <w:r>
        <w:rPr>
          <w:vertAlign w:val="superscript"/>
        </w:rPr>
        <w:t xml:space="preserve">25</w:t>
      </w:r>
      <w:r>
        <w:t xml:space="preserve">.</w:t>
      </w:r>
      <w:r>
        <w:t xml:space="preserve"> </w:t>
      </w:r>
      <w:r>
        <w:t xml:space="preserve">Extra C fixed in years with warm springs could potentially be allocated to formation of more C-dense wood, either through enhanced cell wall thickening (a process that lags behind stem expansion</w:t>
      </w:r>
      <w:r>
        <w:rPr>
          <w:vertAlign w:val="superscript"/>
        </w:rPr>
        <w:t xml:space="preserve">43</w:t>
      </w:r>
      <w:r>
        <w:t xml:space="preserve">) or to a higher ratio of high-density latewood to lower-density earlywood.</w:t>
      </w:r>
      <w:r>
        <w:t xml:space="preserve"> </w:t>
      </w:r>
      <w:r>
        <w:t xml:space="preserve">However, existing evidence indicates that vessel features are most strongly controlled by summer drought stress in the previous (earlywood) or current (latewood) year, while warm springs have a neutral or negative effect on latewood width</w:t>
      </w:r>
      <w:r>
        <w:rPr>
          <w:vertAlign w:val="superscript"/>
        </w:rPr>
        <w:t xml:space="preserve">44–46</w:t>
      </w:r>
      <w:r>
        <w:t xml:space="preserve">.</w:t>
      </w:r>
      <w:r>
        <w:t xml:space="preserve"> </w:t>
      </w:r>
      <w:r>
        <w:t xml:space="preserve">Thus, it is unlikely that warm springs have a positive effect on total C content of annual rings or</w:t>
      </w:r>
      <w:r>
        <w:t xml:space="preserve"> </w:t>
      </w:r>
      <m:oMath>
        <m:r>
          <m:t>A</m:t>
        </m:r>
        <m:r>
          <m:t>N</m:t>
        </m:r>
        <m:r>
          <m:t>P</m:t>
        </m:r>
        <m:sSub>
          <m:e>
            <m:r>
              <m:t>P</m:t>
            </m:r>
          </m:e>
          <m:sub>
            <m:r>
              <m:t>w</m:t>
            </m:r>
            <m:r>
              <m:t>o</m:t>
            </m:r>
            <m:r>
              <m:t>o</m:t>
            </m:r>
            <m:r>
              <m:t>d</m:t>
            </m:r>
            <m:r>
              <m:t>y</m:t>
            </m:r>
          </m:sub>
        </m:sSub>
      </m:oMath>
      <w:r>
        <w:t xml:space="preserve">.</w:t>
      </w:r>
      <w:r>
        <w:t xml:space="preserve"> </w:t>
      </w:r>
      <w:r>
        <w:t xml:space="preserve">The fate of any additional C fixed during years with warm springs remains unresolved, but possible destinations – including respiration, NSC storage, and production of foliage, reproductive structures, roots</w:t>
      </w:r>
      <w:r>
        <w:rPr>
          <w:vertAlign w:val="superscript"/>
        </w:rPr>
        <w:t xml:space="preserve">35</w:t>
      </w:r>
      <w:r>
        <w:t xml:space="preserve">, or root exudates – generally have shorter residence times than woody growth.</w:t>
      </w:r>
      <w:r>
        <w:t xml:space="preserve"> </w:t>
      </w:r>
      <w:r>
        <w:t xml:space="preserve">Indeed, when GPP of a mature forest was increased through experimental CO</w:t>
      </w:r>
      <w:r>
        <w:rPr>
          <w:vertAlign w:val="subscript"/>
        </w:rPr>
        <w:t xml:space="preserve">2</w:t>
      </w:r>
      <w:r>
        <w:t xml:space="preserve"> </w:t>
      </w:r>
      <w:r>
        <w:t xml:space="preserve">enrichment,</w:t>
      </w:r>
      <w:r>
        <w:t xml:space="preserve"> </w:t>
      </w:r>
      <m:oMath>
        <m:r>
          <m:t>A</m:t>
        </m:r>
        <m:r>
          <m:t>N</m:t>
        </m:r>
        <m:r>
          <m:t>P</m:t>
        </m:r>
        <m:sSub>
          <m:e>
            <m:r>
              <m:t>P</m:t>
            </m:r>
          </m:e>
          <m:sub>
            <m:r>
              <m:t>w</m:t>
            </m:r>
            <m:r>
              <m:t>o</m:t>
            </m:r>
            <m:r>
              <m:t>o</m:t>
            </m:r>
            <m:r>
              <m:t>d</m:t>
            </m:r>
            <m:r>
              <m:t>y</m:t>
            </m:r>
          </m:sub>
        </m:sSub>
      </m:oMath>
      <w:r>
        <w:t xml:space="preserve"> </w:t>
      </w:r>
      <w:r>
        <w:t xml:space="preserve">remained unchanged, while additional C was released back to the atmosphere on relatively short time scales through enhanced respiration</w:t>
      </w:r>
      <w:r>
        <w:rPr>
          <w:vertAlign w:val="superscript"/>
        </w:rPr>
        <w:t xml:space="preserve">42</w:t>
      </w:r>
      <w:r>
        <w:t xml:space="preserve">.</w:t>
      </w:r>
      <w:r>
        <w:t xml:space="preserve"> </w:t>
      </w:r>
      <w:r>
        <w:t xml:space="preserve">Consistent with this, it has been observed that C gains from an earlier spring can be offset through fall or winter respiration</w:t>
      </w:r>
      <w:r>
        <w:rPr>
          <w:vertAlign w:val="superscript"/>
        </w:rPr>
        <w:t xml:space="preserve">3,47</w:t>
      </w:r>
      <w:r>
        <w:t xml:space="preserve">.</w:t>
      </w:r>
      <w:r>
        <w:t xml:space="preserve"> </w:t>
      </w:r>
      <w:r>
        <w:t xml:space="preserve">Thus, observed augmentation of NEE by warm springs</w:t>
      </w:r>
      <w:r>
        <w:rPr>
          <w:vertAlign w:val="superscript"/>
        </w:rPr>
        <w:t xml:space="preserve">2,11,12</w:t>
      </w:r>
      <w:r>
        <w:t xml:space="preserve"> </w:t>
      </w:r>
      <w:r>
        <w:t xml:space="preserve">is likely to be short lived.</w:t>
      </w:r>
    </w:p>
    <w:p>
      <w:pPr>
        <w:pStyle w:val="BodyText"/>
      </w:pPr>
      <w:r>
        <w:t xml:space="preserve">It is possible that as spring warming continues, forests will adjust to directional changes in growing season length with an enhancement of</w:t>
      </w:r>
      <w:r>
        <w:t xml:space="preserve"> </w:t>
      </w:r>
      <m:oMath>
        <m:r>
          <m:t>A</m:t>
        </m:r>
        <m:r>
          <m:t>N</m:t>
        </m:r>
        <m:r>
          <m:t>P</m:t>
        </m:r>
        <m:sSub>
          <m:e>
            <m:r>
              <m:t>P</m:t>
            </m:r>
          </m:e>
          <m:sub>
            <m:r>
              <m:t>w</m:t>
            </m:r>
            <m:r>
              <m:t>o</m:t>
            </m:r>
            <m:r>
              <m:t>o</m:t>
            </m:r>
            <m:r>
              <m:t>d</m:t>
            </m:r>
            <m:r>
              <m:t>y</m:t>
            </m:r>
          </m:sub>
        </m:sSub>
      </m:oMath>
      <w:r>
        <w:t xml:space="preserve">.</w:t>
      </w:r>
      <w:r>
        <w:t xml:space="preserve"> </w:t>
      </w:r>
      <w:r>
        <w:t xml:space="preserve">Across latitudinal gradients, warmer spring temperatures are associated with earlier leaf-out</w:t>
      </w:r>
      <w:r>
        <w:rPr>
          <w:vertAlign w:val="superscript"/>
        </w:rPr>
        <w:t xml:space="preserve">6</w:t>
      </w:r>
      <w:r>
        <w:t xml:space="preserve"> </w:t>
      </w:r>
      <w:r>
        <w:t xml:space="preserve">and longer growing seasons, which in turn are correlated with greater tree growth</w:t>
      </w:r>
      <w:r>
        <w:rPr>
          <w:vertAlign w:val="superscript"/>
        </w:rPr>
        <w:t xml:space="preserve">30</w:t>
      </w:r>
      <w:r>
        <w:t xml:space="preserve">, woody productivity</w:t>
      </w:r>
      <w:r>
        <w:rPr>
          <w:vertAlign w:val="superscript"/>
        </w:rPr>
        <w:t xml:space="preserve">48</w:t>
      </w:r>
      <w:r>
        <w:t xml:space="preserve">, and NEE</w:t>
      </w:r>
      <w:r>
        <w:rPr>
          <w:vertAlign w:val="superscript"/>
        </w:rPr>
        <w:t xml:space="preserve">49</w:t>
      </w:r>
      <w:r>
        <w:t xml:space="preserve">.</w:t>
      </w:r>
      <w:r>
        <w:t xml:space="preserve"> </w:t>
      </w:r>
      <w:r>
        <w:t xml:space="preserve">Thus, warming spring temperatures are likely to increase the biophysical potential for annual tree growth.</w:t>
      </w:r>
      <w:r>
        <w:t xml:space="preserve"> </w:t>
      </w:r>
      <w:r>
        <w:t xml:space="preserve">If extra photosynthate made available through a growing difference between GPP and</w:t>
      </w:r>
      <w:r>
        <w:t xml:space="preserve"> </w:t>
      </w:r>
      <m:oMath>
        <m:r>
          <m:t>A</m:t>
        </m:r>
        <m:r>
          <m:t>N</m:t>
        </m:r>
        <m:r>
          <m:t>P</m:t>
        </m:r>
        <m:sSub>
          <m:e>
            <m:r>
              <m:t>P</m:t>
            </m:r>
          </m:e>
          <m:sub>
            <m:r>
              <m:t>w</m:t>
            </m:r>
            <m:r>
              <m:t>o</m:t>
            </m:r>
            <m:r>
              <m:t>o</m:t>
            </m:r>
            <m:r>
              <m:t>d</m:t>
            </m:r>
            <m:r>
              <m:t>y</m:t>
            </m:r>
          </m:sub>
        </m:sSub>
      </m:oMath>
      <w:r>
        <w:t xml:space="preserve"> </w:t>
      </w:r>
      <w:r>
        <w:t xml:space="preserve">is allocated to functions that relieve limitations on woody growth – for example, by enhancing nutrient and water acquisition through enhanced allocation to roots</w:t>
      </w:r>
      <w:r>
        <w:rPr>
          <w:vertAlign w:val="superscript"/>
        </w:rPr>
        <w:t xml:space="preserve">35,50</w:t>
      </w:r>
      <w:r>
        <w:t xml:space="preserve"> </w:t>
      </w:r>
      <w:r>
        <w:t xml:space="preserve">– it is possible that warming spring temperatures could ultimately increase</w:t>
      </w:r>
      <w:r>
        <w:t xml:space="preserve"> </w:t>
      </w:r>
      <m:oMath>
        <m:r>
          <m:t>A</m:t>
        </m:r>
        <m:r>
          <m:t>N</m:t>
        </m:r>
        <m:r>
          <m:t>P</m:t>
        </m:r>
        <m:sSub>
          <m:e>
            <m:r>
              <m:t>P</m:t>
            </m:r>
          </m:e>
          <m:sub>
            <m:r>
              <m:t>w</m:t>
            </m:r>
            <m:r>
              <m:t>o</m:t>
            </m:r>
            <m:r>
              <m:t>o</m:t>
            </m:r>
            <m:r>
              <m:t>d</m:t>
            </m:r>
            <m:r>
              <m:t>y</m:t>
            </m:r>
          </m:sub>
        </m:sSub>
      </m:oMath>
      <w:r>
        <w:t xml:space="preserve"> </w:t>
      </w:r>
      <w:r>
        <w:t xml:space="preserve">through indirect mechanisms.</w:t>
      </w:r>
      <w:r>
        <w:t xml:space="preserve"> </w:t>
      </w:r>
      <w:r>
        <w:t xml:space="preserve">Understanding how warming spring temperatures are influencing C allocation within ecosystems remains an important outstanding question.</w:t>
      </w:r>
    </w:p>
    <w:p>
      <w:pPr>
        <w:pStyle w:val="BodyText"/>
      </w:pPr>
      <w:r>
        <w:t xml:space="preserve">Regardless of the influence of spring temperatures on C cycling within the ecosystem, our results clearly demonstrate that the dominant effects of temperature on deciduous tree growth occur not in the spring, but during the peak growing season, when increased atmospheric demand associated with high temperatures limits growth</w:t>
      </w:r>
      <w:r>
        <w:rPr>
          <w:vertAlign w:val="superscript"/>
        </w:rPr>
        <w:t xml:space="preserve">25,32,34,51</w:t>
      </w:r>
      <w:r>
        <w:t xml:space="preserve">.</w:t>
      </w:r>
      <w:r>
        <w:t xml:space="preserve"> </w:t>
      </w:r>
      <w:r>
        <w:t xml:space="preserve">Indeed, the timing of peak growth in June and July (Extended Data Table 2, Extended Data Figure 2) coincides with the timing of the greatest sensitivity of annual growth to</w:t>
      </w:r>
      <w:r>
        <w:t xml:space="preserve"> </w:t>
      </w:r>
      <m:oMath>
        <m:sSub>
          <m:e>
            <m:r>
              <m:t>T</m:t>
            </m:r>
          </m:e>
          <m:sub>
            <m:r>
              <m:t>m</m:t>
            </m:r>
            <m:r>
              <m:t>a</m:t>
            </m:r>
            <m:r>
              <m:t>x</m:t>
            </m:r>
          </m:sub>
        </m:sSub>
      </m:oMath>
      <w:r>
        <w:t xml:space="preserve"> </w:t>
      </w:r>
      <w:r>
        <w:t xml:space="preserve">(Fig. 3, Extended Data Table 3).</w:t>
      </w:r>
      <w:r>
        <w:t xml:space="preserve"> </w:t>
      </w:r>
      <w:r>
        <w:t xml:space="preserve">This finding is consistent with numerous tree-ring studies demonstrating strong sensitivity of growth to drought stress or high temperatures during the peak growing season</w:t>
      </w:r>
      <w:r>
        <w:rPr>
          <w:vertAlign w:val="superscript"/>
        </w:rPr>
        <w:t xml:space="preserve">29,30,36,37</w:t>
      </w:r>
      <w:r>
        <w:t xml:space="preserve">.</w:t>
      </w:r>
      <w:r>
        <w:t xml:space="preserve"> </w:t>
      </w:r>
      <w:r>
        <w:t xml:space="preserve"> </w:t>
      </w:r>
      <w:r>
        <w:t xml:space="preserve">Warm springs may also amplify summer drought stress in some times and places, effectively canceling out any positive effects of an extended growing period</w:t>
      </w:r>
      <w:r>
        <w:rPr>
          <w:vertAlign w:val="superscript"/>
        </w:rPr>
        <w:t xml:space="preserve">3,52,53</w:t>
      </w:r>
      <w:r>
        <w:t xml:space="preserve">.</w:t>
      </w:r>
      <w:r>
        <w:t xml:space="preserve"> </w:t>
      </w:r>
      <w:r>
        <w:t xml:space="preserve">While such an interaction was unlikely to have played a major role within the scope of our dendrometer band study, given relatively mesic conditions and lack of significant correlation between spring temperatures and summer drought stress (see Methods), our tree-ring analysis does reveal a higher frequency of negative than positive correlations of annual growth to spring temperatures, particularly for ring porous species in cooler climates (Fig. 3, Extended Data Table 3).</w:t>
      </w:r>
      <w:r>
        <w:t xml:space="preserve"> </w:t>
      </w:r>
      <w:r>
        <w:t xml:space="preserve">Thus, warm springs can have a net negative effect on growth, particularly when water is limiting</w:t>
      </w:r>
      <w:r>
        <w:rPr>
          <w:vertAlign w:val="superscript"/>
        </w:rPr>
        <w:t xml:space="preserve">31</w:t>
      </w:r>
      <w:r>
        <w:t xml:space="preserve">.</w:t>
      </w:r>
    </w:p>
    <w:p>
      <w:pPr>
        <w:pStyle w:val="BodyText"/>
      </w:pPr>
      <w:r>
        <w:t xml:space="preserve">As spring temperatures become increasingly warmer, growing seasons will start earlier.</w:t>
      </w:r>
      <w:r>
        <w:t xml:space="preserve"> </w:t>
      </w:r>
      <w:r>
        <w:t xml:space="preserve">However, barring rapid acclimation of temperate deciduous forests to the warming conditions, advancement in the timing of stem growth (Fig. 1) is unlikely to provide the sustained increase in CO</w:t>
      </w:r>
      <w:r>
        <w:rPr>
          <w:vertAlign w:val="subscript"/>
        </w:rPr>
        <w:t xml:space="preserve">2</w:t>
      </w:r>
      <w:r>
        <w:t xml:space="preserve"> </w:t>
      </w:r>
      <w:r>
        <w:t xml:space="preserve">sequestration in woody biomass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(Fig. 3),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54</w:t>
      </w:r>
      <w:r>
        <w:t xml:space="preserve"> </w:t>
      </w:r>
      <w:r>
        <w:t xml:space="preserve">and Harvard Forest</w:t>
      </w:r>
      <w:r>
        <w:rPr>
          <w:vertAlign w:val="superscript"/>
        </w:rPr>
        <w:t xml:space="preserve">4,39</w:t>
      </w:r>
      <w:r>
        <w:t xml:space="preserve">, both part of the Forest Global Earth Observatory (ForestGEO)</w:t>
      </w:r>
      <w:r>
        <w:rPr>
          <w:vertAlign w:val="superscript"/>
        </w:rPr>
        <w:t xml:space="preserve">55,56</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54</w:t>
      </w:r>
      <w:r>
        <w:t xml:space="preserve">.</w:t>
      </w:r>
      <w:r>
        <w:t xml:space="preserve"> </w:t>
      </w:r>
      <w:r>
        <w:t xml:space="preserve">Dominant canopy species within the 25.6 ha ForestGEO plot include tulip poplar (</w:t>
      </w:r>
      <w:r>
        <w:rPr>
          <w:iCs/>
          <w:i/>
        </w:rPr>
        <w:t xml:space="preserve">Liriodendron tulipifera</w:t>
      </w:r>
      <w:r>
        <w:t xml:space="preserve"> </w:t>
      </w:r>
      <w:r>
        <w:t xml:space="preserve">L.), oaks (</w:t>
      </w:r>
      <w:r>
        <w:rPr>
          <w:iCs/>
          <w:i/>
        </w:rPr>
        <w:t xml:space="preserve">Quercus spp.</w:t>
      </w:r>
      <w:r>
        <w:t xml:space="preserve">), and hickories (</w:t>
      </w:r>
      <w:r>
        <w:rPr>
          <w:iCs/>
          <w:i/>
        </w:rPr>
        <w:t xml:space="preserve">Carya spp.</w:t>
      </w:r>
      <w:r>
        <w:t xml:space="preserve">)</w:t>
      </w:r>
      <w:r>
        <w:rPr>
          <w:vertAlign w:val="superscript"/>
        </w:rPr>
        <w:t xml:space="preserve">37</w:t>
      </w:r>
      <w:r>
        <w:t xml:space="preserve">.</w:t>
      </w:r>
      <w:r>
        <w:t xml:space="preserve"> </w:t>
      </w:r>
      <w:r>
        <w:t xml:space="preserve">The climate is humid temperate, with 1950-2019 mean annual precipitation of 1018 mm and temperatures averaging 1°C in January and 24°C in July</w:t>
      </w:r>
      <w:r>
        <w:rPr>
          <w:vertAlign w:val="superscript"/>
        </w:rPr>
        <w:t xml:space="preserve">30</w:t>
      </w:r>
      <w:r>
        <w:t xml:space="preserve">.</w:t>
      </w:r>
      <w:r>
        <w:t xml:space="preserve"> </w:t>
      </w:r>
      <w:r>
        <w:t xml:space="preserve">Within the study period for the dendrometer band analysis (2011-2020), …</w:t>
      </w:r>
      <w:r>
        <w:rPr>
          <w:iCs/>
          <w:i/>
        </w:rPr>
        <w:t xml:space="preserve">[some stats on climate]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w:t>
      </w:r>
      <w:r>
        <w:t xml:space="preserve">(L.) Carrière), oak (</w:t>
      </w:r>
      <w:r>
        <w:rPr>
          <w:iCs/>
          <w:i/>
        </w:rPr>
        <w:t xml:space="preserve">Quercus spp.</w:t>
      </w:r>
      <w:r>
        <w:t xml:space="preserve">) and red maple (</w:t>
      </w:r>
      <w:r>
        <w:rPr>
          <w:iCs/>
          <w:i/>
        </w:rPr>
        <w:t xml:space="preserve">Acer rubrum</w:t>
      </w:r>
      <w:r>
        <w:t xml:space="preserve"> </w:t>
      </w:r>
      <w:r>
        <w:t xml:space="preserve">L.).</w:t>
      </w:r>
      <w:r>
        <w:t xml:space="preserve"> </w:t>
      </w:r>
      <w:r>
        <w:t xml:space="preserve">The climate is temperate continental, with 1950-2019 mean annual precipitation of 1104 mm and temperatures averaging -5° C in January and 22° C in July</w:t>
      </w:r>
      <w:r>
        <w:rPr>
          <w:vertAlign w:val="superscript"/>
        </w:rPr>
        <w:t xml:space="preserve">30</w:t>
      </w:r>
      <w:r>
        <w:t xml:space="preserve">.</w:t>
      </w:r>
      <w:r>
        <w:t xml:space="preserve"> </w:t>
      </w:r>
      <w:r>
        <w:t xml:space="preserve">Within the study period for the dendrometer band analysis (1999-2003), …</w:t>
      </w:r>
      <w:r>
        <w:rPr>
          <w:iCs/>
          <w:i/>
        </w:rPr>
        <w:t xml:space="preserve">[some stats on climate]</w:t>
      </w:r>
      <w:r>
        <w:t xml:space="preserve"> </w:t>
      </w:r>
      <w:r>
        <w:t xml:space="preserve">The summer of 1999 was abnormally dry, with precipitation of only 52 mm mo</w:t>
      </w:r>
      <w:r>
        <w:rPr>
          <w:vertAlign w:val="superscript"/>
        </w:rPr>
        <w:t xml:space="preserve">-1</w:t>
      </w:r>
      <w:r>
        <w:t xml:space="preserve"> </w:t>
      </w:r>
      <w:r>
        <w:t xml:space="preserve">in June-August compared to average monthly precipitation of 100+ mm</w:t>
      </w:r>
      <w:r>
        <w:rPr>
          <w:vertAlign w:val="superscript"/>
        </w:rPr>
        <w:t xml:space="preserve">39</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 porous species at SCBI and eight diffuse- and three ring porous species at Harvard Forest (Extended Data Table 1).</w:t>
      </w:r>
      <w:r>
        <w:t xml:space="preserve"> </w:t>
      </w:r>
      <w:r>
        <w:t xml:space="preserve">While we do not estimate the ages of trees in our sample, bands at both sites were placed on individuals of differing sizes in an attempt to measure trees across a range of ages.</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from the census (e.g., because of tree mortality).</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2210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forward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rPr>
          <w:iCs/>
          <w:i/>
        </w:rPr>
        <w:t xml:space="preserve">Timing of measurements at Harvard Forest were similar, with the median start date of April 23 and median end date of October 30.</w:t>
      </w:r>
      <w:r>
        <w:t xml:space="preserve"> </w:t>
      </w:r>
      <w:r>
        <w:t xml:space="preserve"> </w:t>
      </w:r>
      <w:r>
        <w:t xml:space="preserve">All measurements from 1998 were dropped because of a late start date (May 26).</w:t>
      </w:r>
      <w:r>
        <w:t xml:space="preserve"> </w:t>
      </w:r>
      <w:r>
        <w:rPr>
          <w:iCs/>
          <w:i/>
        </w:rPr>
        <w:t xml:space="preserve">1999 was an anomalous year where initial measurements were taken on January 5, but not taken again until April 15.</w:t>
      </w:r>
      <w:r>
        <w:t xml:space="preserve"> </w:t>
      </w:r>
      <w:r>
        <w:t xml:space="preserve"> </w:t>
      </w:r>
      <w:r>
        <w:t xml:space="preserve">The latest end date was November 11, 2002.</w:t>
      </w:r>
      <w:r>
        <w:t xml:space="preserve"> </w:t>
      </w:r>
      <w:r>
        <w:t xml:space="preserve">In our analysis, each band-year was treated independently, with no data overlap from one year to the next.</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w:t>
      </w:r>
      <w:r>
        <w:t xml:space="preserve"> </w:t>
      </w:r>
      <w:r>
        <w:t xml:space="preserve">In these cases, the full annual record for the tree was removed.</w:t>
      </w:r>
      <w:r>
        <w:t xml:space="preserve"> </w:t>
      </w:r>
      <w:r>
        <w:t xml:space="preserve">Third, data points that deviated substantially from normal growth patterns, but for unknown causes, were removed.</w:t>
      </w:r>
      <w:r>
        <w:t xml:space="preserve"> </w:t>
      </w:r>
      <w:r>
        <w:t xml:space="preserve">If a majority of the data points fell into this class within a tree-year, the entire year was removed from the analysis.</w:t>
      </w:r>
      <w:r>
        <w:t xml:space="preserve"> </w:t>
      </w:r>
      <w:r>
        <w:t xml:space="preserve">We also removed tree-years with small or negligible total growth (</w:t>
      </w:r>
      <m:oMath>
        <m:r>
          <m:t>Δ</m:t>
        </m:r>
        <m:r>
          <m:t>D</m:t>
        </m:r>
        <m:r>
          <m:t>B</m:t>
        </m:r>
        <m:r>
          <m:t>H</m:t>
        </m:r>
      </m:oMath>
      <w:r>
        <w:t xml:space="preserve"> </w:t>
      </w:r>
      <m:oMath>
        <m:r>
          <m:rPr>
            <m:sty m:val="p"/>
          </m:rPr>
          <m:t>≤</m:t>
        </m:r>
        <m:r>
          <m:t>0.05</m:t>
        </m:r>
      </m:oMath>
      <w:r>
        <w:t xml:space="preserve"> </w:t>
      </w:r>
      <w:r>
        <w:t xml:space="preserve">mm; SCBI = 26, Harvard Forest = 253), and tree-years where first intraannual measurement was later than the first spring survey (trees that were missed in the initial census; SCBI = 22, Harvard Forest = 8).</w:t>
      </w:r>
      <w:r>
        <w:t xml:space="preserve"> </w:t>
      </w:r>
      <w:r>
        <w:t xml:space="preserve">These were removed because they reduce the reliability of predicted growth in the modeled curves.</w:t>
      </w:r>
    </w:p>
    <w:p>
      <w:pPr>
        <w:pStyle w:val="BodyText"/>
      </w:pPr>
      <w:r>
        <w:t xml:space="preserve">We fit a five-parameter logistic growth model</w:t>
      </w:r>
      <w:r>
        <w:rPr>
          <w:vertAlign w:val="superscript"/>
        </w:rPr>
        <w:t xml:space="preserve">38</w:t>
      </w:r>
      <w:r>
        <w:t xml:space="preserve"> </w:t>
      </w:r>
      <w:r>
        <w:t xml:space="preserve">to dendrometer band data from each tree-year to define stem growth milestones and growth rates (Fig. 1).</w:t>
      </w:r>
      <w:r>
        <w:t xml:space="preserve"> </w:t>
      </w:r>
      <w:r>
        <w:t xml:space="preserve">In particular, we model the observed diameter at breast height (DBH) on a given day of the year (DOY;</w:t>
      </w:r>
      <w:r>
        <w:t xml:space="preserve"> </w:t>
      </w:r>
      <w:r>
        <w:rPr>
          <w:iCs/>
          <w:i/>
        </w:rPr>
        <w:t xml:space="preserve">i.e.</w:t>
      </w:r>
      <w:r>
        <w:t xml:space="preserv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t xml:space="preserve">shapes the slope of the curve at the inflection point,</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t xml:space="preserve">This allows an asymmetric fit to the data, where the onset of growth can be estimated independent of the cessation of growth.</w:t>
      </w:r>
      <w:r>
        <w:t xml:space="preserve"> </w:t>
      </w:r>
      <w:r>
        <w:t xml:space="preserve">When</w:t>
      </w:r>
      <w:r>
        <w:t xml:space="preserve"> </w:t>
      </w:r>
      <m:oMath>
        <m:r>
          <m:t>θ</m:t>
        </m:r>
        <m:r>
          <m:rPr>
            <m:sty m:val="p"/>
          </m:rPr>
          <m:t>=</m:t>
        </m:r>
        <m:r>
          <m:t>1</m:t>
        </m:r>
      </m:oMath>
      <w:r>
        <w:t xml:space="preserve">,</w:t>
      </w:r>
      <w:r>
        <w:t xml:space="preserve"> </w:t>
      </w:r>
      <m:oMath>
        <m:sSub>
          <m:e>
            <m:r>
              <m:t>g</m:t>
            </m:r>
          </m:e>
          <m:sub>
            <m:r>
              <m:t>m</m:t>
            </m:r>
            <m:r>
              <m:t>a</m:t>
            </m:r>
            <m:r>
              <m:t>x</m:t>
            </m:r>
          </m:sub>
        </m:sSub>
      </m:oMath>
      <w:r>
        <w:t xml:space="preserve"> </w:t>
      </w:r>
      <w:r>
        <w:t xml:space="preserve">occurs on</w:t>
      </w:r>
      <w:r>
        <w:t xml:space="preserve"> </w:t>
      </w:r>
      <m:oMath>
        <m:r>
          <m:t>D</m:t>
        </m:r>
        <m:r>
          <m:t>O</m:t>
        </m:r>
        <m:sSub>
          <m:e>
            <m:r>
              <m:t>Y</m:t>
            </m:r>
          </m:e>
          <m:sub>
            <m:r>
              <m:t>i</m:t>
            </m:r>
            <m:r>
              <m:t>p</m:t>
            </m:r>
          </m:sub>
        </m:sSub>
      </m:oMath>
      <w:r>
        <w:t xml:space="preserve">.</w:t>
      </w:r>
      <w:r>
        <w:t xml:space="preserve"> </w:t>
      </w:r>
      <w:r>
        <w:t xml:space="preserve">The model outputs two additional variables,</w:t>
      </w:r>
      <w:r>
        <w:t xml:space="preserve"> </w:t>
      </w:r>
      <m:oMath>
        <m:r>
          <m:t>a</m:t>
        </m:r>
      </m:oMath>
      <w:r>
        <w:t xml:space="preserve"> </w:t>
      </w:r>
      <w:r>
        <w:t xml:space="preserve">and</w:t>
      </w:r>
      <w:r>
        <w:t xml:space="preserve"> </w:t>
      </w:r>
      <m:oMath>
        <m:r>
          <m:t>b</m:t>
        </m:r>
      </m:oMath>
      <w:r>
        <w:t xml:space="preserve">, which represent the beginning and end DBH in each model year.</w:t>
      </w:r>
      <w:r>
        <w:t xml:space="preserve"> </w:t>
      </w:r>
      <w:r>
        <w:t xml:space="preserve">We used the first and last manual dendrometer band measurements as starting points to calculate these two variables.</w:t>
      </w:r>
      <w:r>
        <w:t xml:space="preserve"> </w:t>
      </w:r>
      <w:r>
        <w:t xml:space="preserve">With this method, initial measurements too late in the growing season which miss the start of the growing season can cause incorrect estimations of</w:t>
      </w:r>
      <w:r>
        <w:t xml:space="preserve"> </w:t>
      </w:r>
      <m:oMath>
        <m:r>
          <m:t>a</m:t>
        </m:r>
      </m:oMath>
      <w:r>
        <w:t xml:space="preserve"> </w:t>
      </w:r>
      <w:r>
        <w:t xml:space="preserve">and</w:t>
      </w:r>
      <w:r>
        <w:t xml:space="preserve"> </w:t>
      </w:r>
      <m:oMath>
        <m:r>
          <m:t>b</m:t>
        </m:r>
      </m:oMath>
      <w:r>
        <w:t xml:space="preserve">.</w:t>
      </w:r>
      <w:r>
        <w:t xml:space="preserve"> </w:t>
      </w:r>
      <w:r>
        <w:t xml:space="preserve">The 1998 survey at Harvard Forest recorded first measurements on May 26, which is less than 2 weeks away from the average DOY25 at this site.</w:t>
      </w:r>
      <w:r>
        <w:t xml:space="preserve"> </w:t>
      </w:r>
      <w:r>
        <w:t xml:space="preserve">This late start made the calculation of timing and total growth variables unreliable, so we removed tree years in 1998 from our analysis.</w:t>
      </w:r>
      <w:r>
        <w:t xml:space="preserve"> </w:t>
      </w:r>
      <w:r>
        <w:t xml:space="preserve">The model was fit in R v4.0 using the functions developed in the</w:t>
      </w:r>
      <w:r>
        <w:t xml:space="preserve"> </w:t>
      </w:r>
      <w:r>
        <w:rPr>
          <w:iCs/>
          <w:i/>
        </w:rPr>
        <w:t xml:space="preserve">Rdendrom</w:t>
      </w:r>
      <w:r>
        <w:t xml:space="preserve"> </w:t>
      </w:r>
      <w:r>
        <w:t xml:space="preserve">package</w:t>
      </w:r>
      <w:r>
        <w:rPr>
          <w:vertAlign w:val="superscript"/>
        </w:rPr>
        <w:t xml:space="preserve">38</w:t>
      </w:r>
      <w:r>
        <w:t xml:space="preserve">.</w:t>
      </w:r>
      <w:r>
        <w:t xml:space="preserve"> </w:t>
      </w:r>
      <w:r>
        <w:t xml:space="preserve">These functions take the time-series of manual dendrometer band measurements and return maximum-likelihood optimized values of the above five parameters that best predict DBH for each day of year.</w:t>
      </w:r>
      <w:r>
        <w:t xml:space="preserve"> </w:t>
      </w:r>
      <w:r>
        <w:t xml:space="preserve">An advantage of this approach is that short-term shrinkage and swelling associated with rain events</w:t>
      </w:r>
      <w:r>
        <w:rPr>
          <w:vertAlign w:val="superscript"/>
        </w:rPr>
        <w:t xml:space="preserve">38,57</w:t>
      </w:r>
      <w:r>
        <w:t xml:space="preserve"> </w:t>
      </w:r>
      <w:r>
        <w:t xml:space="preserve">and measurement errors show up as residual variation and do not unduly influence the parameters of interest.</w:t>
      </w:r>
      <w:r>
        <w:t xml:space="preserve"> </w:t>
      </w:r>
      <w:r>
        <w:t xml:space="preserve">Having fit the model for each band-year of data, we then modeled DBH using these optimal parameter values in our logistic growth model and extracted the intra-annual growth variables of interest (Fig. 1).</w:t>
      </w:r>
    </w:p>
    <w:p>
      <w:pPr>
        <w:pStyle w:val="BodyText"/>
      </w:pPr>
      <w:r>
        <w:t xml:space="preserve">After fitting the growth model, we removed tree-years with poor fits.</w:t>
      </w:r>
      <w:r>
        <w:t xml:space="preserve"> </w:t>
      </w:r>
      <w:r>
        <w:t xml:space="preserve">Models were judged to be poorly fit if modeled growth parameters were outliers, which were commonly indicative of unrealistic fits (e.g., growth occurring outside the growing season or over a very short period) and underlain by very slow tree growth or poor data records.</w:t>
      </w:r>
      <w:r>
        <w:t xml:space="preserve"> </w:t>
      </w:r>
      <w:r>
        <w:t xml:space="preserve">Modeled fits for tree-years were removed under two conditions:</w:t>
      </w:r>
      <w:r>
        <w:t xml:space="preserve"> </w:t>
      </w:r>
      <w:r>
        <w:t xml:space="preserve">(1)</w:t>
      </w:r>
      <w:r>
        <w:t xml:space="preserve"> </w:t>
      </w:r>
      <m:oMath>
        <m:sSub>
          <m:e>
            <m:r>
              <m:t>g</m:t>
            </m:r>
          </m:e>
          <m:sub>
            <m:r>
              <m:t>m</m:t>
            </m:r>
            <m:r>
              <m:t>a</m:t>
            </m:r>
            <m:r>
              <m:t>x</m:t>
            </m:r>
          </m:sub>
        </m:sSub>
      </m:oMath>
      <w:r>
        <w:t xml:space="preserve"> </w:t>
      </w:r>
      <w:r>
        <w:t xml:space="preserve">was</w:t>
      </w:r>
      <w:r>
        <w:t xml:space="preserve"> </w:t>
      </w:r>
      <m:oMath>
        <m:r>
          <m:rPr>
            <m:sty m:val="p"/>
          </m:rPr>
          <m:t>≥</m:t>
        </m:r>
        <m:r>
          <m:t>2.5</m:t>
        </m:r>
      </m:oMath>
      <w:r>
        <w:t xml:space="preserve"> </w:t>
      </w:r>
      <w:r>
        <w:t xml:space="preserve">standard deviations away from the mean for each site-xylem architecture group combination (SCBI = 3, Harvard Forest = 11);</w:t>
      </w:r>
      <w:r>
        <w:br/>
      </w:r>
      <w:r>
        <w:t xml:space="preserve">(2) timing variables (</w:t>
      </w:r>
      <m:oMath>
        <m:r>
          <m:t>D</m:t>
        </m:r>
        <m:r>
          <m:t>O</m:t>
        </m:r>
        <m:sSub>
          <m:e>
            <m:r>
              <m:t>Y</m:t>
            </m:r>
          </m:e>
          <m:sub>
            <m:r>
              <m:t>i</m:t>
            </m:r>
            <m:r>
              <m:t>p</m:t>
            </m:r>
          </m:sub>
        </m:sSub>
      </m:oMath>
      <w:r>
        <w:t xml:space="preserve">,</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were</w:t>
      </w:r>
      <w:r>
        <w:t xml:space="preserve"> </w:t>
      </w:r>
      <m:oMath>
        <m:r>
          <m:rPr>
            <m:sty m:val="p"/>
          </m:rPr>
          <m:t>≥</m:t>
        </m:r>
        <m:r>
          <m:t>2.5</m:t>
        </m:r>
      </m:oMath>
      <w:r>
        <w:t xml:space="preserve"> </w:t>
      </w:r>
      <w:r>
        <w:t xml:space="preserve">standard deviations away from the means for their site, xylem architecture group, and year (SCBI = 74, Harvard Forest = 101).</w:t>
      </w:r>
      <w:r>
        <w:t xml:space="preserve"> </w:t>
      </w:r>
      <w:r>
        <w:t xml:space="preserve">At both sites the tree-years removed through this method were proportional to the original sample size, indicating that no species or size class was disproportionately removed compared to others.</w:t>
      </w:r>
      <w:r>
        <w:t xml:space="preserve"> </w:t>
      </w:r>
      <w:r>
        <w:t xml:space="preserve">This process was repeated using 2 and 3 standard deviations as the cutoff for defining outliers, yielding qualitatively similar results.</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58</w:t>
      </w:r>
      <w:r>
        <w:t xml:space="preserve"> </w:t>
      </w:r>
      <w:r>
        <w:t xml:space="preserve">via Google Earth Engine.</w:t>
      </w:r>
      <w:r>
        <w:t xml:space="preserve"> </w:t>
      </w:r>
      <w:r>
        <w:t xml:space="preserve">For each year at each site, we extracted data from the pixel containing the center of each forest plot (resolution of 500m).</w:t>
      </w:r>
      <w:r>
        <w:t xml:space="preserve"> </w:t>
      </w:r>
      <w:r>
        <w:t xml:space="preserve">Using the daily MODIS 2-band Enhanced Vegetation Index data (EVI2), the product yields the timing of phenometrics (vegetation phenology) over each year, including timing of greenup, midgreenup, peak, and senescence as used in this study.</w:t>
      </w:r>
      <w:r>
        <w:t xml:space="preserve"> </w:t>
      </w:r>
      <w:r>
        <w:t xml:space="preserve">Data points were included in the analysis if they were flagged as</w:t>
      </w:r>
      <w:r>
        <w:t xml:space="preserve"> </w:t>
      </w:r>
      <w:r>
        <w:t xml:space="preserve">“</w:t>
      </w:r>
      <w:r>
        <w:t xml:space="preserve">good</w:t>
      </w:r>
      <w:r>
        <w:t xml:space="preserve">”</w:t>
      </w:r>
      <w:r>
        <w:t xml:space="preserve"> </w:t>
      </w:r>
      <w:r>
        <w:t xml:space="preserve">or</w:t>
      </w:r>
      <w:r>
        <w:t xml:space="preserve"> </w:t>
      </w:r>
      <w:r>
        <w:t xml:space="preserve">“</w:t>
      </w:r>
      <w:r>
        <w:t xml:space="preserve">best</w:t>
      </w:r>
      <w:r>
        <w:t xml:space="preserve">”</w:t>
      </w:r>
      <w:r>
        <w:t xml:space="preserve"> </w:t>
      </w:r>
      <w:r>
        <w:t xml:space="preserve">quality.</w:t>
      </w:r>
    </w:p>
    <w:p>
      <w:pPr>
        <w:pStyle w:val="BodyText"/>
      </w:pPr>
      <w:r>
        <w:t xml:space="preserve">For the dendrometer band and leaf phenology analyses, climate data corresponding to the measurement periods were obtained from local weather stations at each focal site.</w:t>
      </w:r>
      <w:r>
        <w:t xml:space="preserve"> </w:t>
      </w:r>
      <w:r>
        <w:t xml:space="preserve">For SCBI, weather data were obtained from a meteorological tower adjacent to the ForestGEO plot, via the ForestGEO Climate Data Portal v1.0 (</w:t>
      </w:r>
      <w:hyperlink r:id="rId27">
        <w:r>
          <w:rPr>
            <w:rStyle w:val="Hyperlink"/>
          </w:rPr>
          <w:t xml:space="preserve">https://forestgeo.github.io/Climate/</w:t>
        </w:r>
      </w:hyperlink>
      <w:r>
        <w:t xml:space="preserve">)</w:t>
      </w:r>
      <w:r>
        <w:rPr>
          <w:vertAlign w:val="superscript"/>
        </w:rPr>
        <w:t xml:space="preserve">59</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60</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Daily temperature records for Harvard Forest, which had already been gap-filled based on other local records, were obtained from the Harvard Forest weather station</w:t>
      </w:r>
      <w:r>
        <w:rPr>
          <w:vertAlign w:val="superscript"/>
        </w:rPr>
        <w:t xml:space="preserve">61,62</w:t>
      </w:r>
      <w:r>
        <w:t xml:space="preserve">.</w:t>
      </w:r>
      <w:r>
        <w:t xml:space="preserve"> </w:t>
      </w:r>
      <w:r>
        <w:t xml:space="preserve">For each site, we used records of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p>
    <w:p>
      <w:pPr>
        <w:pStyle w:val="BodyText"/>
      </w:pPr>
      <w:r>
        <w:t xml:space="preserve">The critical temperature window (CTW,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63</w:t>
      </w:r>
      <w:r>
        <w:t xml:space="preserve">.</w:t>
      </w:r>
      <w:r>
        <w:t xml:space="preserve"> </w:t>
      </w:r>
      <w:r>
        <w:t xml:space="preserve">This package tests the correlation between one or more predictor climate variable and a biological outcome variable over all consecutive time windows within a specified time-frame.</w:t>
      </w:r>
      <w:r>
        <w:t xml:space="preserve"> </w:t>
      </w:r>
      <w:r>
        <w:t xml:space="preserve">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w:t>
      </w:r>
      <w:r>
        <w:t xml:space="preserve"> </w:t>
      </w:r>
      <w:r>
        <w:t xml:space="preserve">The time period yielding the lowest</w:t>
      </w:r>
      <w:r>
        <w:t xml:space="preserve"> </w:t>
      </w:r>
      <m:oMath>
        <m:r>
          <m:t>Δ</m:t>
        </m:r>
        <m:r>
          <m:t>A</m:t>
        </m:r>
        <m:r>
          <m:t>I</m:t>
        </m:r>
        <m:r>
          <m:t>C</m:t>
        </m:r>
        <m:r>
          <m:t>c</m:t>
        </m:r>
      </m:oMath>
      <w:r>
        <w:t xml:space="preserve"> </w:t>
      </w:r>
      <w:r>
        <w:t xml:space="preserve">was selected as the CTW.</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defined CTW for</w:t>
      </w:r>
      <w:r>
        <w:t xml:space="preserve"> </w:t>
      </w:r>
      <m:oMath>
        <m:r>
          <m:t>D</m:t>
        </m:r>
        <m:r>
          <m:t>O</m:t>
        </m:r>
        <m:sSub>
          <m:e>
            <m:r>
              <m:t>Y</m:t>
            </m:r>
          </m:e>
          <m:sub>
            <m:r>
              <m:t>25</m:t>
            </m:r>
          </m:sub>
        </m:sSub>
      </m:oMath>
      <w:r>
        <w:t xml:space="preserve">, as opposed to other parameters describing the timing of growth, because spring temperatures should have the most direct influence on this variable.</w:t>
      </w:r>
    </w:p>
    <w:p>
      <w:pPr>
        <w:pStyle w:val="BodyText"/>
      </w:pPr>
      <w:r>
        <w:t xml:space="preserve">To ensure that patterns were robust under an alternative definition of CTW, and to parallel the monthly time windows used in our tree-ring analysis (detailed below; Fig. 3, Extended Data Figure 6-7), we also ran analyses where we fixed the CTW identified by</w:t>
      </w:r>
      <w:r>
        <w:t xml:space="preserve"> </w:t>
      </w:r>
      <w:r>
        <w:rPr>
          <w:iCs/>
          <w:i/>
        </w:rPr>
        <w:t xml:space="preserve">climwin</w:t>
      </w:r>
      <w:r>
        <w:t xml:space="preserve"> </w:t>
      </w:r>
      <w:r>
        <w:t xml:space="preserve">to be the month with the most days in the CTW (Extended Data Table 2) each critical window.</w:t>
      </w:r>
      <w:r>
        <w:t xml:space="preserve"> </w:t>
      </w:r>
      <w:r>
        <w:t xml:space="preserve">The months identified were March and April for ring- and diffuse-porous species at SCBI, respectively, and April and May for ring- and diffuse-porous species at Harvard Forest, respectively.</w:t>
      </w:r>
    </w:p>
    <w:p>
      <w:pPr>
        <w:pStyle w:val="BodyText"/>
      </w:pPr>
      <w:r>
        <w:t xml:space="preserve">Correlation between the dendrometer 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parameters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CTW, along with random effects of species and of individual tree.</w:t>
      </w:r>
      <w:r>
        <w:t xml:space="preserve"> </w:t>
      </w:r>
      <w:r>
        <w:t xml:space="preserve">We ran separate models for each site, and for the response of all growth parameters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64,65</w:t>
      </w:r>
      <w:r>
        <w:t xml:space="preserve">.</w:t>
      </w:r>
      <w:r>
        <w:t xml:space="preserve"> </w:t>
      </w:r>
      <w:r>
        <w:t xml:space="preserve">In all cases unless otherwise specified, all prior distributions are set to be the weakly informative defaults.</w:t>
      </w:r>
      <w:r>
        <w:t xml:space="preserve"> </w:t>
      </w:r>
    </w:p>
    <w:p>
      <w:pPr>
        <w:pStyle w:val="BodyText"/>
      </w:pPr>
      <w:r>
        <w:t xml:space="preserve">To rule out the possibility that observed patterns were strongly influenced by summer drought, we examined the relationship between spring temperatures and summer Standardized Precipitation Evapotranspiration Index (SPEI)</w:t>
      </w:r>
      <w:r>
        <w:rPr>
          <w:vertAlign w:val="superscript"/>
        </w:rPr>
        <w:t xml:space="preserve">66</w:t>
      </w:r>
      <w:r>
        <w:t xml:space="preserve">.</w:t>
      </w:r>
      <w:r>
        <w:t xml:space="preserve"> </w:t>
      </w:r>
      <w:r>
        <w:t xml:space="preserve">The latter was obtained from the ForestGEO Climate Data Portal v1.0 (</w:t>
      </w:r>
      <w:hyperlink r:id="rId27">
        <w:r>
          <w:rPr>
            <w:rStyle w:val="Hyperlink"/>
          </w:rPr>
          <w:t xml:space="preserve">https://forestgeo.github.io/Climate/</w:t>
        </w:r>
      </w:hyperlink>
      <w:r>
        <w:t xml:space="preserve">)</w:t>
      </w:r>
      <w:r>
        <w:rPr>
          <w:vertAlign w:val="superscript"/>
        </w:rPr>
        <w:t xml:space="preserve">59,67,68</w:t>
      </w:r>
      <w:r>
        <w:t xml:space="preserve">.</w:t>
      </w:r>
      <w:r>
        <w:t xml:space="preserve"> </w:t>
      </w:r>
      <w:r>
        <w:t xml:space="preserve">Linear models were run with 4-, 6-, and 12-month SPEI values of June, July, and August vs April</w:t>
      </w:r>
      <w:r>
        <w:t xml:space="preserve"> </w:t>
      </w:r>
      <m:oMath>
        <m:sSub>
          <m:e>
            <m:r>
              <m:t>T</m:t>
            </m:r>
          </m:e>
          <m:sub>
            <m:r>
              <m:t>m</m:t>
            </m:r>
            <m:r>
              <m:t>a</m:t>
            </m:r>
            <m:r>
              <m:t>x</m:t>
            </m:r>
          </m:sub>
        </m:sSub>
      </m:oMath>
      <w:r>
        <w:t xml:space="preserve"> </w:t>
      </w:r>
      <w:r>
        <w:t xml:space="preserve">to determine if warm spring temperatures were associated with greater summer drought stress in our data set.</w:t>
      </w:r>
      <w:r>
        <w:t xml:space="preserve"> </w:t>
      </w:r>
      <w:r>
        <w:t xml:space="preserve">No significant correlations were found (all p&gt;0.05).</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69</w:t>
      </w:r>
      <w:r>
        <w:t xml:space="preserve">.</w:t>
      </w:r>
    </w:p>
    <w:p>
      <w:pPr>
        <w:pStyle w:val="BodyText"/>
      </w:pPr>
      <w:r>
        <w:t xml:space="preserve">Dominant tree species were cored at both SCBI</w:t>
      </w:r>
      <w:r>
        <w:rPr>
          <w:vertAlign w:val="superscript"/>
        </w:rPr>
        <w:t xml:space="preserve">37,54</w:t>
      </w:r>
      <w:r>
        <w:t xml:space="preserve"> </w:t>
      </w:r>
      <w:r>
        <w:t xml:space="preserve">and Harvard Forest</w:t>
      </w:r>
      <w:r>
        <w:rPr>
          <w:vertAlign w:val="superscript"/>
        </w:rPr>
        <w:t xml:space="preserve">4,70,71</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semi-ring porous species (e.g.,</w:t>
      </w:r>
      <w:r>
        <w:t xml:space="preserve"> </w:t>
      </w:r>
      <w:r>
        <w:rPr>
          <w:iCs/>
          <w:i/>
        </w:rPr>
        <w:t xml:space="preserve">Juglans nigra</w:t>
      </w:r>
      <w:r>
        <w:t xml:space="preserve"> </w:t>
      </w:r>
      <w:r>
        <w:t xml:space="preserve">L. at SCBI) and conifers (e.g.,</w:t>
      </w:r>
      <w:r>
        <w:t xml:space="preserve"> </w:t>
      </w:r>
      <w:r>
        <w:rPr>
          <w:iCs/>
          <w:i/>
        </w:rPr>
        <w:t xml:space="preserve">Tsuga canadensis</w:t>
      </w:r>
      <w:r>
        <w:t xml:space="preserve"> </w:t>
      </w:r>
      <w:r>
        <w:t xml:space="preserve">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36,72</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tree-ring records into the dimensionless RWI to emphasize interannual variability associated with climate</w:t>
      </w:r>
      <w:r>
        <w:rPr>
          <w:vertAlign w:val="superscript"/>
        </w:rPr>
        <w:t xml:space="preserve">73</w:t>
      </w:r>
      <w:r>
        <w:t xml:space="preserve">.</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73,74</w:t>
      </w:r>
      <w:r>
        <w:t xml:space="preserve">.</w:t>
      </w:r>
      <w:r>
        <w:t xml:space="preserve"> </w:t>
      </w:r>
      <w:r>
        <w:t xml:space="preserve">An adaptive power transformation, a process that also stabilises the variance over time</w:t>
      </w:r>
      <w:r>
        <w:rPr>
          <w:vertAlign w:val="superscript"/>
        </w:rPr>
        <w:t xml:space="preserve">75</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76</w:t>
      </w:r>
      <w:r>
        <w:t xml:space="preserve">.</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n = 3 trees,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74</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For the analysis of correlation between RWI and climate variables,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77</w:t>
      </w:r>
      <w:r>
        <w:t xml:space="preserve"> </w:t>
      </w:r>
      <w:r>
        <w:t xml:space="preserve">Correlations between monthly climate and RWI were assessed using</w:t>
      </w:r>
      <w:r>
        <w:t xml:space="preserve"> </w:t>
      </w:r>
      <w:r>
        <w:rPr>
          <w:iCs/>
          <w:i/>
        </w:rPr>
        <w:t xml:space="preserve">dplR</w:t>
      </w:r>
      <w:r>
        <w:rPr>
          <w:vertAlign w:val="superscript"/>
        </w:rPr>
        <w:t xml:space="preserve">78</w:t>
      </w:r>
      <w:r>
        <w:t xml:space="preserve"> </w:t>
      </w:r>
      <w:r>
        <w:t xml:space="preserve">and</w:t>
      </w:r>
      <w:r>
        <w:t xml:space="preserve"> </w:t>
      </w:r>
      <w:r>
        <w:rPr>
          <w:iCs/>
          <w:i/>
        </w:rPr>
        <w:t xml:space="preserve">bootRes</w:t>
      </w:r>
      <w:r>
        <w:rPr>
          <w:vertAlign w:val="superscript"/>
        </w:rPr>
        <w:t xml:space="preserve">79</w:t>
      </w:r>
      <w:r>
        <w:t xml:space="preserve"> </w:t>
      </w:r>
      <w:r>
        <w:t xml:space="preserve">in R v 4.0 (R Core Team, 2020), which correlated functions and bootstrapped confidence intervals for these relationships</w:t>
      </w:r>
      <w:r>
        <w:rPr>
          <w:vertAlign w:val="superscript"/>
        </w:rPr>
        <w:t xml:space="preserve">80</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growth the following year, we also ran a version of the analysis extending back to include climate of every month of the previous year (Extended Data Figure 7).</w:t>
      </w:r>
      <w:r>
        <w:t xml:space="preserve"> </w:t>
      </w:r>
      <w:r>
        <w:t xml:space="preserve">Correlations and significance levels for months March-August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focused on April to represent spring temperatures because it was the month with greatest overall alignment with the CTW’s identified in the dendrometer band analysis and had the highest rate of positive correlations with RWI (Extended Data Table 3).</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r>
        <w:t xml:space="preserve"> </w:t>
      </w:r>
      <w:r>
        <w:t xml:space="preserve">Although some models may have benefited from data transformations, we determined that assumptions of normality and homoscedasticity were sufficiently met for the purposes of this analysis.</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43" w:name="Data"/>
    <w:p>
      <w:pPr>
        <w:pStyle w:val="Heading1"/>
      </w:pPr>
      <w:r>
        <w:t xml:space="preserve">Data Availability Statement</w:t>
      </w:r>
    </w:p>
    <w:p>
      <w:pPr>
        <w:pStyle w:val="FirstParagraph"/>
      </w:pPr>
      <w:r>
        <w:t xml:space="preserve">The datasets generated and analysed during the current study are available via GitHub in the</w:t>
      </w:r>
      <w:r>
        <w:t xml:space="preserve"> </w:t>
      </w:r>
      <w:r>
        <w:rPr>
          <w:iCs/>
          <w:i/>
        </w:rPr>
        <w:t xml:space="preserve">growth_phenology</w:t>
      </w:r>
      <w:r>
        <w:t xml:space="preserve"> </w:t>
      </w:r>
      <w:r>
        <w:t xml:space="preserve">repository of the ForestGEO Ecosystems &amp; Climate Lab @ SCBI,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r>
        <w:t xml:space="preserve"> </w:t>
      </w:r>
      <w:r>
        <w:t xml:space="preserve">Master versions of the dendrometer band data are available for SCBI via GitHub in the</w:t>
      </w:r>
      <w:r>
        <w:t xml:space="preserve"> </w:t>
      </w:r>
      <w:r>
        <w:rPr>
          <w:iCs/>
          <w:i/>
        </w:rPr>
        <w:t xml:space="preserve">Dendrobands</w:t>
      </w:r>
      <w:r>
        <w:t xml:space="preserve"> </w:t>
      </w:r>
      <w:r>
        <w:t xml:space="preserve">repository of the Smithsonian Conservation Biology Institute ForestGEO plot (</w:t>
      </w:r>
      <w:hyperlink r:id="rId35">
        <w:r>
          <w:rPr>
            <w:rStyle w:val="Hyperlink"/>
          </w:rPr>
          <w:t xml:space="preserve">https://github.com/SCBI-ForestGEO/Dendrobands</w:t>
        </w:r>
      </w:hyperlink>
      <w:r>
        <w:t xml:space="preserve">), which is archived in Zenodo (DOI 10.5281/zenodo.5551143), and for Harvard Forest via the Harvard Forest Data Archive (</w:t>
      </w:r>
      <w:hyperlink r:id="rId36">
        <w:r>
          <w:rPr>
            <w:rStyle w:val="Hyperlink"/>
          </w:rPr>
          <w:t xml:space="preserve">https://harvardforest1.fas.harvard.edu/exist/apps/datasets/showData.html?id=HF149</w:t>
        </w:r>
      </w:hyperlink>
      <w:r>
        <w:t xml:space="preserve">).</w:t>
      </w:r>
      <w:r>
        <w:t xml:space="preserve"> </w:t>
      </w:r>
      <w:r>
        <w:t xml:space="preserve">Weather data for SCBI were obtained from the ForestGEO Climate Data Portal v1.0 (</w:t>
      </w:r>
      <w:hyperlink r:id="rId37">
        <w:r>
          <w:rPr>
            <w:rStyle w:val="Hyperlink"/>
          </w:rPr>
          <w:t xml:space="preserve">https://github.com/forestgeo/Climate/tree/master/Climate_Data/Met_Stations/SCBI</w:t>
        </w:r>
      </w:hyperlink>
      <w:r>
        <w:t xml:space="preserve">), which is archived in Zenodo (DOI: 10.5281/zenodo.3958215), and the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 downloaded on [DATE].</w:t>
      </w:r>
      <w:r>
        <w:t xml:space="preserve"> </w:t>
      </w:r>
      <w:r>
        <w:t xml:space="preserve">Weather data for Harvard Forest are available through the Harvard Forest Data Archive (</w:t>
      </w:r>
      <w:hyperlink r:id="rId38">
        <w:r>
          <w:rPr>
            <w:rStyle w:val="Hyperlink"/>
          </w:rPr>
          <w:t xml:space="preserve">https://harvardforest1.fas.harvard.edu/exist/apps/datasets/showData.html?id=HF001</w:t>
        </w:r>
      </w:hyperlink>
      <w:r>
        <w:t xml:space="preserve"> </w:t>
      </w:r>
      <w:r>
        <w:t xml:space="preserve">AND</w:t>
      </w:r>
      <w:r>
        <w:t xml:space="preserve"> </w:t>
      </w:r>
      <w:hyperlink r:id="rId39">
        <w:r>
          <w:rPr>
            <w:rStyle w:val="Hyperlink"/>
          </w:rPr>
          <w:t xml:space="preserve">https://harvardforest1.fas.harvard.edu/exist/apps/datasets/showData.html?id=HF000</w:t>
        </w:r>
      </w:hyperlink>
      <w:r>
        <w:t xml:space="preserve">).</w:t>
      </w:r>
      <w:r>
        <w:t xml:space="preserve"> </w:t>
      </w:r>
      <w:r>
        <w:t xml:space="preserve">Climate data were obtained from CRU v.4.04 via the ForestGEO Climate Data Portal v1.0 (</w:t>
      </w:r>
      <w:hyperlink r:id="rId40">
        <w:r>
          <w:rPr>
            <w:rStyle w:val="Hyperlink"/>
          </w:rPr>
          <w:t xml:space="preserve">https://github.com/forestgeo/Climate/tree/master/Climate_Data/CRU</w:t>
        </w:r>
      </w:hyperlink>
      <w:r>
        <w:t xml:space="preserve">), which is archived in Zenodo (DOI: 10.5281/zenodo.3958215).</w:t>
      </w:r>
      <w:r>
        <w:t xml:space="preserve"> </w:t>
      </w:r>
      <w:r>
        <w:t xml:space="preserve">The Standardised Precipitation-Evapotranspiration Index was obtained from the ForestGEO Climate Data Portal v1.0 (</w:t>
      </w:r>
      <w:hyperlink r:id="rId41">
        <w:r>
          <w:rPr>
            <w:rStyle w:val="Hyperlink"/>
          </w:rPr>
          <w:t xml:space="preserve">https://github.com/forestgeo/Climate/tree/master/Climate_Data/SPEI</w:t>
        </w:r>
      </w:hyperlink>
      <w:r>
        <w:t xml:space="preserve">), which is archived in Zenodo (DOI: 10.5281/zenodo.3958215).</w:t>
      </w:r>
      <w:r>
        <w:t xml:space="preserve"> </w:t>
      </w:r>
      <w:r>
        <w:t xml:space="preserve">Canopy foliage phenology data were extracted from the MCD12Q2 V6 Land Cover Dynamics product (a.k.a. MODIS Global Vegetation Phenology product) via Google Earth Engine (</w:t>
      </w:r>
      <w:hyperlink r:id="rId42">
        <w:r>
          <w:rPr>
            <w:rStyle w:val="Hyperlink"/>
          </w:rPr>
          <w:t xml:space="preserve">https://developers.google.com/earth-engine/datasets/catalog/MODIS_006_MCD12Q2#description</w:t>
        </w:r>
      </w:hyperlink>
      <w:r>
        <w:t xml:space="preserve">).</w:t>
      </w:r>
      <w:r>
        <w:t xml:space="preserve"> </w:t>
      </w:r>
      <w:r>
        <w:t xml:space="preserve">Original tree cores are archived at the institutions of various members of the author team and will be made available upon reasonable request.</w:t>
      </w:r>
      <w:r>
        <w:t xml:space="preserve"> </w:t>
      </w:r>
    </w:p>
    <w:bookmarkEnd w:id="43"/>
    <w:bookmarkStart w:id="46" w:name="Code"/>
    <w:p>
      <w:pPr>
        <w:pStyle w:val="Heading1"/>
      </w:pPr>
      <w:r>
        <w:t xml:space="preserve">Code Availability Statement</w:t>
      </w:r>
    </w:p>
    <w:p>
      <w:pPr>
        <w:pStyle w:val="FirstParagraph"/>
      </w:pPr>
      <w:r>
        <w:t xml:space="preserve">Data were analysed in the open source statistical software R (version 4.0).</w:t>
      </w:r>
      <w:r>
        <w:t xml:space="preserve"> </w:t>
      </w:r>
      <w:r>
        <w:t xml:space="preserve">We used packages</w:t>
      </w:r>
      <w:r>
        <w:t xml:space="preserve"> </w:t>
      </w:r>
      <w:r>
        <w:rPr>
          <w:iCs/>
          <w:i/>
        </w:rPr>
        <w:t xml:space="preserve">climwin</w:t>
      </w:r>
      <w:r>
        <w:t xml:space="preserve"> </w:t>
      </w:r>
      <w:r>
        <w:t xml:space="preserve">v.1.2.3 (</w:t>
      </w:r>
      <w:hyperlink r:id="rId44">
        <w:r>
          <w:rPr>
            <w:rStyle w:val="Hyperlink"/>
          </w:rPr>
          <w:t xml:space="preserve">https://cran.r-project.org/web/packages/climwin/index.html</w:t>
        </w:r>
      </w:hyperlink>
      <w:r>
        <w:t xml:space="preserve">),</w:t>
      </w:r>
      <w:r>
        <w:t xml:space="preserve"> </w:t>
      </w:r>
      <w:r>
        <w:rPr>
          <w:iCs/>
          <w:i/>
        </w:rPr>
        <w:t xml:space="preserve">dplR</w:t>
      </w:r>
      <w:r>
        <w:t xml:space="preserve"> </w:t>
      </w:r>
      <w:r>
        <w:t xml:space="preserve">v.1.0.2, and</w:t>
      </w:r>
      <w:r>
        <w:t xml:space="preserve"> </w:t>
      </w:r>
      <w:r>
        <w:rPr>
          <w:iCs/>
          <w:i/>
        </w:rPr>
        <w:t xml:space="preserve">bootRes</w:t>
      </w:r>
      <w:r>
        <w:t xml:space="preserve"> </w:t>
      </w:r>
      <w:r>
        <w:t xml:space="preserve">v1.2.4,</w:t>
      </w:r>
      <w:r>
        <w:t xml:space="preserve"> </w:t>
      </w:r>
      <w:r>
        <w:rPr>
          <w:iCs/>
          <w:i/>
        </w:rPr>
        <w:t xml:space="preserve">rstanarm</w:t>
      </w:r>
      <w:r>
        <w:t xml:space="preserve"> </w:t>
      </w:r>
      <w:r>
        <w:t xml:space="preserve">v.2.21.1, and functions from</w:t>
      </w:r>
      <w:r>
        <w:t xml:space="preserve"> </w:t>
      </w:r>
      <w:r>
        <w:rPr>
          <w:iCs/>
          <w:i/>
        </w:rPr>
        <w:t xml:space="preserve">Rdendrom</w:t>
      </w:r>
      <w:r>
        <w:t xml:space="preserve"> </w:t>
      </w:r>
      <w:r>
        <w:t xml:space="preserve">(</w:t>
      </w:r>
      <w:hyperlink r:id="rId45">
        <w:r>
          <w:rPr>
            <w:rStyle w:val="Hyperlink"/>
          </w:rPr>
          <w:t xml:space="preserve">https://github.com/seanmcm/RDendrom/</w:t>
        </w:r>
      </w:hyperlink>
      <w:r>
        <w:t xml:space="preserve">).</w:t>
      </w:r>
      <w:r>
        <w:t xml:space="preserve"> </w:t>
      </w:r>
      <w:r>
        <w:t xml:space="preserve">We used</w:t>
      </w:r>
      <w:r>
        <w:t xml:space="preserve"> </w:t>
      </w:r>
      <w:r>
        <w:rPr>
          <w:iCs/>
          <w:i/>
        </w:rPr>
        <w:t xml:space="preserve">climpact</w:t>
      </w:r>
      <w:r>
        <w:t xml:space="preserve"> </w:t>
      </w:r>
      <w:r>
        <w:t xml:space="preserve">software v.1.2.8 (see www.climpact-sci.org).</w:t>
      </w:r>
      <w:r>
        <w:t xml:space="preserve"> </w:t>
      </w:r>
      <w:r>
        <w:t xml:space="preserve">All custom code is available through the EcoClimlab GitHub repository (</w:t>
      </w:r>
      <w:hyperlink r:id="rId34">
        <w:r>
          <w:rPr>
            <w:rStyle w:val="Hyperlink"/>
          </w:rPr>
          <w:t xml:space="preserve">https://github.com/EcoClimLab/growth_phenology</w:t>
        </w:r>
      </w:hyperlink>
      <w:r>
        <w:t xml:space="preserve">) and archived in Zenodo (DOI:</w:t>
      </w:r>
      <w:r>
        <w:t xml:space="preserve"> </w:t>
      </w:r>
      <w:r>
        <w:rPr>
          <w:iCs/>
          <w:i/>
        </w:rPr>
        <w:t xml:space="preserve">[TBD]</w:t>
      </w:r>
      <w:r>
        <w:t xml:space="preserve">).</w:t>
      </w:r>
    </w:p>
    <w:bookmarkEnd w:id="46"/>
    <w:bookmarkStart w:id="47"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47"/>
    <w:bookmarkStart w:id="139" w:name="References"/>
    <w:p>
      <w:pPr>
        <w:pStyle w:val="Heading1"/>
      </w:pPr>
      <w:r>
        <w:t xml:space="preserve">References</w:t>
      </w:r>
    </w:p>
    <w:bookmarkStart w:id="138" w:name="refs"/>
    <w:bookmarkStart w:id="48"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48"/>
    <w:bookmarkStart w:id="49"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49"/>
    <w:bookmarkStart w:id="50"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50"/>
    <w:bookmarkStart w:id="51"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51"/>
    <w:bookmarkStart w:id="52"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52"/>
    <w:bookmarkStart w:id="54"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53">
        <w:r>
          <w:rPr>
            <w:rStyle w:val="Hyperlink"/>
          </w:rPr>
          <w:t xml:space="preserve">10.1073/pnas.2002713117</w:t>
        </w:r>
      </w:hyperlink>
      <w:r>
        <w:t xml:space="preserve">.</w:t>
      </w:r>
    </w:p>
    <w:bookmarkEnd w:id="54"/>
    <w:bookmarkStart w:id="55" w:name="ref-menzel_european_2006"/>
    <w:p>
      <w:pPr>
        <w:pStyle w:val="Bibliography"/>
      </w:pPr>
      <w:r>
        <w:t xml:space="preserve">7.</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55"/>
    <w:bookmarkStart w:id="56" w:name="ref-keeling_increased_1996"/>
    <w:p>
      <w:pPr>
        <w:pStyle w:val="Bibliography"/>
      </w:pPr>
      <w:r>
        <w:t xml:space="preserve">8.</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56"/>
    <w:bookmarkStart w:id="57" w:name="ref-dragoni_evidence_2011"/>
    <w:p>
      <w:pPr>
        <w:pStyle w:val="Bibliography"/>
      </w:pPr>
      <w:r>
        <w:t xml:space="preserve">9.</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57"/>
    <w:bookmarkStart w:id="58" w:name="ref-crabbe_extreme_2016"/>
    <w:p>
      <w:pPr>
        <w:pStyle w:val="Bibliography"/>
      </w:pPr>
      <w:r>
        <w:t xml:space="preserve">10.</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58"/>
    <w:bookmarkStart w:id="59" w:name="ref-zhou_explaining_2016"/>
    <w:p>
      <w:pPr>
        <w:pStyle w:val="Bibliography"/>
      </w:pPr>
      <w:r>
        <w:t xml:space="preserve">11.</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59"/>
    <w:bookmarkStart w:id="60" w:name="ref-fu_maximum_2019"/>
    <w:p>
      <w:pPr>
        <w:pStyle w:val="Bibliography"/>
      </w:pPr>
      <w:r>
        <w:t xml:space="preserve">12.</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60"/>
    <w:bookmarkStart w:id="61" w:name="ref-savage_coordination_2021"/>
    <w:p>
      <w:pPr>
        <w:pStyle w:val="Bibliography"/>
      </w:pPr>
      <w:r>
        <w:t xml:space="preserve">13.</w:t>
      </w:r>
      <w:r>
        <w:t xml:space="preserve"> </w:t>
      </w:r>
      <w:r>
        <w:t xml:space="preserve">	</w:t>
      </w:r>
      <w:r>
        <w:t xml:space="preserve">Savage, J. A. &amp; Chuine, I. Coordination of spring vascular and organ phenology in deciduous angiosperms growing in seasonally cold climates.</w:t>
      </w:r>
      <w:r>
        <w:t xml:space="preserve"> </w:t>
      </w:r>
      <w:r>
        <w:rPr>
          <w:iCs/>
          <w:i/>
        </w:rPr>
        <w:t xml:space="preserve">New Phytologist</w:t>
      </w:r>
      <w:r>
        <w:t xml:space="preserve"> </w:t>
      </w:r>
      <w:r>
        <w:rPr>
          <w:bCs/>
          <w:b/>
        </w:rPr>
        <w:t xml:space="preserve">230</w:t>
      </w:r>
      <w:r>
        <w:t xml:space="preserve">, 1700–1715 (2021).</w:t>
      </w:r>
    </w:p>
    <w:bookmarkEnd w:id="61"/>
    <w:bookmarkStart w:id="62" w:name="ref-delpierre_temperate_2016"/>
    <w:p>
      <w:pPr>
        <w:pStyle w:val="Bibliography"/>
      </w:pPr>
      <w:r>
        <w:t xml:space="preserve">14.</w:t>
      </w:r>
      <w:r>
        <w:t xml:space="preserve"> </w:t>
      </w:r>
      <w:r>
        <w:t xml:space="preserve">	</w:t>
      </w:r>
      <w:r>
        <w:t xml:space="preserve">Delpierre, N.</w:t>
      </w:r>
      <w:r>
        <w:t xml:space="preserve"> </w:t>
      </w:r>
      <w:r>
        <w:rPr>
          <w:iCs/>
          <w:i/>
        </w:rPr>
        <w:t xml:space="preserve">et al.</w:t>
      </w:r>
      <w:r>
        <w:t xml:space="preserve"> Temperate and boreal forest tree phenology: From organ-scale processes to terrestrial ecosystem models.</w:t>
      </w:r>
      <w:r>
        <w:t xml:space="preserve"> </w:t>
      </w:r>
      <w:r>
        <w:rPr>
          <w:iCs/>
          <w:i/>
        </w:rPr>
        <w:t xml:space="preserve">Annals of Forest Science</w:t>
      </w:r>
      <w:r>
        <w:t xml:space="preserve"> </w:t>
      </w:r>
      <w:r>
        <w:rPr>
          <w:bCs/>
          <w:b/>
        </w:rPr>
        <w:t xml:space="preserve">73</w:t>
      </w:r>
      <w:r>
        <w:t xml:space="preserve">, 5–25 (2016).</w:t>
      </w:r>
    </w:p>
    <w:bookmarkEnd w:id="62"/>
    <w:bookmarkStart w:id="63"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63"/>
    <w:bookmarkStart w:id="64"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64"/>
    <w:bookmarkStart w:id="65"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65"/>
    <w:bookmarkStart w:id="66"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66"/>
    <w:bookmarkStart w:id="68" w:name="ref-harris_global_2021"/>
    <w:p>
      <w:pPr>
        <w:pStyle w:val="Bibliography"/>
      </w:pPr>
      <w:r>
        <w:t xml:space="preserve">19.</w:t>
      </w:r>
      <w:r>
        <w:t xml:space="preserve"> </w:t>
      </w:r>
      <w:r>
        <w:t xml:space="preserve">	</w:t>
      </w:r>
      <w:r>
        <w:t xml:space="preserve">Harris, N. L.</w:t>
      </w:r>
      <w:r>
        <w:t xml:space="preserve"> </w:t>
      </w:r>
      <w:r>
        <w:rPr>
          <w:iCs/>
          <w:i/>
        </w:rPr>
        <w:t xml:space="preserve">et al.</w:t>
      </w:r>
      <w:r>
        <w:t xml:space="preserve"> Global maps of twenty-first century forest carbon fluxes.</w:t>
      </w:r>
      <w:r>
        <w:t xml:space="preserve"> </w:t>
      </w:r>
      <w:r>
        <w:rPr>
          <w:iCs/>
          <w:i/>
        </w:rPr>
        <w:t xml:space="preserve">Nature Climate Change</w:t>
      </w:r>
      <w:r>
        <w:t xml:space="preserve"> </w:t>
      </w:r>
      <w:r>
        <w:t xml:space="preserve">1–7 (2021) doi:</w:t>
      </w:r>
      <w:hyperlink r:id="rId67">
        <w:r>
          <w:rPr>
            <w:rStyle w:val="Hyperlink"/>
          </w:rPr>
          <w:t xml:space="preserve">10.1038/s41558-020-00976-6</w:t>
        </w:r>
      </w:hyperlink>
      <w:r>
        <w:t xml:space="preserve">.</w:t>
      </w:r>
    </w:p>
    <w:bookmarkEnd w:id="68"/>
    <w:bookmarkStart w:id="69"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69"/>
    <w:bookmarkStart w:id="70"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70"/>
    <w:bookmarkStart w:id="71"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71"/>
    <w:bookmarkStart w:id="72" w:name="ref-fatichi_moving_2014"/>
    <w:p>
      <w:pPr>
        <w:pStyle w:val="Bibliography"/>
      </w:pPr>
      <w:r>
        <w:t xml:space="preserve">23.</w:t>
      </w:r>
      <w:r>
        <w:t xml:space="preserve"> </w:t>
      </w:r>
      <w:r>
        <w:t xml:space="preserve">	</w:t>
      </w:r>
      <w:r>
        <w:t xml:space="preserve">Fatichi, S., Leuzinger, S. &amp; Körner, C. Moving beyond photosynthesis: From carbon source to sink-driven vegetation modeling.</w:t>
      </w:r>
      <w:r>
        <w:t xml:space="preserve"> </w:t>
      </w:r>
      <w:r>
        <w:rPr>
          <w:iCs/>
          <w:i/>
        </w:rPr>
        <w:t xml:space="preserve">The New Phytologist</w:t>
      </w:r>
      <w:r>
        <w:t xml:space="preserve"> </w:t>
      </w:r>
      <w:r>
        <w:rPr>
          <w:bCs/>
          <w:b/>
        </w:rPr>
        <w:t xml:space="preserve">201</w:t>
      </w:r>
      <w:r>
        <w:t xml:space="preserve">, 1086–1095 (2014).</w:t>
      </w:r>
    </w:p>
    <w:bookmarkEnd w:id="72"/>
    <w:bookmarkStart w:id="73" w:name="ref-lu_no_2022"/>
    <w:p>
      <w:pPr>
        <w:pStyle w:val="Bibliography"/>
      </w:pPr>
      <w:r>
        <w:t xml:space="preserve">24.</w:t>
      </w:r>
      <w:r>
        <w:t xml:space="preserve"> </w:t>
      </w:r>
      <w:r>
        <w:t xml:space="preserve">	</w:t>
      </w:r>
      <w:r>
        <w:t xml:space="preserve">Lu, X. &amp; Keenan, T. F. No evidence for a negative effect of growing season photosynthesis on leaf senescence timing.</w:t>
      </w:r>
      <w:r>
        <w:t xml:space="preserve"> </w:t>
      </w:r>
      <w:r>
        <w:rPr>
          <w:iCs/>
          <w:i/>
        </w:rPr>
        <w:t xml:space="preserve">Global Change Biology</w:t>
      </w:r>
      <w:r>
        <w:t xml:space="preserve"> </w:t>
      </w:r>
      <w:r>
        <w:rPr>
          <w:bCs/>
          <w:b/>
        </w:rPr>
        <w:t xml:space="preserve">n/a</w:t>
      </w:r>
      <w:r>
        <w:t xml:space="preserve">, (2022).</w:t>
      </w:r>
    </w:p>
    <w:bookmarkEnd w:id="73"/>
    <w:bookmarkStart w:id="74" w:name="ref-delpierre_wood_2016"/>
    <w:p>
      <w:pPr>
        <w:pStyle w:val="Bibliography"/>
      </w:pPr>
      <w:r>
        <w:t xml:space="preserve">25.</w:t>
      </w:r>
      <w:r>
        <w:t xml:space="preserve"> </w:t>
      </w:r>
      <w:r>
        <w:t xml:space="preserve">	</w:t>
      </w:r>
      <w:r>
        <w:t xml:space="preserve">Delpierre, N., Berveiller, D., Granda, E. &amp; Dufrêne, E. Wood phenology, not carbon input, controls the interannual variability of wood growth in a temperate oak forest.</w:t>
      </w:r>
      <w:r>
        <w:t xml:space="preserve"> </w:t>
      </w:r>
      <w:r>
        <w:rPr>
          <w:iCs/>
          <w:i/>
        </w:rPr>
        <w:t xml:space="preserve">New Phytologist</w:t>
      </w:r>
      <w:r>
        <w:t xml:space="preserve"> </w:t>
      </w:r>
      <w:r>
        <w:rPr>
          <w:bCs/>
          <w:b/>
        </w:rPr>
        <w:t xml:space="preserve">210</w:t>
      </w:r>
      <w:r>
        <w:t xml:space="preserve">, 459–470 (2016).</w:t>
      </w:r>
    </w:p>
    <w:bookmarkEnd w:id="74"/>
    <w:bookmarkStart w:id="75" w:name="ref-huang_photoperiod_2020"/>
    <w:p>
      <w:pPr>
        <w:pStyle w:val="Bibliography"/>
      </w:pPr>
      <w:r>
        <w:t xml:space="preserve">26.</w:t>
      </w:r>
      <w:r>
        <w:t xml:space="preserve"> </w:t>
      </w:r>
      <w:r>
        <w:t xml:space="preserve">	</w:t>
      </w:r>
      <w:r>
        <w:t xml:space="preserve">Huang, J.-G.</w:t>
      </w:r>
      <w:r>
        <w:t xml:space="preserve"> </w:t>
      </w:r>
      <w:r>
        <w:rPr>
          <w:iCs/>
          <w:i/>
        </w:rPr>
        <w:t xml:space="preserve">et al.</w:t>
      </w:r>
      <w:r>
        <w:t xml:space="preserve"> Photoperiod and temperature as dominant environmental drivers triggering secondary growth resumption in</w:t>
      </w:r>
      <w:r>
        <w:t xml:space="preserve"> </w:t>
      </w:r>
      <w:r>
        <w:t xml:space="preserve">Northern Hemisphere</w:t>
      </w:r>
      <w:r>
        <w:t xml:space="preserve"> </w:t>
      </w:r>
      <w:r>
        <w:t xml:space="preserve">conifers.</w:t>
      </w:r>
      <w:r>
        <w:t xml:space="preserve"> </w:t>
      </w:r>
      <w:r>
        <w:rPr>
          <w:iCs/>
          <w:i/>
        </w:rPr>
        <w:t xml:space="preserve">Proceedings of the National Academy of Sciences</w:t>
      </w:r>
      <w:r>
        <w:t xml:space="preserve"> </w:t>
      </w:r>
      <w:r>
        <w:rPr>
          <w:bCs/>
          <w:b/>
        </w:rPr>
        <w:t xml:space="preserve">117</w:t>
      </w:r>
      <w:r>
        <w:t xml:space="preserve">, 20645–20652 (2020).</w:t>
      </w:r>
    </w:p>
    <w:bookmarkEnd w:id="75"/>
    <w:bookmarkStart w:id="76" w:name="ref-rossi_critical_2008"/>
    <w:p>
      <w:pPr>
        <w:pStyle w:val="Bibliography"/>
      </w:pPr>
      <w:r>
        <w:t xml:space="preserve">27.</w:t>
      </w:r>
      <w:r>
        <w:t xml:space="preserve"> </w:t>
      </w:r>
      <w:r>
        <w:t xml:space="preserve">	</w:t>
      </w:r>
      <w:r>
        <w:t xml:space="preserve">Rossi, S.</w:t>
      </w:r>
      <w:r>
        <w:t xml:space="preserve"> </w:t>
      </w:r>
      <w:r>
        <w:rPr>
          <w:iCs/>
          <w:i/>
        </w:rPr>
        <w:t xml:space="preserve">et al.</w:t>
      </w:r>
      <w:r>
        <w:t xml:space="preserve"> Critical temperatures for xylogenesis in conifers of cold climates.</w:t>
      </w:r>
      <w:r>
        <w:t xml:space="preserve"> </w:t>
      </w:r>
      <w:r>
        <w:rPr>
          <w:iCs/>
          <w:i/>
        </w:rPr>
        <w:t xml:space="preserve">Global Ecology and Biogeography</w:t>
      </w:r>
      <w:r>
        <w:t xml:space="preserve"> </w:t>
      </w:r>
      <w:r>
        <w:rPr>
          <w:bCs/>
          <w:b/>
        </w:rPr>
        <w:t xml:space="preserve">17</w:t>
      </w:r>
      <w:r>
        <w:t xml:space="preserve">, 696–707 (2008).</w:t>
      </w:r>
    </w:p>
    <w:bookmarkEnd w:id="76"/>
    <w:bookmarkStart w:id="77" w:name="ref-cook_predicting_1991"/>
    <w:p>
      <w:pPr>
        <w:pStyle w:val="Bibliography"/>
      </w:pPr>
      <w:r>
        <w:t xml:space="preserve">28.</w:t>
      </w:r>
      <w:r>
        <w:t xml:space="preserve"> </w:t>
      </w:r>
      <w:r>
        <w:t xml:space="preserve">	</w:t>
      </w:r>
      <w:r>
        <w:t xml:space="preserve">Cook, E. R. &amp; Cole, J. On predicting the response of forests in eastern</w:t>
      </w:r>
      <w:r>
        <w:t xml:space="preserve"> </w:t>
      </w:r>
      <w:r>
        <w:t xml:space="preserve">North America</w:t>
      </w:r>
      <w:r>
        <w:t xml:space="preserve"> </w:t>
      </w:r>
      <w:r>
        <w:t xml:space="preserve">to future climatic change.</w:t>
      </w:r>
      <w:r>
        <w:t xml:space="preserve"> </w:t>
      </w:r>
      <w:r>
        <w:rPr>
          <w:iCs/>
          <w:i/>
        </w:rPr>
        <w:t xml:space="preserve">Climatic Change</w:t>
      </w:r>
      <w:r>
        <w:t xml:space="preserve"> </w:t>
      </w:r>
      <w:r>
        <w:rPr>
          <w:bCs/>
          <w:b/>
        </w:rPr>
        <w:t xml:space="preserve">19</w:t>
      </w:r>
      <w:r>
        <w:t xml:space="preserve">, 271–282 (1991).</w:t>
      </w:r>
    </w:p>
    <w:bookmarkEnd w:id="77"/>
    <w:bookmarkStart w:id="78" w:name="ref-babst_twentieth_2019"/>
    <w:p>
      <w:pPr>
        <w:pStyle w:val="Bibliography"/>
      </w:pPr>
      <w:r>
        <w:t xml:space="preserve">29.</w:t>
      </w:r>
      <w:r>
        <w:t xml:space="preserve"> </w:t>
      </w:r>
      <w:r>
        <w:t xml:space="preserve">	</w:t>
      </w:r>
      <w:r>
        <w:t xml:space="preserve">Babst, F.</w:t>
      </w:r>
      <w:r>
        <w:t xml:space="preserve"> </w:t>
      </w:r>
      <w:r>
        <w:rPr>
          <w:iCs/>
          <w:i/>
        </w:rPr>
        <w:t xml:space="preserve">et al.</w:t>
      </w:r>
      <w:r>
        <w:t xml:space="preserve"> Twentieth century redistribution in climatic drivers of global tree growth.</w:t>
      </w:r>
      <w:r>
        <w:t xml:space="preserve"> </w:t>
      </w:r>
      <w:r>
        <w:rPr>
          <w:iCs/>
          <w:i/>
        </w:rPr>
        <w:t xml:space="preserve">Science Advances</w:t>
      </w:r>
      <w:r>
        <w:t xml:space="preserve"> </w:t>
      </w:r>
      <w:r>
        <w:rPr>
          <w:bCs/>
          <w:b/>
        </w:rPr>
        <w:t xml:space="preserve">5</w:t>
      </w:r>
      <w:r>
        <w:t xml:space="preserve">, eaat4313 (2019).</w:t>
      </w:r>
    </w:p>
    <w:bookmarkEnd w:id="78"/>
    <w:bookmarkStart w:id="79" w:name="ref-anderson-teixeira_joint_2021"/>
    <w:p>
      <w:pPr>
        <w:pStyle w:val="Bibliography"/>
      </w:pPr>
      <w:r>
        <w:t xml:space="preserve">30.</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79"/>
    <w:bookmarkStart w:id="81" w:name="ref-gao_earlier_2022"/>
    <w:p>
      <w:pPr>
        <w:pStyle w:val="Bibliography"/>
      </w:pPr>
      <w:r>
        <w:t xml:space="preserve">31.</w:t>
      </w:r>
      <w:r>
        <w:t xml:space="preserve"> </w:t>
      </w:r>
      <w:r>
        <w:t xml:space="preserve">	</w:t>
      </w:r>
      <w:r>
        <w:t xml:space="preserve">Gao, S.</w:t>
      </w:r>
      <w:r>
        <w:t xml:space="preserve"> </w:t>
      </w:r>
      <w:r>
        <w:rPr>
          <w:iCs/>
          <w:i/>
        </w:rPr>
        <w:t xml:space="preserve">et al.</w:t>
      </w:r>
      <w:r>
        <w:t xml:space="preserve"> An earlier start of the thermal growing season enhances tree growth in cold humid areas but not in dry areas.</w:t>
      </w:r>
      <w:r>
        <w:t xml:space="preserve"> </w:t>
      </w:r>
      <w:r>
        <w:rPr>
          <w:iCs/>
          <w:i/>
        </w:rPr>
        <w:t xml:space="preserve">Nature Ecology &amp; Evolution</w:t>
      </w:r>
      <w:r>
        <w:t xml:space="preserve"> </w:t>
      </w:r>
      <w:r>
        <w:t xml:space="preserve">1–8 (2022) doi:</w:t>
      </w:r>
      <w:hyperlink r:id="rId80">
        <w:r>
          <w:rPr>
            <w:rStyle w:val="Hyperlink"/>
          </w:rPr>
          <w:t xml:space="preserve">10.1038/s41559-022-01668-4</w:t>
        </w:r>
      </w:hyperlink>
      <w:r>
        <w:t xml:space="preserve">.</w:t>
      </w:r>
    </w:p>
    <w:bookmarkEnd w:id="81"/>
    <w:bookmarkStart w:id="82" w:name="ref-zweifel_why_2021"/>
    <w:p>
      <w:pPr>
        <w:pStyle w:val="Bibliography"/>
      </w:pPr>
      <w:r>
        <w:t xml:space="preserve">32.</w:t>
      </w:r>
      <w:r>
        <w:t xml:space="preserve"> </w:t>
      </w:r>
      <w:r>
        <w:t xml:space="preserve">	</w:t>
      </w:r>
      <w:r>
        <w:t xml:space="preserve">Zweifel, R.</w:t>
      </w:r>
      <w:r>
        <w:t xml:space="preserve"> </w:t>
      </w:r>
      <w:r>
        <w:rPr>
          <w:iCs/>
          <w:i/>
        </w:rPr>
        <w:t xml:space="preserve">et al.</w:t>
      </w:r>
      <w:r>
        <w:t xml:space="preserve"> Why trees grow at night.</w:t>
      </w:r>
      <w:r>
        <w:t xml:space="preserve"> </w:t>
      </w:r>
      <w:r>
        <w:rPr>
          <w:iCs/>
          <w:i/>
        </w:rPr>
        <w:t xml:space="preserve">New Phytologist</w:t>
      </w:r>
      <w:r>
        <w:t xml:space="preserve"> </w:t>
      </w:r>
      <w:r>
        <w:rPr>
          <w:bCs/>
          <w:b/>
        </w:rPr>
        <w:t xml:space="preserve">231</w:t>
      </w:r>
      <w:r>
        <w:t xml:space="preserve">, 2174–2185 (2021).</w:t>
      </w:r>
    </w:p>
    <w:bookmarkEnd w:id="82"/>
    <w:bookmarkStart w:id="83" w:name="ref-tumajer_limitation_2022"/>
    <w:p>
      <w:pPr>
        <w:pStyle w:val="Bibliography"/>
      </w:pPr>
      <w:r>
        <w:t xml:space="preserve">33.</w:t>
      </w:r>
      <w:r>
        <w:t xml:space="preserve"> </w:t>
      </w:r>
      <w:r>
        <w:t xml:space="preserve">	</w:t>
      </w:r>
      <w:r>
        <w:t xml:space="preserve">Tumajer, J., Scharnweber, T., Smiljanic, M. &amp; Wilmking, M. Limitation by vapour pressure deficit shapes different intra-annual growth patterns of diffuse- and ring-porous temperate broadleaves.</w:t>
      </w:r>
      <w:r>
        <w:t xml:space="preserve"> </w:t>
      </w:r>
      <w:r>
        <w:rPr>
          <w:iCs/>
          <w:i/>
        </w:rPr>
        <w:t xml:space="preserve">New Phytologist</w:t>
      </w:r>
      <w:r>
        <w:t xml:space="preserve"> </w:t>
      </w:r>
      <w:r>
        <w:rPr>
          <w:bCs/>
          <w:b/>
        </w:rPr>
        <w:t xml:space="preserve">n/a</w:t>
      </w:r>
      <w:r>
        <w:t xml:space="preserve">, (2022).</w:t>
      </w:r>
    </w:p>
    <w:bookmarkEnd w:id="83"/>
    <w:bookmarkStart w:id="84" w:name="ref-etzold_number_2022"/>
    <w:p>
      <w:pPr>
        <w:pStyle w:val="Bibliography"/>
      </w:pPr>
      <w:r>
        <w:t xml:space="preserve">34.</w:t>
      </w:r>
      <w:r>
        <w:t xml:space="preserve"> </w:t>
      </w:r>
      <w:r>
        <w:t xml:space="preserve">	</w:t>
      </w:r>
      <w:r>
        <w:t xml:space="preserve">Etzold, S.</w:t>
      </w:r>
      <w:r>
        <w:t xml:space="preserve"> </w:t>
      </w:r>
      <w:r>
        <w:rPr>
          <w:iCs/>
          <w:i/>
        </w:rPr>
        <w:t xml:space="preserve">et al.</w:t>
      </w:r>
      <w:r>
        <w:t xml:space="preserve"> Number of growth days and not length of the growth period determines radial stem growth of temperate trees.</w:t>
      </w:r>
      <w:r>
        <w:t xml:space="preserve"> </w:t>
      </w:r>
      <w:r>
        <w:rPr>
          <w:iCs/>
          <w:i/>
        </w:rPr>
        <w:t xml:space="preserve">Ecology Letters</w:t>
      </w:r>
      <w:r>
        <w:t xml:space="preserve"> </w:t>
      </w:r>
      <w:r>
        <w:rPr>
          <w:bCs/>
          <w:b/>
        </w:rPr>
        <w:t xml:space="preserve">n/a</w:t>
      </w:r>
      <w:r>
        <w:t xml:space="preserve">, (2022).</w:t>
      </w:r>
    </w:p>
    <w:bookmarkEnd w:id="84"/>
    <w:bookmarkStart w:id="85" w:name="ref-zohner_how_2021"/>
    <w:p>
      <w:pPr>
        <w:pStyle w:val="Bibliography"/>
      </w:pPr>
      <w:r>
        <w:t xml:space="preserve">35.</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85"/>
    <w:bookmarkStart w:id="86" w:name="ref-dorangeville_drought_2018"/>
    <w:p>
      <w:pPr>
        <w:pStyle w:val="Bibliography"/>
      </w:pPr>
      <w:r>
        <w:t xml:space="preserve">36.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86"/>
    <w:bookmarkStart w:id="87" w:name="ref-helcoski_growing_2019"/>
    <w:p>
      <w:pPr>
        <w:pStyle w:val="Bibliography"/>
      </w:pPr>
      <w:r>
        <w:t xml:space="preserve">37.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87"/>
    <w:bookmarkStart w:id="88" w:name="ref-mcmahon_general_2015"/>
    <w:p>
      <w:pPr>
        <w:pStyle w:val="Bibliography"/>
      </w:pPr>
      <w:r>
        <w:t xml:space="preserve">38.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88"/>
    <w:bookmarkStart w:id="90" w:name="ref-dorangeville_peak_2021"/>
    <w:p>
      <w:pPr>
        <w:pStyle w:val="Bibliography"/>
      </w:pPr>
      <w:r>
        <w:t xml:space="preserve">39.</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89">
        <w:r>
          <w:rPr>
            <w:rStyle w:val="Hyperlink"/>
          </w:rPr>
          <w:t xml:space="preserve">10.1093/treephys/tpab101</w:t>
        </w:r>
      </w:hyperlink>
      <w:r>
        <w:t xml:space="preserve">.</w:t>
      </w:r>
    </w:p>
    <w:bookmarkEnd w:id="90"/>
    <w:bookmarkStart w:id="91" w:name="ref-richardson_seasonal_2013"/>
    <w:p>
      <w:pPr>
        <w:pStyle w:val="Bibliography"/>
      </w:pPr>
      <w:r>
        <w:t xml:space="preserve">40.</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91"/>
    <w:bookmarkStart w:id="92" w:name="ref-keenan_timing_2015"/>
    <w:p>
      <w:pPr>
        <w:pStyle w:val="Bibliography"/>
      </w:pPr>
      <w:r>
        <w:t xml:space="preserve">41.</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92"/>
    <w:bookmarkStart w:id="93" w:name="ref-jiang_fate_2020"/>
    <w:p>
      <w:pPr>
        <w:pStyle w:val="Bibliography"/>
      </w:pPr>
      <w:r>
        <w:t xml:space="preserve">42.</w:t>
      </w:r>
      <w:r>
        <w:t xml:space="preserve"> </w:t>
      </w:r>
      <w:r>
        <w:t xml:space="preserve">	</w:t>
      </w:r>
      <w:r>
        <w:t xml:space="preserve">Jiang, M.</w:t>
      </w:r>
      <w:r>
        <w:t xml:space="preserve"> </w:t>
      </w:r>
      <w:r>
        <w:rPr>
          <w:iCs/>
          <w:i/>
        </w:rPr>
        <w:t xml:space="preserve">et al.</w:t>
      </w:r>
      <w:r>
        <w:t xml:space="preserve"> The fate of carbon in a mature forest under carbon dioxide enrichment.</w:t>
      </w:r>
      <w:r>
        <w:t xml:space="preserve"> </w:t>
      </w:r>
      <w:r>
        <w:rPr>
          <w:iCs/>
          <w:i/>
        </w:rPr>
        <w:t xml:space="preserve">Nature</w:t>
      </w:r>
      <w:r>
        <w:t xml:space="preserve"> </w:t>
      </w:r>
      <w:r>
        <w:rPr>
          <w:bCs/>
          <w:b/>
        </w:rPr>
        <w:t xml:space="preserve">580</w:t>
      </w:r>
      <w:r>
        <w:t xml:space="preserve">, 227–231 (2020).</w:t>
      </w:r>
    </w:p>
    <w:bookmarkEnd w:id="93"/>
    <w:bookmarkStart w:id="94" w:name="ref-cuny_woody_2015"/>
    <w:p>
      <w:pPr>
        <w:pStyle w:val="Bibliography"/>
      </w:pPr>
      <w:r>
        <w:t xml:space="preserve">43.</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94"/>
    <w:bookmarkStart w:id="95" w:name="ref-tardif_influence_2006"/>
    <w:p>
      <w:pPr>
        <w:pStyle w:val="Bibliography"/>
      </w:pPr>
      <w:r>
        <w:t xml:space="preserve">44.</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95"/>
    <w:bookmarkStart w:id="96" w:name="ref-roibu_climatic_2020"/>
    <w:p>
      <w:pPr>
        <w:pStyle w:val="Bibliography"/>
      </w:pPr>
      <w:r>
        <w:t xml:space="preserve">45.</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96"/>
    <w:bookmarkStart w:id="97" w:name="ref-kern_multiple_2013"/>
    <w:p>
      <w:pPr>
        <w:pStyle w:val="Bibliography"/>
      </w:pPr>
      <w:r>
        <w:t xml:space="preserve">46.</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97"/>
    <w:bookmarkStart w:id="98" w:name="ref-oishi_warmer_2018"/>
    <w:p>
      <w:pPr>
        <w:pStyle w:val="Bibliography"/>
      </w:pPr>
      <w:r>
        <w:t xml:space="preserve">47.</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98"/>
    <w:bookmarkStart w:id="100" w:name="ref-banburymorgan_global_2021"/>
    <w:p>
      <w:pPr>
        <w:pStyle w:val="Bibliography"/>
      </w:pPr>
      <w:r>
        <w:t xml:space="preserve">48.</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99">
        <w:r>
          <w:rPr>
            <w:rStyle w:val="Hyperlink"/>
          </w:rPr>
          <w:t xml:space="preserve">10.1111/gcb.15574</w:t>
        </w:r>
      </w:hyperlink>
      <w:r>
        <w:t xml:space="preserve">.</w:t>
      </w:r>
    </w:p>
    <w:bookmarkEnd w:id="100"/>
    <w:bookmarkStart w:id="101" w:name="ref-churkina_spatial_2005"/>
    <w:p>
      <w:pPr>
        <w:pStyle w:val="Bibliography"/>
      </w:pPr>
      <w:r>
        <w:t xml:space="preserve">49.</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101"/>
    <w:bookmarkStart w:id="102" w:name="ref-liu_phenological_2022"/>
    <w:p>
      <w:pPr>
        <w:pStyle w:val="Bibliography"/>
      </w:pPr>
      <w:r>
        <w:t xml:space="preserve">50.</w:t>
      </w:r>
      <w:r>
        <w:t xml:space="preserve"> </w:t>
      </w:r>
      <w:r>
        <w:t xml:space="preserve">	</w:t>
      </w:r>
      <w:r>
        <w:t xml:space="preserve">Liu, H.</w:t>
      </w:r>
      <w:r>
        <w:t xml:space="preserve"> </w:t>
      </w:r>
      <w:r>
        <w:rPr>
          <w:iCs/>
          <w:i/>
        </w:rPr>
        <w:t xml:space="preserve">et al.</w:t>
      </w:r>
      <w:r>
        <w:t xml:space="preserve"> Phenological mismatches between above- and belowground plant responses to climate warming.</w:t>
      </w:r>
      <w:r>
        <w:t xml:space="preserve"> </w:t>
      </w:r>
      <w:r>
        <w:rPr>
          <w:iCs/>
          <w:i/>
        </w:rPr>
        <w:t xml:space="preserve">Nature Climate Change</w:t>
      </w:r>
      <w:r>
        <w:t xml:space="preserve"> </w:t>
      </w:r>
      <w:r>
        <w:rPr>
          <w:bCs/>
          <w:b/>
        </w:rPr>
        <w:t xml:space="preserve">12</w:t>
      </w:r>
      <w:r>
        <w:t xml:space="preserve">, 97–102 (2022).</w:t>
      </w:r>
    </w:p>
    <w:bookmarkEnd w:id="102"/>
    <w:bookmarkStart w:id="103" w:name="ref-novick_increasing_2016"/>
    <w:p>
      <w:pPr>
        <w:pStyle w:val="Bibliography"/>
      </w:pPr>
      <w:r>
        <w:t xml:space="preserve">51.</w:t>
      </w:r>
      <w:r>
        <w:t xml:space="preserve"> </w:t>
      </w:r>
      <w:r>
        <w:t xml:space="preserve">	</w:t>
      </w:r>
      <w:r>
        <w:t xml:space="preserve">Novick, K. A.</w:t>
      </w:r>
      <w:r>
        <w:t xml:space="preserve"> </w:t>
      </w:r>
      <w:r>
        <w:rPr>
          <w:iCs/>
          <w:i/>
        </w:rPr>
        <w:t xml:space="preserve">et al.</w:t>
      </w:r>
      <w:r>
        <w:t xml:space="preserve"> The increasing importance of atmospheric demand for ecosystem water and carbon fluxes.</w:t>
      </w:r>
      <w:r>
        <w:t xml:space="preserve"> </w:t>
      </w:r>
      <w:r>
        <w:rPr>
          <w:iCs/>
          <w:i/>
        </w:rPr>
        <w:t xml:space="preserve">Nature Climate Change</w:t>
      </w:r>
      <w:r>
        <w:t xml:space="preserve"> </w:t>
      </w:r>
      <w:r>
        <w:rPr>
          <w:bCs/>
          <w:b/>
        </w:rPr>
        <w:t xml:space="preserve">6</w:t>
      </w:r>
      <w:r>
        <w:t xml:space="preserve">, 1023–1027 (2016).</w:t>
      </w:r>
    </w:p>
    <w:bookmarkEnd w:id="103"/>
    <w:bookmarkStart w:id="104" w:name="ref-zhang_drought_2021"/>
    <w:p>
      <w:pPr>
        <w:pStyle w:val="Bibliography"/>
      </w:pPr>
      <w:r>
        <w:t xml:space="preserve">52.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104"/>
    <w:bookmarkStart w:id="105" w:name="ref-lian_summer_2022"/>
    <w:p>
      <w:pPr>
        <w:pStyle w:val="Bibliography"/>
      </w:pPr>
      <w:r>
        <w:t xml:space="preserve">53.</w:t>
      </w:r>
      <w:r>
        <w:t xml:space="preserve"> </w:t>
      </w:r>
      <w:r>
        <w:t xml:space="preserve">	</w:t>
      </w:r>
      <w:r>
        <w:t xml:space="preserve">Lian, X.</w:t>
      </w:r>
      <w:r>
        <w:t xml:space="preserve"> </w:t>
      </w:r>
      <w:r>
        <w:rPr>
          <w:iCs/>
          <w:i/>
        </w:rPr>
        <w:t xml:space="preserve">et al.</w:t>
      </w:r>
      <w:r>
        <w:t xml:space="preserve"> Summer soil drying exacerbated by earlier spring greening of northern vegetation.</w:t>
      </w:r>
      <w:r>
        <w:t xml:space="preserve"> </w:t>
      </w:r>
      <w:r>
        <w:rPr>
          <w:iCs/>
          <w:i/>
        </w:rPr>
        <w:t xml:space="preserve">Science Advances</w:t>
      </w:r>
      <w:r>
        <w:t xml:space="preserve"> </w:t>
      </w:r>
      <w:r>
        <w:rPr>
          <w:bCs/>
          <w:b/>
        </w:rPr>
        <w:t xml:space="preserve">6</w:t>
      </w:r>
      <w:r>
        <w:t xml:space="preserve">, eaax0255 (2022).</w:t>
      </w:r>
    </w:p>
    <w:bookmarkEnd w:id="105"/>
    <w:bookmarkStart w:id="106" w:name="ref-bourg_initial_2013"/>
    <w:p>
      <w:pPr>
        <w:pStyle w:val="Bibliography"/>
      </w:pPr>
      <w:r>
        <w:t xml:space="preserve">54.</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E094-195</w:t>
      </w:r>
      <w:r>
        <w:t xml:space="preserve">.</w:t>
      </w:r>
      <w:r>
        <w:t xml:space="preserve"> </w:t>
      </w:r>
      <w:r>
        <w:rPr>
          <w:iCs/>
          <w:i/>
        </w:rPr>
        <w:t xml:space="preserve">Ecology</w:t>
      </w:r>
      <w:r>
        <w:t xml:space="preserve"> </w:t>
      </w:r>
      <w:r>
        <w:rPr>
          <w:bCs/>
          <w:b/>
        </w:rPr>
        <w:t xml:space="preserve">94</w:t>
      </w:r>
      <w:r>
        <w:t xml:space="preserve">, 2111–2112 (2013).</w:t>
      </w:r>
    </w:p>
    <w:bookmarkEnd w:id="106"/>
    <w:bookmarkStart w:id="107" w:name="ref-anderson-teixeira_ctfsforestgeo_2015"/>
    <w:p>
      <w:pPr>
        <w:pStyle w:val="Bibliography"/>
      </w:pPr>
      <w:r>
        <w:t xml:space="preserve">55.</w:t>
      </w:r>
      <w:r>
        <w:t xml:space="preserve"> </w:t>
      </w:r>
      <w:r>
        <w:t xml:space="preserve">	</w:t>
      </w:r>
      <w:r>
        <w:t xml:space="preserve">Anderson-Teixeira, K. J.</w:t>
      </w:r>
      <w:r>
        <w:t xml:space="preserve"> </w:t>
      </w:r>
      <w:r>
        <w:rPr>
          <w:iCs/>
          <w:i/>
        </w:rPr>
        <w:t xml:space="preserve">et al.</w:t>
      </w:r>
      <w:r>
        <w:t xml:space="preserve"> </w:t>
      </w:r>
      <w:r>
        <w:t xml:space="preserve">CTFS-ForestGEO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107"/>
    <w:bookmarkStart w:id="108" w:name="ref-davies_forestgeo_2021"/>
    <w:p>
      <w:pPr>
        <w:pStyle w:val="Bibliography"/>
      </w:pPr>
      <w:r>
        <w:t xml:space="preserve">56.</w:t>
      </w:r>
      <w:r>
        <w:t xml:space="preserve"> </w:t>
      </w:r>
      <w:r>
        <w:t xml:space="preserve">	</w:t>
      </w:r>
      <w:r>
        <w:t xml:space="preserve">Davies, S. J.</w:t>
      </w:r>
      <w:r>
        <w:t xml:space="preserve"> </w:t>
      </w:r>
      <w:r>
        <w:rPr>
          <w:iCs/>
          <w:i/>
        </w:rPr>
        <w:t xml:space="preserve">et al.</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108"/>
    <w:bookmarkStart w:id="109" w:name="ref-herrmann_tree_2016"/>
    <w:p>
      <w:pPr>
        <w:pStyle w:val="Bibliography"/>
      </w:pPr>
      <w:r>
        <w:t xml:space="preserve">57.</w:t>
      </w:r>
      <w:r>
        <w:t xml:space="preserve"> </w:t>
      </w:r>
      <w:r>
        <w:t xml:space="preserve">	</w:t>
      </w:r>
      <w:r>
        <w:t xml:space="preserve">Herrmann, V.</w:t>
      </w:r>
      <w:r>
        <w:t xml:space="preserve"> </w:t>
      </w:r>
      <w:r>
        <w:rPr>
          <w:iCs/>
          <w:i/>
        </w:rPr>
        <w:t xml:space="preserve">et al.</w:t>
      </w:r>
      <w:r>
        <w:t xml:space="preserve"> Tree</w:t>
      </w:r>
      <w:r>
        <w:t xml:space="preserve"> </w:t>
      </w:r>
      <w:r>
        <w:t xml:space="preserve">Circumference Dynamics</w:t>
      </w:r>
      <w:r>
        <w:t xml:space="preserve"> </w:t>
      </w:r>
      <w:r>
        <w:t xml:space="preserve">in</w:t>
      </w:r>
      <w:r>
        <w:t xml:space="preserve"> </w:t>
      </w:r>
      <w:r>
        <w:t xml:space="preserve">Four Forests Characterized Using Automated Dendrometer Bands</w:t>
      </w:r>
      <w:r>
        <w:t xml:space="preserve">.</w:t>
      </w:r>
      <w:r>
        <w:t xml:space="preserve"> </w:t>
      </w:r>
      <w:r>
        <w:rPr>
          <w:iCs/>
          <w:i/>
        </w:rPr>
        <w:t xml:space="preserve">PloS one</w:t>
      </w:r>
      <w:r>
        <w:t xml:space="preserve"> </w:t>
      </w:r>
      <w:r>
        <w:rPr>
          <w:bCs/>
          <w:b/>
        </w:rPr>
        <w:t xml:space="preserve">11</w:t>
      </w:r>
      <w:r>
        <w:t xml:space="preserve">, e0169020 (2016).</w:t>
      </w:r>
    </w:p>
    <w:bookmarkEnd w:id="109"/>
    <w:bookmarkStart w:id="111" w:name="ref-friedl_mcd12q2_2019"/>
    <w:p>
      <w:pPr>
        <w:pStyle w:val="Bibliography"/>
      </w:pPr>
      <w:r>
        <w:t xml:space="preserve">58.</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110">
        <w:r>
          <w:rPr>
            <w:rStyle w:val="Hyperlink"/>
          </w:rPr>
          <w:t xml:space="preserve">10.5067/MODIS/MCD12Q2.006</w:t>
        </w:r>
      </w:hyperlink>
      <w:r>
        <w:t xml:space="preserve">.</w:t>
      </w:r>
    </w:p>
    <w:bookmarkEnd w:id="111"/>
    <w:bookmarkStart w:id="113" w:name="ref-anderson-teixeira_forestgeo_2020"/>
    <w:p>
      <w:pPr>
        <w:pStyle w:val="Bibliography"/>
      </w:pPr>
      <w:r>
        <w:t xml:space="preserve">59.</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w:t>
      </w:r>
      <w:r>
        <w:t xml:space="preserve"> </w:t>
      </w:r>
      <w:r>
        <w:t xml:space="preserve">Initial</w:t>
      </w:r>
      <w:r>
        <w:t xml:space="preserve"> </w:t>
      </w:r>
      <w:r>
        <w:t xml:space="preserve">release. (2020) doi:</w:t>
      </w:r>
      <w:hyperlink r:id="rId112">
        <w:r>
          <w:rPr>
            <w:rStyle w:val="Hyperlink"/>
          </w:rPr>
          <w:t xml:space="preserve">10.5281/ZENODO.4041609</w:t>
        </w:r>
      </w:hyperlink>
      <w:r>
        <w:t xml:space="preserve">.</w:t>
      </w:r>
    </w:p>
    <w:bookmarkEnd w:id="113"/>
    <w:bookmarkStart w:id="114" w:name="ref-benestad_empiricalstatistical_2008"/>
    <w:p>
      <w:pPr>
        <w:pStyle w:val="Bibliography"/>
      </w:pPr>
      <w:r>
        <w:t xml:space="preserve">60.</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114"/>
    <w:bookmarkStart w:id="116" w:name="ref-boose_shaler_2021"/>
    <w:p>
      <w:pPr>
        <w:pStyle w:val="Bibliography"/>
      </w:pPr>
      <w:r>
        <w:t xml:space="preserve">61.</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115">
        <w:r>
          <w:rPr>
            <w:rStyle w:val="Hyperlink"/>
          </w:rPr>
          <w:t xml:space="preserve">10.6073/PASTA/213335F5DAA17222A738C105B9FA60C4</w:t>
        </w:r>
      </w:hyperlink>
      <w:r>
        <w:t xml:space="preserve">.</w:t>
      </w:r>
    </w:p>
    <w:bookmarkEnd w:id="116"/>
    <w:bookmarkStart w:id="118" w:name="ref-boose_fisher_2021"/>
    <w:p>
      <w:pPr>
        <w:pStyle w:val="Bibliography"/>
      </w:pPr>
      <w:r>
        <w:t xml:space="preserve">62.</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117">
        <w:r>
          <w:rPr>
            <w:rStyle w:val="Hyperlink"/>
          </w:rPr>
          <w:t xml:space="preserve">10.6073/PASTA/69E92642B512897032446CFE795CFFB8</w:t>
        </w:r>
      </w:hyperlink>
      <w:r>
        <w:t xml:space="preserve">.</w:t>
      </w:r>
    </w:p>
    <w:bookmarkEnd w:id="118"/>
    <w:bookmarkStart w:id="119" w:name="ref-vandepol_identifying_2016"/>
    <w:p>
      <w:pPr>
        <w:pStyle w:val="Bibliography"/>
      </w:pPr>
      <w:r>
        <w:t xml:space="preserve">63.</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119"/>
    <w:bookmarkStart w:id="120" w:name="ref-gabry_rstanarm_2020"/>
    <w:p>
      <w:pPr>
        <w:pStyle w:val="Bibliography"/>
      </w:pPr>
      <w:r>
        <w:t xml:space="preserve">64.</w:t>
      </w:r>
      <w:r>
        <w:t xml:space="preserve"> </w:t>
      </w:r>
      <w:r>
        <w:t xml:space="preserve">	</w:t>
      </w:r>
      <w:r>
        <w:t xml:space="preserve">Gabry, J.</w:t>
      </w:r>
      <w:r>
        <w:t xml:space="preserve"> </w:t>
      </w:r>
      <w:r>
        <w:rPr>
          <w:iCs/>
          <w:i/>
        </w:rPr>
        <w:t xml:space="preserve">et al.</w:t>
      </w:r>
      <w:r>
        <w:t xml:space="preserve"> Rstanarm:</w:t>
      </w:r>
      <w:r>
        <w:t xml:space="preserve"> </w:t>
      </w:r>
      <w:r>
        <w:t xml:space="preserve">Bayesian Applied Regression Modeling</w:t>
      </w:r>
      <w:r>
        <w:t xml:space="preserve"> </w:t>
      </w:r>
      <w:r>
        <w:t xml:space="preserve">via</w:t>
      </w:r>
      <w:r>
        <w:t xml:space="preserve"> </w:t>
      </w:r>
      <w:r>
        <w:t xml:space="preserve">Stan</w:t>
      </w:r>
      <w:r>
        <w:t xml:space="preserve">. (2020).</w:t>
      </w:r>
    </w:p>
    <w:bookmarkEnd w:id="120"/>
    <w:bookmarkStart w:id="121" w:name="ref-stan_development_team_stan_2019"/>
    <w:p>
      <w:pPr>
        <w:pStyle w:val="Bibliography"/>
      </w:pPr>
      <w:r>
        <w:t xml:space="preserve">65.</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21"/>
    <w:bookmarkStart w:id="122" w:name="ref-vicente-serrano_multiscalar_2010"/>
    <w:p>
      <w:pPr>
        <w:pStyle w:val="Bibliography"/>
      </w:pPr>
      <w:r>
        <w:t xml:space="preserve">66.</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2"/>
    <w:bookmarkStart w:id="123" w:name="ref-begueria_standardized_2014"/>
    <w:p>
      <w:pPr>
        <w:pStyle w:val="Bibliography"/>
      </w:pPr>
      <w:r>
        <w:t xml:space="preserve">67.</w:t>
      </w:r>
      <w:r>
        <w:t xml:space="preserve"> </w:t>
      </w:r>
      <w:r>
        <w:t xml:space="preserve">	</w:t>
      </w:r>
      <w:r>
        <w:t xml:space="preserve">Beguería, S., Vicente-Serrano, S. M., Reig, F. &amp; Latorre, B.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rPr>
          <w:bCs/>
          <w:b/>
        </w:rPr>
        <w:t xml:space="preserve">34</w:t>
      </w:r>
      <w:r>
        <w:t xml:space="preserve">, 3001–3023 (2014).</w:t>
      </w:r>
    </w:p>
    <w:bookmarkEnd w:id="123"/>
    <w:bookmarkStart w:id="124" w:name="ref-vicente-serrano_multiscalar_2010a"/>
    <w:p>
      <w:pPr>
        <w:pStyle w:val="Bibliography"/>
      </w:pPr>
      <w:r>
        <w:t xml:space="preserve">68.</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w:t>
      </w:r>
      <w:r>
        <w:t xml:space="preserve"> </w:t>
      </w:r>
      <w:r>
        <w:t xml:space="preserve">The 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124"/>
    <w:bookmarkStart w:id="125" w:name="ref-stokes_introduction_1968"/>
    <w:p>
      <w:pPr>
        <w:pStyle w:val="Bibliography"/>
      </w:pPr>
      <w:r>
        <w:t xml:space="preserve">69.</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Tree-ring Dating</w:t>
      </w:r>
      <w:r>
        <w:t xml:space="preserve">. (</w:t>
      </w:r>
      <w:r>
        <w:t xml:space="preserve">University of Arizona Press</w:t>
      </w:r>
      <w:r>
        <w:t xml:space="preserve">, 1968).</w:t>
      </w:r>
    </w:p>
    <w:bookmarkEnd w:id="125"/>
    <w:bookmarkStart w:id="126" w:name="ref-alexander_potential_2019"/>
    <w:p>
      <w:pPr>
        <w:pStyle w:val="Bibliography"/>
      </w:pPr>
      <w:r>
        <w:t xml:space="preserve">70.</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26"/>
    <w:bookmarkStart w:id="127" w:name="ref-dye_comparing_2016"/>
    <w:p>
      <w:pPr>
        <w:pStyle w:val="Bibliography"/>
      </w:pPr>
      <w:r>
        <w:t xml:space="preserve">71.</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27"/>
    <w:bookmarkStart w:id="128" w:name="ref-maxwell_sampling_2020"/>
    <w:p>
      <w:pPr>
        <w:pStyle w:val="Bibliography"/>
      </w:pPr>
      <w:r>
        <w:t xml:space="preserve">72.</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28"/>
    <w:bookmarkStart w:id="130" w:name="ref-cook_methods_1990"/>
    <w:p>
      <w:pPr>
        <w:pStyle w:val="Bibliography"/>
      </w:pPr>
      <w:r>
        <w:t xml:space="preserve">73.</w:t>
      </w:r>
      <w:r>
        <w:t xml:space="preserve"> </w:t>
      </w:r>
      <w:r>
        <w:t xml:space="preserve">	</w:t>
      </w:r>
      <w:r>
        <w:rPr>
          <w:iCs/>
          <w:i/>
        </w:rPr>
        <w:t xml:space="preserve">Methods of</w:t>
      </w:r>
      <w:r>
        <w:rPr>
          <w:iCs/>
          <w:i/>
        </w:rPr>
        <w:t xml:space="preserve"> </w:t>
      </w:r>
      <w:r>
        <w:rPr>
          <w:iCs/>
          <w:i/>
        </w:rPr>
        <w:t xml:space="preserve">Dendrochronology</w:t>
      </w:r>
      <w:r>
        <w:rPr>
          <w:iCs/>
          <w:i/>
        </w:rPr>
        <w:t xml:space="preserve">:</w:t>
      </w:r>
      <w:r>
        <w:rPr>
          <w:iCs/>
          <w:i/>
        </w:rPr>
        <w:t xml:space="preserve"> </w:t>
      </w:r>
      <w:r>
        <w:rPr>
          <w:iCs/>
          <w:i/>
        </w:rPr>
        <w:t xml:space="preserve">Applications</w:t>
      </w:r>
      <w:r>
        <w:rPr>
          <w:iCs/>
          <w:i/>
        </w:rPr>
        <w:t xml:space="preserve"> </w:t>
      </w:r>
      <w:r>
        <w:rPr>
          <w:iCs/>
          <w:i/>
        </w:rPr>
        <w:t xml:space="preserve">in the</w:t>
      </w:r>
      <w:r>
        <w:rPr>
          <w:iCs/>
          <w:i/>
        </w:rPr>
        <w:t xml:space="preserve"> </w:t>
      </w:r>
      <w:r>
        <w:rPr>
          <w:iCs/>
          <w:i/>
        </w:rPr>
        <w:t xml:space="preserve">Environmental Sciences</w:t>
      </w:r>
      <w:r>
        <w:t xml:space="preserve">. (</w:t>
      </w:r>
      <w:r>
        <w:t xml:space="preserve">Springer Netherlands</w:t>
      </w:r>
      <w:r>
        <w:t xml:space="preserve">, 1990). doi:</w:t>
      </w:r>
      <w:hyperlink r:id="rId129">
        <w:r>
          <w:rPr>
            <w:rStyle w:val="Hyperlink"/>
          </w:rPr>
          <w:t xml:space="preserve">10.1007/978-94-015-7879-0</w:t>
        </w:r>
      </w:hyperlink>
      <w:r>
        <w:t xml:space="preserve">.</w:t>
      </w:r>
    </w:p>
    <w:bookmarkEnd w:id="130"/>
    <w:bookmarkStart w:id="131" w:name="ref-cook_time_1985"/>
    <w:p>
      <w:pPr>
        <w:pStyle w:val="Bibliography"/>
      </w:pPr>
      <w:r>
        <w:t xml:space="preserve">74.</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31"/>
    <w:bookmarkStart w:id="132" w:name="ref-cook_calculating_1997"/>
    <w:p>
      <w:pPr>
        <w:pStyle w:val="Bibliography"/>
      </w:pPr>
      <w:r>
        <w:t xml:space="preserve">75.</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32"/>
    <w:bookmarkStart w:id="133" w:name="ref-jones_estimating_1997"/>
    <w:p>
      <w:pPr>
        <w:pStyle w:val="Bibliography"/>
      </w:pPr>
      <w:r>
        <w:t xml:space="preserve">76.</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33"/>
    <w:bookmarkStart w:id="134" w:name="ref-harris_version_2020"/>
    <w:p>
      <w:pPr>
        <w:pStyle w:val="Bibliography"/>
      </w:pPr>
      <w:r>
        <w:t xml:space="preserve">77.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134"/>
    <w:bookmarkStart w:id="135" w:name="ref-bunn_dendrochronology_2008"/>
    <w:p>
      <w:pPr>
        <w:pStyle w:val="Bibliography"/>
      </w:pPr>
      <w:r>
        <w:t xml:space="preserve">78.</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35"/>
    <w:bookmarkStart w:id="136" w:name="ref-zang_dendroclimatic_2013"/>
    <w:p>
      <w:pPr>
        <w:pStyle w:val="Bibliography"/>
      </w:pPr>
      <w:r>
        <w:t xml:space="preserve">79.</w:t>
      </w:r>
      <w:r>
        <w:t xml:space="preserve"> </w:t>
      </w:r>
      <w:r>
        <w:t xml:space="preserve">	</w:t>
      </w:r>
      <w:r>
        <w:t xml:space="preserve">Zang, C. &amp; Biondi, F.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36"/>
    <w:bookmarkStart w:id="137" w:name="ref-biondi_dendroclim2002_2004"/>
    <w:p>
      <w:pPr>
        <w:pStyle w:val="Bibliography"/>
      </w:pPr>
      <w:r>
        <w:t xml:space="preserve">80.</w:t>
      </w:r>
      <w:r>
        <w:t xml:space="preserve"> </w:t>
      </w:r>
      <w:r>
        <w:t xml:space="preserve">	</w:t>
      </w:r>
      <w:r>
        <w:t xml:space="preserve">Biondi, F. &amp; Waikul, K.</w:t>
      </w:r>
      <w:r>
        <w:t xml:space="preserve"> </w:t>
      </w:r>
      <w:r>
        <w:t xml:space="preserve">DENDROCLIM2002</w:t>
      </w:r>
      <w:r>
        <w:t xml:space="preserve"> </w:t>
      </w:r>
      <w:r>
        <w:t xml:space="preserve">:</w:t>
      </w:r>
      <w:r>
        <w:t xml:space="preserve"> </w:t>
      </w:r>
      <w:r>
        <w:t xml:space="preserve">A 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37"/>
    <w:bookmarkEnd w:id="138"/>
    <w:bookmarkEnd w:id="139"/>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9"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44" Target="https://cran.r-project.org/web/packages/climwin/index.html" TargetMode="External" /><Relationship Type="http://schemas.openxmlformats.org/officeDocument/2006/relationships/hyperlink" Id="rId42" Target="https://developers.google.com/earth-engine/datasets/catalog/MODIS_006_MCD12Q2#description" TargetMode="External" /><Relationship Type="http://schemas.openxmlformats.org/officeDocument/2006/relationships/hyperlink" Id="rId129" Target="https://doi.org/10.1007/978-94-015-7879-0" TargetMode="External" /><Relationship Type="http://schemas.openxmlformats.org/officeDocument/2006/relationships/hyperlink" Id="rId67" Target="https://doi.org/10.1038/s41558-020-00976-6" TargetMode="External" /><Relationship Type="http://schemas.openxmlformats.org/officeDocument/2006/relationships/hyperlink" Id="rId80" Target="https://doi.org/10.1038/s41559-022-01668-4" TargetMode="External" /><Relationship Type="http://schemas.openxmlformats.org/officeDocument/2006/relationships/hyperlink" Id="rId53" Target="https://doi.org/10.1073/pnas.2002713117" TargetMode="External" /><Relationship Type="http://schemas.openxmlformats.org/officeDocument/2006/relationships/hyperlink" Id="rId89" Target="https://doi.org/10.1093/treephys/tpab101" TargetMode="External" /><Relationship Type="http://schemas.openxmlformats.org/officeDocument/2006/relationships/hyperlink" Id="rId99" Target="https://doi.org/10.1111/gcb.15574" TargetMode="External" /><Relationship Type="http://schemas.openxmlformats.org/officeDocument/2006/relationships/hyperlink" Id="rId110" Target="https://doi.org/10.5067/MODIS/MCD12Q2.006" TargetMode="External" /><Relationship Type="http://schemas.openxmlformats.org/officeDocument/2006/relationships/hyperlink" Id="rId112" Target="https://doi.org/10.5281/ZENODO.4041609" TargetMode="External" /><Relationship Type="http://schemas.openxmlformats.org/officeDocument/2006/relationships/hyperlink" Id="rId115" Target="https://doi.org/10.6073/PASTA/213335F5DAA17222A738C105B9FA60C4" TargetMode="External" /><Relationship Type="http://schemas.openxmlformats.org/officeDocument/2006/relationships/hyperlink" Id="rId117"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34" Target="https://github.com/EcoClimLab/growth_phenology" TargetMode="External" /><Relationship Type="http://schemas.openxmlformats.org/officeDocument/2006/relationships/hyperlink" Id="rId35" Target="https://github.com/SCBI-ForestGEO/Dendrobands" TargetMode="External" /><Relationship Type="http://schemas.openxmlformats.org/officeDocument/2006/relationships/hyperlink" Id="rId40" Target="https://github.com/forestgeo/Climate/tree/master/Climate_Data/CRU" TargetMode="External" /><Relationship Type="http://schemas.openxmlformats.org/officeDocument/2006/relationships/hyperlink" Id="rId37" Target="https://github.com/forestgeo/Climate/tree/master/Climate_Data/Met_Stations/SCBI" TargetMode="External" /><Relationship Type="http://schemas.openxmlformats.org/officeDocument/2006/relationships/hyperlink" Id="rId41" Target="https://github.com/forestgeo/Climate/tree/master/Climate_Data/SPEI" TargetMode="External" /><Relationship Type="http://schemas.openxmlformats.org/officeDocument/2006/relationships/hyperlink" Id="rId45" Target="https://github.com/seanmcm/RDendrom/" TargetMode="External" /><Relationship Type="http://schemas.openxmlformats.org/officeDocument/2006/relationships/hyperlink" Id="rId39" Target="https://harvardforest1.fas.harvard.edu/exist/apps/datasets/showData.html?id=HF000" TargetMode="External" /><Relationship Type="http://schemas.openxmlformats.org/officeDocument/2006/relationships/hyperlink" Id="rId38" Target="https://harvardforest1.fas.harvard.edu/exist/apps/datasets/showData.html?id=HF001" TargetMode="External" /><Relationship Type="http://schemas.openxmlformats.org/officeDocument/2006/relationships/hyperlink" Id="rId36" Target="https://harvardforest1.fas.harvard.edu/exist/apps/datasets/showData.html?id=HF149"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2022-03-18T13:19:08Z</dcterms:created>
  <dcterms:modified xsi:type="dcterms:W3CDTF">2022-03-18T13:19:08Z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