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r>
        <w:t xml:space="preserve"> </w:t>
      </w:r>
      <w:r>
        <w:rPr>
          <w:iCs/>
          <w:i/>
        </w:rPr>
        <w:t xml:space="preserve">/annual increments</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bookmarkStart w:id="3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mixed, weak effects on peak growing season length, maximum daily growth rates, and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Cs/>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Cs/>
          <w:i/>
        </w:rPr>
        <w:t xml:space="preserve">in most models</w:t>
      </w:r>
      <w:r>
        <w:rPr>
          <w:vertAlign w:val="superscript"/>
          <w:iCs/>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Cs/>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20</w:t>
      </w:r>
      <w:r>
        <w:t xml:space="preserve"> </w:t>
      </w:r>
      <w:r>
        <w:t xml:space="preserve">and sometimes later autumn senesence</w:t>
      </w:r>
      <w:r>
        <w:rPr>
          <w:vertAlign w:val="superscript"/>
        </w:rPr>
        <w:t xml:space="preserve">1</w:t>
      </w:r>
      <w: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w:t>
      </w:r>
      <w:r>
        <w:rPr>
          <w:vertAlign w:val="superscript"/>
        </w:rPr>
        <w:t xml:space="preserve">2,21,</w:t>
      </w:r>
      <w:r>
        <w:rPr>
          <w:bCs/>
          <w:b/>
          <w:vertAlign w:val="superscript"/>
        </w:rPr>
        <w:t xml:space="preserve">barichivich_large-scale_2013?</w:t>
      </w:r>
      <w:r>
        <w:t xml:space="preserve"> </w:t>
      </w:r>
      <w:r>
        <w:t xml:space="preserve">Warmer spring temperatures and earlier leaf-out are also linked to earlier leaf senescence</w:t>
      </w:r>
      <w:r>
        <w:rPr>
          <w:vertAlign w:val="superscript"/>
        </w:rPr>
        <w:t xml:space="preserve">17,22,</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18,</w:t>
      </w:r>
      <w:r>
        <w:rPr>
          <w:bCs/>
          <w:b/>
          <w:vertAlign w:val="superscript"/>
        </w:rPr>
        <w:t xml:space="preserve">lempereur_growth_2015?</w:t>
      </w:r>
      <w:r>
        <w:t xml:space="preserve">.</w:t>
      </w:r>
      <w:r>
        <w:t xml:space="preserve"> </w:t>
      </w:r>
      <w:r>
        <w:t xml:space="preserve">However, warmer summer and autumn temperatures and drought led to a delay of leaf senescence</w:t>
      </w:r>
      <w:r>
        <w:rPr>
          <w:vertAlign w:val="superscript"/>
        </w:rPr>
        <w:t xml:space="preserve">1,6,8,9,17,23,</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 As a result, warming may advance or delay autumn senescence, with delays more common across eastern North America.</w:t>
      </w:r>
      <w:r>
        <w:rPr>
          <w:vertAlign w:val="superscript"/>
        </w:rPr>
        <w:t xml:space="preserve">3</w:t>
      </w:r>
    </w:p>
    <w:p>
      <w:pPr>
        <w:pStyle w:val="BodyText"/>
      </w:pPr>
      <w:r>
        <w:t xml:space="preserve">Spring warming generally results in an increased growing season length, measured as the period over which trees have photosynthetically active leaves[</w:t>
      </w:r>
      <w:r>
        <w:rPr>
          <w:vertAlign w:val="superscript"/>
        </w:rPr>
        <w:t xml:space="preserve">1</w:t>
      </w:r>
      <w:r>
        <w:t xml:space="preserve">;;</w:t>
      </w:r>
      <w:r>
        <w:rPr>
          <w:vertAlign w:val="superscript"/>
        </w:rPr>
        <w:t xml:space="preserve">6</w:t>
      </w:r>
      <w:r>
        <w:t xml:space="preserve">;;</w:t>
      </w:r>
      <w:r>
        <w:rPr>
          <w:vertAlign w:val="superscript"/>
        </w:rPr>
        <w:t xml:space="preserve">5</w:t>
      </w:r>
      <w:r>
        <w:t xml:space="preserve">;</w:t>
      </w:r>
      <w:r>
        <w:rPr>
          <w:vertAlign w:val="superscript"/>
        </w:rPr>
        <w:t xml:space="preserve">4</w:t>
      </w:r>
      <w:r>
        <w:t xml:space="preserve">] and the ecosystem is a net CO</w:t>
      </w:r>
      <w:r>
        <w:rPr>
          <w:vertAlign w:val="subscript"/>
        </w:rPr>
        <w:t xml:space="preserve">2</w:t>
      </w:r>
      <w:r>
        <w:t xml:space="preserve"> </w:t>
      </w:r>
      <w:r>
        <w:t xml:space="preserve">sink (Are flux sources used above ok to put here?).</w:t>
      </w:r>
      <w:r>
        <w:rPr>
          <w:vertAlign w:val="superscript"/>
        </w:rPr>
        <w:t xml:space="preserve">2,21,</w:t>
      </w:r>
      <w:r>
        <w:rPr>
          <w:bCs/>
          <w:b/>
          <w:vertAlign w:val="superscript"/>
        </w:rPr>
        <w:t xml:space="preserve">barichivich_large-scale_2013?</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1">
        <w:r>
          <w:rPr>
            <w:rStyle w:val="Hyperlink"/>
          </w:rPr>
          <w:t xml:space="preserve">this expectation is represented in models</w:t>
        </w:r>
      </w:hyperlink>
      <w:r>
        <w:t xml:space="preserve">.</w:t>
      </w:r>
      <w:r>
        <w:rPr>
          <w:vertAlign w:val="superscript"/>
        </w:rPr>
        <w:t xml:space="preserve">3,18</w:t>
      </w:r>
    </w:p>
    <w:p>
      <w:pPr>
        <w:pStyle w:val="BodyText"/>
      </w:pP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and stem growth cessation is induced when water deficits reach a certain point</w:t>
      </w:r>
      <w:r>
        <w:rPr>
          <w:bCs/>
          <w:b/>
          <w:vertAlign w:val="superscript"/>
        </w:rPr>
        <w:t xml:space="preserve">lempereur_growth_2015?</w:t>
      </w:r>
      <w:r>
        <w:t xml:space="preserve"> </w:t>
      </w:r>
      <w:r>
        <w:t xml:space="preserve">or sink factors become limiting</w:t>
      </w:r>
      <w:r>
        <w:rPr>
          <w:vertAlign w:val="superscript"/>
        </w:rPr>
        <w:t xml:space="preserve">18,</w:t>
      </w:r>
      <w:r>
        <w:rPr>
          <w:bCs/>
          <w:b/>
          <w:vertAlign w:val="superscript"/>
        </w:rPr>
        <w:t xml:space="preserve">zohner_how_2021?</w:t>
      </w:r>
      <w:r>
        <w:t xml:space="preserve"> </w:t>
      </w:r>
      <w:r>
        <w:t xml:space="preserve">suggests that warmer spring temperatures and earlier leaf-out may not have a positive effect on C sequestration in trees.</w:t>
      </w:r>
    </w:p>
    <w:p>
      <w:pPr>
        <w:pStyle w:val="BodyText"/>
      </w:pPr>
      <w:r>
        <w:t xml:space="preserve">Temperate deciduous forests, including those in eastern North America, have historically been net carbon sinks. Sink limitation means that resources or temperature effects on the sink (the trees) will become limiting before the source (CO2) is limiting. The implication is that the benefits of CO2 fertilization will eventually reach an asymptote as other resources necessary for plant growth run out. Currently, our understanding of when and where these limits will be reached is incomplete, so forest models tend to assume the increase in photosynthesis as atmospheric CO2 levels increase is unlimited.(Maybe not true, i’m not 100% familiar with the modeling still.)</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Understanding how trees are responding to warming temperatures and rising CO2 levels, and how growth may become limited because of interactions between the two is essential to improve our predictions. Zohner et al, (2020)</w:t>
      </w:r>
      <w:r>
        <w:rPr>
          <w:bCs/>
          <w:b/>
          <w:vertAlign w:val="superscript"/>
        </w:rPr>
        <w:t xml:space="preserve">zohner_how_2021?</w:t>
      </w:r>
      <w:r>
        <w:t xml:space="preserve"> </w:t>
      </w:r>
      <w:r>
        <w:t xml:space="preserve">found that under controled conditions, spring warming increases biomass accumulation in trees, with a larger proportion of root compared to shoot growth. The authors also found evidence of sink limitation in autumn, even with controlled water and fertilizer application to the study trees. To our knowledge, the link between phenology and growth has never been studied in-situ.</w:t>
      </w:r>
    </w:p>
    <w:p>
      <w:pPr>
        <w:pStyle w:val="BodyText"/>
      </w:pPr>
      <w:r>
        <w:t xml:space="preserve">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a few site.</w:t>
      </w:r>
      <w:r>
        <w:rPr>
          <w:bCs/>
          <w:b/>
          <w:vertAlign w:val="superscript"/>
        </w:rPr>
        <w:t xml:space="preserve">doranngeville_radial_inreview?</w:t>
      </w:r>
      <w:r>
        <w:rPr>
          <w:vertAlign w:val="superscript"/>
        </w:rPr>
        <w:t xml:space="preserve">,</w:t>
      </w:r>
      <w:r>
        <w:rPr>
          <w:bCs/>
          <w:b/>
          <w:vertAlign w:val="superscript"/>
        </w:rPr>
        <w:t xml:space="preserve">martin_hydrometeorology_2017?</w:t>
      </w:r>
      <w:r>
        <w:t xml:space="preserve"> </w:t>
      </w:r>
      <w:r>
        <w:rPr>
          <w:iCs/>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27</w:t>
      </w:r>
      <w:r>
        <w:t xml:space="preserve">;@] [MORE]).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from 2011-2020) and Harvard Forest (Massachusetts; n =</w:t>
      </w:r>
      <w:r>
        <w:t xml:space="preserve"> </w:t>
      </w:r>
      <w:r>
        <w:rPr>
          <w:bCs/>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needs attention!!!"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#needs attention!!!</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20</w:t>
      </w:r>
      <w:r>
        <w:t xml:space="preserve">, at our focal sites the DOY of leaf greenup (measured at ecosystem level via remote sensing)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when comparing the years with the warmest and coldest mean</w:t>
      </w:r>
      <w:r>
        <w:t xml:space="preserve"> </w:t>
      </w:r>
      <m:oMath>
        <m:sSub>
          <m:e>
            <m:r>
              <m:t>T</m:t>
            </m:r>
          </m:e>
          <m:sub>
            <m:r>
              <m:t>m</m:t>
            </m:r>
            <m:r>
              <m:t>a</m:t>
            </m:r>
            <m:r>
              <m:t>x</m:t>
            </m:r>
          </m:sub>
        </m:sSub>
      </m:oMath>
      <w:r>
        <w:t xml:space="preserve"> </w:t>
      </w:r>
      <w:r>
        <w:t xml:space="preserve">during the critical temperature window,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during the critical temperature window (Figs. 1, 2; see also Extended Data Figures Extended Data Figure 4-Extended Data Figure 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HF,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7"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 See</w:t>
      </w:r>
      <w:r>
        <w:t xml:space="preserve"> </w:t>
      </w:r>
      <w:hyperlink r:id="rId26">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w:t>
      </w:r>
      <w:r>
        <w:t xml:space="preserve"> </w:t>
      </w:r>
      <w:r>
        <w:rPr>
          <w:rStyle w:val="VerbatimChar"/>
        </w:rPr>
        <w:t xml:space="preserve">r_n_chronologies</w:t>
      </w:r>
      <w:r>
        <w:t xml:space="preserve"> </w:t>
      </w:r>
      <w:r>
        <w:t xml:space="preserve">species at sites distributed from Alabama (Lat = 34.35) to Michigan (Lat = 45.56) and spanning a 15</w:t>
      </w:r>
      <w:r>
        <w:t xml:space="preserve"> </w:t>
      </w:r>
      <m:oMath>
        <m:sSup>
          <m:e>
            <m:r>
              <m:t>​</m:t>
            </m:r>
          </m:e>
          <m:sup>
            <m:r>
              <m:rPr>
                <m:sty m:val="p"/>
              </m:rPr>
              <m:t>∘</m:t>
            </m:r>
          </m:sup>
        </m:sSup>
      </m:oMath>
      <w:r>
        <w:t xml:space="preserve">C range in</w:t>
      </w:r>
      <w:r>
        <w:t xml:space="preserve"> </w:t>
      </w:r>
      <w:r>
        <w:rPr>
          <w:strike/>
        </w:rPr>
        <w:t xml:space="preserve">CTW</w:t>
      </w:r>
      <w:r>
        <w:t xml:space="preserve"> </w:t>
      </w:r>
      <w:r>
        <w:t xml:space="preserve">April</w:t>
      </w:r>
      <w:r>
        <w:t xml:space="preserve"> </w:t>
      </w:r>
      <m:oMath>
        <m:sSub>
          <m:e>
            <m:r>
              <m:t>T</m:t>
            </m:r>
          </m:e>
          <m:sub>
            <m:r>
              <m:t>m</m:t>
            </m:r>
            <m:r>
              <m:t>a</m:t>
            </m:r>
            <m:r>
              <m:t>x</m:t>
            </m:r>
          </m:sub>
        </m:sSub>
      </m:oMath>
      <w:r>
        <w:t xml:space="preserve"> </w:t>
      </w:r>
      <w:r>
        <w:t xml:space="preserve">(</w:t>
      </w:r>
      <w:r>
        <w:rPr>
          <w:bCs/>
          <w:b/>
        </w:rPr>
        <w:t xml:space="preserve">Cam, please confirm this change</w:t>
      </w:r>
      <w:r>
        <w:t xml:space="preserve">).</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7"/>
    <w:bookmarkStart w:id="30"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 ] or inducing the cessation of stem growth when a critical water deficit is reached</w:t>
      </w:r>
      <w:r>
        <w:rPr>
          <w:bCs/>
          <w:b/>
          <w:vertAlign w:val="superscript"/>
        </w:rPr>
        <w:t xml:space="preserve">lempereur_growth_2015?</w:t>
      </w:r>
      <w:r>
        <w:t xml:space="preserve">.</w:t>
      </w:r>
    </w:p>
    <w:p>
      <w:pPr>
        <w:pStyle w:val="BodyText"/>
      </w:pPr>
      <w:r>
        <w:t xml:space="preserve">Spring warming at SCBI and HF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sink-limited.</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Cs/>
          <w:i/>
        </w:rPr>
        <w:t xml:space="preserve">It is possible that an earlier start to the growing season may provide some buffer against drought later in the growing season</w:t>
      </w:r>
      <w:r>
        <w:rPr>
          <w:vertAlign w:val="superscript"/>
          <w:iCs/>
          <w:i/>
        </w:rPr>
        <w:t xml:space="preserve">31</w:t>
      </w:r>
      <w:r>
        <w:rPr>
          <w:iCs/>
          <w:i/>
        </w:rPr>
        <w:t xml:space="preserve">, potentially contributing to observed trends of declining drought sensitivity in the region</w:t>
      </w:r>
      <w:r>
        <w:rPr>
          <w:vertAlign w:val="superscript"/>
          <w:iCs/>
          <w:i/>
        </w:rPr>
        <w:t xml:space="preserve">16,27,32</w:t>
      </w:r>
      <w:r>
        <w:rPr>
          <w:iCs/>
          <w:i/>
        </w:rPr>
        <w:t xml:space="preserve">. (Is this relevent?)</w:t>
      </w:r>
      <w:r>
        <w:t xml:space="preserve">(Neil suggested that the zhang paper would be good here but i’m not sure I see how…)</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We cannot rule out the possibility that more carbon-dense cell walls form in years with warmer springs. (</w:t>
      </w:r>
      <w:r>
        <w:rPr>
          <w:bCs/>
          <w:b/>
        </w:rPr>
        <w:t xml:space="preserve">coauthors, do any of you know literature related to this?</w:t>
      </w:r>
      <w:r>
        <w:t xml:space="preserve">)</w:t>
      </w:r>
      <w:r>
        <w:t xml:space="preserve"> </w:t>
      </w:r>
      <w:r>
        <w:t xml:space="preserve">However,</w:t>
      </w:r>
      <w:r>
        <w:t xml:space="preserve"> </w:t>
      </w:r>
      <w:hyperlink r:id="rId28">
        <w:r>
          <w:rPr>
            <w:rStyle w:val="Hyperlink"/>
          </w:rPr>
          <w:t xml:space="preserve">extension of our tree-ring analysis</w:t>
        </w:r>
      </w:hyperlink>
      <w:r>
        <w:t xml:space="preserve"> </w:t>
      </w:r>
      <w:r>
        <w:t xml:space="preserve">showed very little correlation between April</w:t>
      </w:r>
      <w:r>
        <w:t xml:space="preserve"> </w:t>
      </w:r>
      <m:oMath>
        <m:sSub>
          <m:e>
            <m:r>
              <m:t>T</m:t>
            </m:r>
          </m:e>
          <m:sub>
            <m:r>
              <m:t>m</m:t>
            </m:r>
            <m:r>
              <m:t>a</m:t>
            </m:r>
            <m:r>
              <m:t>x</m:t>
            </m:r>
          </m:sub>
        </m:sSub>
      </m:oMath>
      <w:r>
        <w:t xml:space="preserve"> </w:t>
      </w:r>
      <w:r>
        <w:t xml:space="preserve">and growth the following year (</w:t>
      </w:r>
      <w:r>
        <w:rPr>
          <w:bCs/>
          <w:b/>
        </w:rPr>
        <w:t xml:space="preserve">#</w:t>
      </w:r>
      <w:r>
        <w:t xml:space="preserve"> </w:t>
      </w:r>
      <w:r>
        <w:t xml:space="preserve">of 142 RP and</w:t>
      </w:r>
      <w:r>
        <w:t xml:space="preserve"> </w:t>
      </w:r>
      <w:r>
        <w:rPr>
          <w:bCs/>
          <w:b/>
        </w:rPr>
        <w:t xml:space="preserve">#</w:t>
      </w:r>
      <w:r>
        <w:t xml:space="preserve"> </w:t>
      </w:r>
      <w:r>
        <w:t xml:space="preserve">of 66 DP species-site combinations), refuting the latter possibility and suggesting that, barring formation of much denser wood in years with warm springs, little of the extra C that may be fixed in these years goes into wood formation.</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is photosynthesis</w:t>
      </w:r>
      <w:r>
        <w:rPr>
          <w:bCs/>
          <w:b/>
          <w:vertAlign w:val="superscript"/>
        </w:rPr>
        <w:t xml:space="preserve">muller_water_2011?</w:t>
      </w:r>
      <w:r>
        <w:t xml:space="preserve">.</w:t>
      </w:r>
      <w:r>
        <w:t xml:space="preserve"> </w:t>
      </w:r>
      <w:hyperlink r:id="rId29">
        <w:r>
          <w:rPr>
            <w:rStyle w:val="Hyperlink"/>
          </w:rPr>
          <w:t xml:space="preserve">This seems to promote the investment of sequestered carbon into root growth in times of drought stress. Zoehner et al 2021</w:t>
        </w:r>
        <w:r>
          <w:rPr>
            <w:rStyle w:val="Hyperlink"/>
            <w:bCs/>
            <w:b/>
            <w:vertAlign w:val="superscript"/>
          </w:rPr>
          <w:t xml:space="preserve">zohner_how_2021?</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rStyle w:val="Hyperlink"/>
            <w:strike/>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w:t>
      </w:r>
      <w:r>
        <w:t xml:space="preserve"> </w:t>
      </w:r>
      <w:r>
        <w:rPr>
          <w:iCs/>
          <w:i/>
        </w:rPr>
        <w:t xml:space="preserve">(This study only considered a time frame of a year or less?)</w:t>
      </w:r>
      <w:r>
        <w:t xml:space="preserve">,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16,</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16,27,29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1">
        <w:r>
          <w:rPr>
            <w:rStyle w:val="Hyperlink"/>
            <w:iCs/>
            <w:i/>
          </w:rPr>
          <w:t xml:space="preserve">GitHub issue 56 on representation in models</w:t>
        </w:r>
      </w:hyperlink>
      <w:r>
        <w:t xml:space="preserve">)</w:t>
      </w:r>
      <w:r>
        <w:t xml:space="preserve"> </w:t>
      </w:r>
      <w:r>
        <w:t xml:space="preserve">m</w:t>
      </w:r>
    </w:p>
    <w:bookmarkEnd w:id="30"/>
    <w:bookmarkEnd w:id="31"/>
    <w:bookmarkStart w:id="44"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2"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bookmarkEnd w:id="32"/>
    <w:bookmarkStart w:id="40" w:name="Data"/>
    <w:p>
      <w:pPr>
        <w:pStyle w:val="Heading2"/>
      </w:pPr>
      <w:r>
        <w:t xml:space="preserve">Data collection and preparation</w:t>
      </w:r>
    </w:p>
    <w:bookmarkStart w:id="33"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28</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3"/>
    <w:bookmarkStart w:id="35" w:name="leaf-phenology"/>
    <w:p>
      <w:pPr>
        <w:pStyle w:val="Heading3"/>
      </w:pPr>
      <w:r>
        <w:rPr>
          <w:rStyle w:val="SectionNumber"/>
        </w:rPr>
        <w:t xml:space="preserve">1.0.1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4">
        <w:r>
          <w:rPr>
            <w:rStyle w:val="Hyperlink"/>
          </w:rPr>
          <w:t xml:space="preserve">https://developers.google.com/earth-engine/datasets/catalog/MODIS_006_MCD12Q2#description</w:t>
        </w:r>
      </w:hyperlink>
    </w:p>
    <w:bookmarkEnd w:id="35"/>
    <w:bookmarkStart w:id="36"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27</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38</w:t>
      </w:r>
      <w:r>
        <w:t xml:space="preserve"> and trees found newly dead in annual tree mortality in 2016 and 2017(</w:t>
      </w:r>
      <w:r>
        <w:rPr>
          <w:vertAlign w:val="superscript"/>
        </w:rPr>
        <w:t xml:space="preserve">27</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29,</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6"/>
    <w:bookmarkStart w:id="39"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7">
        <w:r>
          <w:rPr>
            <w:rStyle w:val="Hyperlink"/>
          </w:rPr>
          <w:t xml:space="preserve">https://forestgeo.github.io/Climate/</w:t>
        </w:r>
      </w:hyperlink>
      <w:r>
        <w:t xml:space="preserve">;].</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8">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again via the ForestGEO Climate Data Portal v1.0.</w:t>
      </w:r>
      <w:r>
        <w:rPr>
          <w:vertAlign w:val="superscript"/>
        </w:rPr>
        <w:t xml:space="preserve">43</w:t>
      </w:r>
    </w:p>
    <w:bookmarkEnd w:id="39"/>
    <w:bookmarkEnd w:id="40"/>
    <w:bookmarkStart w:id="43" w:name="analyses"/>
    <w:p>
      <w:pPr>
        <w:pStyle w:val="Heading2"/>
      </w:pPr>
      <w:r>
        <w:rPr>
          <w:rStyle w:val="SectionNumber"/>
        </w:rPr>
        <w:t xml:space="preserve">1.1</w:t>
      </w:r>
      <w:r>
        <w:tab/>
      </w:r>
      <w:r>
        <w:t xml:space="preserve">Analyses</w:t>
      </w:r>
    </w:p>
    <w:bookmarkStart w:id="41"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Determining the climate variables that most strongly control all parameters is beyond the scope of this analysis.</w:t>
      </w:r>
    </w:p>
    <w:bookmarkEnd w:id="41"/>
    <w:bookmarkStart w:id="42"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2"/>
    <w:bookmarkEnd w:id="43"/>
    <w:bookmarkEnd w:id="44"/>
    <w:bookmarkStart w:id="45"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5"/>
    <w:bookmarkStart w:id="46" w:name="Author"/>
    <w:p>
      <w:pPr>
        <w:pStyle w:val="Heading1"/>
      </w:pPr>
      <w:r>
        <w:t xml:space="preserve">Author Contributions</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00" w:name="References"/>
    <w:p>
      <w:pPr>
        <w:pStyle w:val="Heading1"/>
      </w:pPr>
      <w:r>
        <w:t xml:space="preserve">References</w:t>
      </w:r>
    </w:p>
    <w:bookmarkStart w:id="99"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1"/>
    <w:bookmarkStart w:id="52"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2"/>
    <w:bookmarkStart w:id="53"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3"/>
    <w:bookmarkStart w:id="54"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7"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7"/>
    <w:bookmarkStart w:id="58"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0"/>
    <w:bookmarkStart w:id="61"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1"/>
    <w:bookmarkStart w:id="63" w:name="ref-anderson-teixeira_carbon_2021"/>
    <w:p>
      <w:pPr>
        <w:pStyle w:val="Bibliography"/>
      </w:pPr>
      <w:r>
        <w:t xml:space="preserve">15.</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62">
        <w:r>
          <w:rPr>
            <w:rStyle w:val="Hyperlink"/>
          </w:rPr>
          <w:t xml:space="preserve">10.1088/1748-9326/abed01</w:t>
        </w:r>
      </w:hyperlink>
      <w:r>
        <w:t xml:space="preserve">.</w:t>
      </w:r>
    </w:p>
    <w:bookmarkEnd w:id="63"/>
    <w:bookmarkStart w:id="64" w:name="ref-zhang_drought_2021"/>
    <w:p>
      <w:pPr>
        <w:pStyle w:val="Bibliography"/>
      </w:pPr>
      <w:r>
        <w:t xml:space="preserve">16.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4"/>
    <w:bookmarkStart w:id="65" w:name="ref-zohner_ongoing_2019"/>
    <w:p>
      <w:pPr>
        <w:pStyle w:val="Bibliography"/>
      </w:pPr>
      <w:r>
        <w:t xml:space="preserve">17.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5"/>
    <w:bookmarkStart w:id="66" w:name="ref-zani_increased_2020"/>
    <w:p>
      <w:pPr>
        <w:pStyle w:val="Bibliography"/>
      </w:pPr>
      <w:r>
        <w:t xml:space="preserve">18.</w:t>
      </w:r>
      <w:r>
        <w:t xml:space="preserve"> </w:t>
      </w:r>
      <w:r>
        <w:t xml:space="preserve">	</w:t>
      </w:r>
      <w:r>
        <w:t xml:space="preserve">Zani, D., Crowther, T. W., Mo, L., Renner, S. S. &amp; Zohner, C. M. Increased growing-season productivity drives earlier autumn leaf senescence in temperate trees. 7 (2020).</w:t>
      </w:r>
    </w:p>
    <w:bookmarkEnd w:id="66"/>
    <w:bookmarkStart w:id="67"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piao_net_2008"/>
    <w:p>
      <w:pPr>
        <w:pStyle w:val="Bibliography"/>
      </w:pPr>
      <w:r>
        <w:t xml:space="preserve">21.</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69"/>
    <w:bookmarkStart w:id="70"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0"/>
    <w:bookmarkStart w:id="71"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1"/>
    <w:bookmarkStart w:id="72" w:name="ref-churkina_spatial_2005"/>
    <w:p>
      <w:pPr>
        <w:pStyle w:val="Bibliography"/>
      </w:pPr>
      <w:r>
        <w:t xml:space="preserve">24.</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2"/>
    <w:bookmarkStart w:id="73" w:name="ref-arora_carbon_2020"/>
    <w:p>
      <w:pPr>
        <w:pStyle w:val="Bibliography"/>
      </w:pPr>
      <w:r>
        <w:t xml:space="preserve">25.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3"/>
    <w:bookmarkStart w:id="74" w:name="ref-friedlingstein_global_2020"/>
    <w:p>
      <w:pPr>
        <w:pStyle w:val="Bibliography"/>
      </w:pPr>
      <w:r>
        <w:t xml:space="preserve">26.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4"/>
    <w:bookmarkStart w:id="75"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5"/>
    <w:bookmarkStart w:id="76"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6"/>
    <w:bookmarkStart w:id="77" w:name="ref-dorangeville_drought_2018"/>
    <w:p>
      <w:pPr>
        <w:pStyle w:val="Bibliography"/>
      </w:pPr>
      <w:r>
        <w:t xml:space="preserve">29.</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7"/>
    <w:bookmarkStart w:id="78" w:name="ref-alexander_potential_2019"/>
    <w:p>
      <w:pPr>
        <w:pStyle w:val="Bibliography"/>
      </w:pPr>
      <w:r>
        <w:t xml:space="preserve">30.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wolf_warm_2016"/>
    <w:p>
      <w:pPr>
        <w:pStyle w:val="Bibliography"/>
      </w:pPr>
      <w:r>
        <w:t xml:space="preserve">31.</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9"/>
    <w:bookmarkStart w:id="80" w:name="ref-maxwell_declining_2016"/>
    <w:p>
      <w:pPr>
        <w:pStyle w:val="Bibliography"/>
      </w:pPr>
      <w:r>
        <w:t xml:space="preserve">32.</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0"/>
    <w:bookmarkStart w:id="81"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1"/>
    <w:bookmarkStart w:id="82"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2"/>
    <w:bookmarkStart w:id="83"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3"/>
    <w:bookmarkStart w:id="85"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7" w:name="ref-friedl_mcd12q2_2019"/>
    <w:p>
      <w:pPr>
        <w:pStyle w:val="Bibliography"/>
      </w:pPr>
      <w:r>
        <w:t xml:space="preserve">37.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8"/>
    <w:bookmarkStart w:id="89" w:name="ref-cook_time_1985"/>
    <w:p>
      <w:pPr>
        <w:pStyle w:val="Bibliography"/>
      </w:pPr>
      <w:r>
        <w:t xml:space="preserve">39.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9"/>
    <w:bookmarkStart w:id="91" w:name="ref-cook_methods_1990"/>
    <w:p>
      <w:pPr>
        <w:pStyle w:val="Bibliography"/>
      </w:pPr>
      <w:r>
        <w:t xml:space="preserve">40.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41.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2"/>
    <w:bookmarkStart w:id="93" w:name="ref-jones_estimating_1997"/>
    <w:p>
      <w:pPr>
        <w:pStyle w:val="Bibliography"/>
      </w:pPr>
      <w:r>
        <w:t xml:space="preserve">42.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3"/>
    <w:bookmarkStart w:id="95"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6"/>
    <w:bookmarkStart w:id="97"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7"/>
    <w:bookmarkStart w:id="98"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8"/>
    <w:bookmarkEnd w:id="99"/>
    <w:bookmarkEnd w:id="10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6"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6"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2021-09-17T15:44:09Z</dcterms:created>
  <dcterms:modified xsi:type="dcterms:W3CDTF">2021-09-17T15:44:09Z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