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1,11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r>
        <w:t xml:space="preserve"> </w:t>
      </w:r>
      <w:r>
        <w:t xml:space="preserve">( Orcid ID : 0000-0003-1557-8465)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Earth and Spatial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numPr>
          <w:numId w:val="1001"/>
          <w:ilvl w:val="0"/>
        </w:numPr>
      </w:pPr>
      <w:r>
        <w:t xml:space="preserve">Department of Forestry and Natural Resources, Purdue University, West Lafayette, Indiana,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
        </w:rPr>
        <w:t xml:space="preserve">As the climate changes, warmer spring temperatures are causing earlier leaf-out</w:t>
      </w:r>
      <w:r>
        <w:rPr>
          <w:vertAlign w:val="superscript"/>
          <w:b/>
        </w:rPr>
        <w:t xml:space="preserve">1–6</w:t>
      </w:r>
      <w:r>
        <w:rPr>
          <w:b/>
        </w:rPr>
        <w:t xml:space="preserve"> </w:t>
      </w:r>
      <w:r>
        <w:rPr>
          <w:b/>
        </w:rPr>
        <w:t xml:space="preserve">and commencement of net carbon dioxide (CO</w:t>
      </w:r>
      <w:r>
        <w:rPr>
          <w:vertAlign w:val="subscript"/>
          <w:b/>
        </w:rPr>
        <w:t xml:space="preserve">2</w:t>
      </w:r>
      <w:r>
        <w:rPr>
          <w:b/>
        </w:rPr>
        <w:t xml:space="preserve">) sequestration</w:t>
      </w:r>
      <w:r>
        <w:rPr>
          <w:vertAlign w:val="superscript"/>
          <w:b/>
        </w:rPr>
        <w:t xml:space="preserve">2,4</w:t>
      </w:r>
      <w:r>
        <w:rPr>
          <w:b/>
        </w:rPr>
        <w:t xml:space="preserve"> </w:t>
      </w:r>
      <w:r>
        <w:rPr>
          <w:b/>
        </w:rPr>
        <w:t xml:space="preserve">in temperate deciduous forests, resulting in a tendency towards increased growing season length</w:t>
      </w:r>
      <w:r>
        <w:rPr>
          <w:vertAlign w:val="superscript"/>
          <w:b/>
        </w:rPr>
        <w:t xml:space="preserve">1,4,5,7–9</w:t>
      </w:r>
      <w:r>
        <w:rPr>
          <w:b/>
        </w:rPr>
        <w:t xml:space="preserve"> </w:t>
      </w:r>
      <w:r>
        <w:rPr>
          <w:b/>
        </w:rPr>
        <w:t xml:space="preserve">and annual CO</w:t>
      </w:r>
      <w:r>
        <w:rPr>
          <w:vertAlign w:val="subscript"/>
          <w:b/>
        </w:rPr>
        <w:t xml:space="preserve">2</w:t>
      </w:r>
      <w:r>
        <w:rPr>
          <w:b/>
        </w:rPr>
        <w:t xml:space="preserve"> </w:t>
      </w:r>
      <w:r>
        <w:rPr>
          <w:b/>
        </w:rPr>
        <w:t xml:space="preserve">uptake</w:t>
      </w:r>
      <w:r>
        <w:rPr>
          <w:vertAlign w:val="superscript"/>
          <w:b/>
        </w:rPr>
        <w:t xml:space="preserve">2,4,10–14</w:t>
      </w:r>
      <w:r>
        <w:rPr>
          <w:b/>
        </w:rPr>
        <w:t xml:space="preserve">.</w:t>
      </w:r>
      <w:r>
        <w:t xml:space="preserve"> </w:t>
      </w:r>
      <w:r>
        <w:rPr>
          <w:b/>
        </w:rPr>
        <w:t xml:space="preserve">However, less is known about how spring temperatures affect tree stem growth, which sequesters carbon (C) in wood that has a long residence time in the ecosystem</w:t>
      </w:r>
      <w:r>
        <w:rPr>
          <w:vertAlign w:val="superscript"/>
          <w:b/>
        </w:rPr>
        <w:t xml:space="preserve">15,16</w:t>
      </w:r>
      <w:r>
        <w:rPr>
          <w:b/>
        </w:rPr>
        <w:t xml:space="preserve">.</w:t>
      </w:r>
      <w:r>
        <w:t xml:space="preserve"> </w:t>
      </w:r>
      <w:r>
        <w:rPr>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rPr>
        <w:t xml:space="preserve">These findings imply that extra CO</w:t>
      </w:r>
      <w:r>
        <w:rPr>
          <w:vertAlign w:val="subscript"/>
          <w:b/>
        </w:rPr>
        <w:t xml:space="preserve">2</w:t>
      </w:r>
      <w:r>
        <w:rPr>
          <w:b/>
        </w:rPr>
        <w:t xml:space="preserve"> </w:t>
      </w:r>
      <w:r>
        <w:rPr>
          <w:b/>
        </w:rPr>
        <w:t xml:space="preserve">uptake in years with warmer springs</w:t>
      </w:r>
      <w:r>
        <w:rPr>
          <w:vertAlign w:val="superscript"/>
          <w:b/>
        </w:rPr>
        <w:t xml:space="preserve">10–12</w:t>
      </w:r>
      <w:r>
        <w:rPr>
          <w:b/>
        </w:rPr>
        <w:t xml:space="preserve"> </w:t>
      </w:r>
      <w:r>
        <w:rPr>
          <w:b/>
        </w:rPr>
        <w:t xml:space="preserve">is not allocated to long-lived woody biomass, where it could have a substantial and lasting impact on the forest C balance.</w:t>
      </w:r>
      <w:r>
        <w:rPr>
          <w:b/>
        </w:rPr>
        <w:t xml:space="preserve"> </w:t>
      </w:r>
      <w:r>
        <w:t xml:space="preserve"> </w:t>
      </w:r>
      <w:r>
        <w:rPr>
          <w:b/>
        </w:rPr>
        <w:t xml:space="preserve">Rather, contradicting current projections from global C cycle models</w:t>
      </w:r>
      <w:r>
        <w:rPr>
          <w:vertAlign w:val="superscript"/>
          <w:b/>
        </w:rPr>
        <w:t xml:space="preserve">2,3,17,18</w:t>
      </w:r>
      <w:r>
        <w:rPr>
          <w:b/>
        </w:rPr>
        <w:t xml:space="preserve">, our empirical results imply that warming spring temperatures are unlikely to increase the woody productivity or strengthen the CO</w:t>
      </w:r>
      <w:r>
        <w:rPr>
          <w:vertAlign w:val="subscript"/>
          <w:b/>
        </w:rPr>
        <w:t xml:space="preserve">2</w:t>
      </w:r>
      <w:r>
        <w:rPr>
          <w:b/>
        </w:rPr>
        <w:t xml:space="preserve"> </w:t>
      </w:r>
      <w:r>
        <w:rPr>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some studies addressing the responses of leaf phenology and seasonal</w:t>
      </w:r>
      <w:r>
        <w:t xml:space="preserve"> </w:t>
      </w:r>
      <w:r>
        <w:rPr>
          <w:i/>
        </w:rPr>
        <w:t xml:space="preserve">NEE</w:t>
      </w:r>
      <w:r>
        <w:t xml:space="preserve"> </w:t>
      </w:r>
      <w:r>
        <w:t xml:space="preserve">to warming spring temperatures exist</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p>
      <w:pPr>
        <w:pStyle w:val="Heading2"/>
      </w:pPr>
      <w:bookmarkStart w:id="21" w:name="Dendrometer"/>
      <w:r>
        <w:t xml:space="preserve">Dendrometer band analysis</w:t>
      </w:r>
      <w:bookmarkEnd w:id="21"/>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29</w:t>
      </w:r>
      <w:r>
        <w:t xml:space="preserve">, leaf phenological milestones advanced at both sites (Fig. 2a-b, Extended Data Table 2), with greenup (DOY when EVI2 first crossed 15% of the segment EVI2 amplitude) advancing 4.5 days/</w:t>
      </w:r>
      <m:oMath>
        <m:sSup>
          <m:e>
            <m:r>
              <m:t>​</m:t>
            </m:r>
          </m:e>
          <m:sup>
            <m:r>
              <m:t>∘</m:t>
            </m:r>
          </m:sup>
        </m:sSup>
      </m:oMath>
      <w:r>
        <w:t xml:space="preserve">C at SCBI (p=0.001) and 2.4 days/</w:t>
      </w:r>
      <w:r>
        <w:t xml:space="preserve"> </w:t>
      </w:r>
      <m:oMath>
        <m:sSup>
          <m:e>
            <m:r>
              <m:t>​</m:t>
            </m:r>
          </m:e>
          <m:sup>
            <m: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p>
      <w:pPr>
        <w:pStyle w:val="Heading2"/>
      </w:pPr>
      <w:bookmarkStart w:id="24" w:name="Tree"/>
      <w:r>
        <w:t xml:space="preserve">Tree-ring analysis</w:t>
      </w:r>
      <w:bookmarkEnd w:id="24"/>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mean maximum temperatures (</w:t>
      </w:r>
      <m:oMath>
        <m:sSub>
          <m:e>
            <m:r>
              <m:t>T</m:t>
            </m:r>
          </m:e>
          <m:sub>
            <m:r>
              <m:t>m</m:t>
            </m:r>
            <m:r>
              <m:t>a</m:t>
            </m:r>
            <m:r>
              <m:t>x</m:t>
            </m:r>
          </m:sub>
        </m:sSub>
      </m:oMath>
      <w:r>
        <w:rPr>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p>
      <w:pPr>
        <w:pStyle w:val="Heading2"/>
      </w:pPr>
      <w:bookmarkStart w:id="26" w:name="Discussion"/>
      <w:r>
        <w:t xml:space="preserve">Discussion</w:t>
      </w:r>
      <w:bookmarkEnd w:id="26"/>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w:t>
      </w:r>
      <w:r>
        <w:t xml:space="preserve">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7" w:name="Methods"/>
      <w:r>
        <w:t xml:space="preserve">Methods</w:t>
      </w:r>
      <w:bookmarkEnd w:id="27"/>
    </w:p>
    <w:p>
      <w:pPr>
        <w:pStyle w:val="Heading2"/>
      </w:pPr>
      <w:bookmarkStart w:id="28" w:name="Dendrometer"/>
      <w:r>
        <w:t xml:space="preserve">Dendrometer band analysis</w:t>
      </w:r>
      <w:bookmarkEnd w:id="28"/>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
        </w:rPr>
        <w:t xml:space="preserve">Liriodendron tulipifera</w:t>
      </w:r>
      <w:r>
        <w:t xml:space="preserve"> </w:t>
      </w:r>
      <w:r>
        <w:t xml:space="preserve">L.), oaks (</w:t>
      </w:r>
      <w:r>
        <w:rPr>
          <w:i/>
        </w:rPr>
        <w:t xml:space="preserve">Quercus spp.</w:t>
      </w:r>
      <w:r>
        <w:t xml:space="preserve">), and hickories (</w:t>
      </w:r>
      <w:r>
        <w:rPr>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w:t>
      </w:r>
      <w:r>
        <w:t xml:space="preserve">(L.) Carrière), oak (</w:t>
      </w:r>
      <w:r>
        <w:rPr>
          <w:i/>
        </w:rPr>
        <w:t xml:space="preserve">Quercus spp.</w:t>
      </w:r>
      <w:r>
        <w:t xml:space="preserve">) and red maple (</w:t>
      </w:r>
      <w:r>
        <w:rPr>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
        </w:rPr>
        <w:t xml:space="preserve">i.e.</w:t>
      </w:r>
      <w:r>
        <w:t xml:space="preserve">, julian days) as:</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t>=</m:t>
        </m:r>
        <m:r>
          <m:t>1</m:t>
        </m:r>
      </m:oMath>
      <w:r>
        <w:t xml:space="preserve">.</w:t>
      </w:r>
      <w:r>
        <w:t xml:space="preserve"> </w:t>
      </w:r>
      <w:r>
        <w:t xml:space="preserve">The model was fit in R v4.0 using the functions developed in the</w:t>
      </w:r>
      <w:r>
        <w:t xml:space="preserve"> </w:t>
      </w:r>
      <w:r>
        <w:rPr>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9">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9">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p>
      <w:pPr>
        <w:pStyle w:val="Heading2"/>
      </w:pPr>
      <w:bookmarkStart w:id="31" w:name="Tree"/>
      <w:r>
        <w:t xml:space="preserve">Tree-ring analysis</w:t>
      </w:r>
      <w:bookmarkEnd w:id="31"/>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66</w:t>
      </w:r>
      <w:r>
        <w:t xml:space="preserve"> </w:t>
      </w:r>
      <w:r>
        <w:t xml:space="preserve">A 2/3rds</w:t>
      </w:r>
      <w:r>
        <w:t xml:space="preserve"> </w:t>
      </w:r>
      <w:r>
        <w:rPr>
          <w:i/>
        </w:rPr>
        <w:t xml:space="preserve">n</w:t>
      </w:r>
      <w:r>
        <w:t xml:space="preserve"> </w:t>
      </w:r>
      <w:r>
        <w:t xml:space="preserve">spline was applied to each core using ARSTAN to produce standardized ring-width series;</w:t>
      </w:r>
      <w:r>
        <w:t xml:space="preserve"> </w:t>
      </w:r>
      <w:r>
        <w:rPr>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2" w:name="Acknowledgements"/>
      <w:r>
        <w:t xml:space="preserve">Acknowledgements</w:t>
      </w:r>
      <w:bookmarkEnd w:id="32"/>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p>
      <w:pPr>
        <w:pStyle w:val="Heading1"/>
      </w:pPr>
      <w:bookmarkStart w:id="33" w:name="Author"/>
      <w:r>
        <w:t xml:space="preserve">Author Contributions</w:t>
      </w:r>
      <w:bookmarkEnd w:id="33"/>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4" w:name="Additional"/>
      <w:r>
        <w:t xml:space="preserve">Additional Information</w:t>
      </w:r>
      <w:bookmarkEnd w:id="34"/>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5" w:name="References"/>
      <w:r>
        <w:t xml:space="preserve">References</w:t>
      </w:r>
      <w:bookmarkEnd w:id="35"/>
    </w:p>
    <w:bookmarkStart w:id="117" w:name="refs"/>
    <w:bookmarkStart w:id="36"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6"/>
    <w:bookmarkStart w:id="37"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37"/>
    <w:bookmarkStart w:id="38"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38"/>
    <w:bookmarkStart w:id="39"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39"/>
    <w:bookmarkStart w:id="40"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40"/>
    <w:bookmarkStart w:id="42"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1">
        <w:r>
          <w:rPr>
            <w:rStyle w:val="Hyperlink"/>
          </w:rPr>
          <w:t xml:space="preserve">10.1073/pnas.2002713117</w:t>
        </w:r>
      </w:hyperlink>
      <w:r>
        <w:t xml:space="preserve">.</w:t>
      </w:r>
    </w:p>
    <w:bookmarkEnd w:id="42"/>
    <w:bookmarkStart w:id="43" w:name="ref-menzel_growing_1999"/>
    <w:p>
      <w:pPr>
        <w:pStyle w:val="Bibliography"/>
      </w:pPr>
      <w:r>
        <w:t xml:space="preserve">7. Menzel, A. &amp; Fabian, P. Growing season extended in Europe.</w:t>
      </w:r>
      <w:r>
        <w:t xml:space="preserve"> </w:t>
      </w:r>
      <w:r>
        <w:rPr>
          <w:i/>
        </w:rPr>
        <w:t xml:space="preserve">Nature</w:t>
      </w:r>
      <w:r>
        <w:t xml:space="preserve"> </w:t>
      </w:r>
      <w:r>
        <w:rPr>
          <w:b/>
        </w:rPr>
        <w:t xml:space="preserve">397</w:t>
      </w:r>
      <w:r>
        <w:t xml:space="preserve">, 659–659 (1999).</w:t>
      </w:r>
    </w:p>
    <w:bookmarkEnd w:id="43"/>
    <w:bookmarkStart w:id="44" w:name="ref-menzel_european_2006"/>
    <w:p>
      <w:pPr>
        <w:pStyle w:val="Bibliography"/>
      </w:pPr>
      <w:r>
        <w:t xml:space="preserve">8.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4"/>
    <w:bookmarkStart w:id="45" w:name="ref-ibanez_forecasting_2010"/>
    <w:p>
      <w:pPr>
        <w:pStyle w:val="Bibliography"/>
      </w:pPr>
      <w:r>
        <w:t xml:space="preserve">9.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5"/>
    <w:bookmarkStart w:id="46" w:name="ref-keeling_increased_1996"/>
    <w:p>
      <w:pPr>
        <w:pStyle w:val="Bibliography"/>
      </w:pPr>
      <w:r>
        <w:t xml:space="preserve">10.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6"/>
    <w:bookmarkStart w:id="47" w:name="ref-dragoni_evidence_2011"/>
    <w:p>
      <w:pPr>
        <w:pStyle w:val="Bibliography"/>
      </w:pPr>
      <w:r>
        <w:t xml:space="preserve">11.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7"/>
    <w:bookmarkStart w:id="48"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48"/>
    <w:bookmarkStart w:id="49" w:name="ref-zhou_explaining_2016"/>
    <w:p>
      <w:pPr>
        <w:pStyle w:val="Bibliography"/>
      </w:pPr>
      <w:r>
        <w:t xml:space="preserve">13.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49"/>
    <w:bookmarkStart w:id="50" w:name="ref-fu_maximum_2019"/>
    <w:p>
      <w:pPr>
        <w:pStyle w:val="Bibliography"/>
      </w:pPr>
      <w:r>
        <w:t xml:space="preserve">14.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0"/>
    <w:bookmarkStart w:id="51"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1"/>
    <w:bookmarkStart w:id="52"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2"/>
    <w:bookmarkStart w:id="53" w:name="ref-zani_increased_2020"/>
    <w:p>
      <w:pPr>
        <w:pStyle w:val="Bibliography"/>
      </w:pPr>
      <w:r>
        <w:t xml:space="preserve">17. Zani, D., Crowther, T. W., Mo, L., Renner, S. S. &amp; Zohner, C. M. Increased growing-season productivity drives earlier autumn leaf senescence in temperate trees. 7 (2020).</w:t>
      </w:r>
    </w:p>
    <w:bookmarkEnd w:id="53"/>
    <w:bookmarkStart w:id="54"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4"/>
    <w:bookmarkStart w:id="55" w:name="ref-pan_large_2011"/>
    <w:p>
      <w:pPr>
        <w:pStyle w:val="Bibliography"/>
      </w:pPr>
      <w:r>
        <w:t xml:space="preserve">19.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5"/>
    <w:bookmarkStart w:id="56"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56"/>
    <w:bookmarkStart w:id="57" w:name="ref-pugh_role_2019"/>
    <w:p>
      <w:pPr>
        <w:pStyle w:val="Bibliography"/>
      </w:pPr>
      <w:r>
        <w:t xml:space="preserve">21.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7"/>
    <w:bookmarkStart w:id="58" w:name="ref-arora_carbon_2020"/>
    <w:p>
      <w:pPr>
        <w:pStyle w:val="Bibliography"/>
      </w:pPr>
      <w:r>
        <w:t xml:space="preserve">22.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58"/>
    <w:bookmarkStart w:id="59" w:name="ref-keenan_timing_2015"/>
    <w:p>
      <w:pPr>
        <w:pStyle w:val="Bibliography"/>
      </w:pPr>
      <w:r>
        <w:t xml:space="preserve">23.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59"/>
    <w:bookmarkStart w:id="60" w:name="ref-zohner_how_2021"/>
    <w:p>
      <w:pPr>
        <w:pStyle w:val="Bibliography"/>
      </w:pPr>
      <w:r>
        <w:t xml:space="preserve">24.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0"/>
    <w:bookmarkStart w:id="62" w:name="ref-dorangeville_peak_2021"/>
    <w:p>
      <w:pPr>
        <w:pStyle w:val="Bibliography"/>
      </w:pPr>
      <w:r>
        <w:t xml:space="preserve">25.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26.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3"/>
    <w:bookmarkStart w:id="64"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4"/>
    <w:bookmarkStart w:id="65"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5"/>
    <w:bookmarkStart w:id="66" w:name="ref-parmesan_globally_2003"/>
    <w:p>
      <w:pPr>
        <w:pStyle w:val="Bibliography"/>
      </w:pPr>
      <w:r>
        <w:t xml:space="preserve">29.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6"/>
    <w:bookmarkStart w:id="67" w:name="ref-friedl_tale_2014"/>
    <w:p>
      <w:pPr>
        <w:pStyle w:val="Bibliography"/>
      </w:pPr>
      <w:r>
        <w:t xml:space="preserve">30.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7"/>
    <w:bookmarkStart w:id="68" w:name="ref-fu_variation_2014"/>
    <w:p>
      <w:pPr>
        <w:pStyle w:val="Bibliography"/>
      </w:pPr>
      <w:r>
        <w:t xml:space="preserve">31.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68"/>
    <w:bookmarkStart w:id="69" w:name="ref-zhang_drought_2021"/>
    <w:p>
      <w:pPr>
        <w:pStyle w:val="Bibliography"/>
      </w:pPr>
      <w:r>
        <w:t xml:space="preserve">32.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9"/>
    <w:bookmarkStart w:id="70" w:name="ref-vicente-serrano_multiscalar_2010"/>
    <w:p>
      <w:pPr>
        <w:pStyle w:val="Bibliography"/>
      </w:pPr>
      <w:r>
        <w:t xml:space="preserve">33.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0"/>
    <w:bookmarkStart w:id="71" w:name="ref-zohner_ongoing_2019"/>
    <w:p>
      <w:pPr>
        <w:pStyle w:val="Bibliography"/>
      </w:pPr>
      <w:r>
        <w:t xml:space="preserve">34.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1"/>
    <w:bookmarkStart w:id="72" w:name="ref-xie_predicting_2018"/>
    <w:p>
      <w:pPr>
        <w:pStyle w:val="Bibliography"/>
      </w:pPr>
      <w:r>
        <w:t xml:space="preserve">35.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2"/>
    <w:bookmarkStart w:id="73" w:name="ref-cuny_woody_2015"/>
    <w:p>
      <w:pPr>
        <w:pStyle w:val="Bibliography"/>
      </w:pPr>
      <w:r>
        <w:t xml:space="preserve">36.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3"/>
    <w:bookmarkStart w:id="74" w:name="ref-tardif_influence_2006"/>
    <w:p>
      <w:pPr>
        <w:pStyle w:val="Bibliography"/>
      </w:pPr>
      <w:r>
        <w:t xml:space="preserve">37.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74"/>
    <w:bookmarkStart w:id="75" w:name="ref-roibu_climatic_2020"/>
    <w:p>
      <w:pPr>
        <w:pStyle w:val="Bibliography"/>
      </w:pPr>
      <w:r>
        <w:t xml:space="preserve">38.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75"/>
    <w:bookmarkStart w:id="76" w:name="ref-kern_multiple_2013"/>
    <w:p>
      <w:pPr>
        <w:pStyle w:val="Bibliography"/>
      </w:pPr>
      <w:r>
        <w:t xml:space="preserve">39.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76"/>
    <w:bookmarkStart w:id="77" w:name="ref-trumbore_quantifying_2002"/>
    <w:p>
      <w:pPr>
        <w:pStyle w:val="Bibliography"/>
      </w:pPr>
      <w:r>
        <w:t xml:space="preserve">40.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7"/>
    <w:bookmarkStart w:id="78" w:name="ref-richardson_seasonal_2013"/>
    <w:p>
      <w:pPr>
        <w:pStyle w:val="Bibliography"/>
      </w:pPr>
      <w:r>
        <w:t xml:space="preserve">41.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8"/>
    <w:bookmarkStart w:id="79" w:name="ref-oishi_warmer_2018"/>
    <w:p>
      <w:pPr>
        <w:pStyle w:val="Bibliography"/>
      </w:pPr>
      <w:r>
        <w:t xml:space="preserve">42.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79"/>
    <w:bookmarkStart w:id="80" w:name="ref-kannenberg_linking_2019"/>
    <w:p>
      <w:pPr>
        <w:pStyle w:val="Bibliography"/>
      </w:pPr>
      <w:r>
        <w:t xml:space="preserve">43. Kannenberg, S. A.</w:t>
      </w:r>
      <w:r>
        <w:t xml:space="preserve"> </w:t>
      </w:r>
      <w:r>
        <w:rPr>
          <w:i/>
        </w:rPr>
        <w:t xml:space="preserve">et al.</w:t>
      </w:r>
      <w:r>
        <w:t xml:space="preserve"> </w:t>
      </w:r>
      <w:r>
        <w:t xml:space="preserve">Linking drought legacy effects across scales: From leaves to tree rings to ecosystems.</w:t>
      </w:r>
      <w:r>
        <w:t xml:space="preserve"> </w:t>
      </w:r>
      <w:r>
        <w:rPr>
          <w:i/>
        </w:rPr>
        <w:t xml:space="preserve">Global Change Biology</w:t>
      </w:r>
      <w:r>
        <w:t xml:space="preserve"> </w:t>
      </w:r>
      <w:r>
        <w:rPr>
          <w:b/>
        </w:rPr>
        <w:t xml:space="preserve">25</w:t>
      </w:r>
      <w:r>
        <w:t xml:space="preserve">, 2978–2992 (2019).</w:t>
      </w:r>
    </w:p>
    <w:bookmarkEnd w:id="80"/>
    <w:bookmarkStart w:id="81" w:name="ref-gessler_way_2020"/>
    <w:p>
      <w:pPr>
        <w:pStyle w:val="Bibliography"/>
      </w:pPr>
      <w:r>
        <w:t xml:space="preserve">44. Gessler, A., Bottero, A., Marshall, J. &amp; Arend, M. The way back: Recovery of trees from drought and its implication for acclimation.</w:t>
      </w:r>
      <w:r>
        <w:t xml:space="preserve"> </w:t>
      </w:r>
      <w:r>
        <w:rPr>
          <w:i/>
        </w:rPr>
        <w:t xml:space="preserve">The New phytologist</w:t>
      </w:r>
      <w:r>
        <w:t xml:space="preserve"> </w:t>
      </w:r>
      <w:r>
        <w:rPr>
          <w:b/>
        </w:rPr>
        <w:t xml:space="preserve">228</w:t>
      </w:r>
      <w:r>
        <w:t xml:space="preserve">, 1704–1709 (2020).</w:t>
      </w:r>
    </w:p>
    <w:bookmarkEnd w:id="81"/>
    <w:bookmarkStart w:id="82" w:name="ref-fisichelli_temperate_2014"/>
    <w:p>
      <w:pPr>
        <w:pStyle w:val="Bibliography"/>
      </w:pPr>
      <w:r>
        <w:t xml:space="preserve">45. Fisichelli, N. A., Frelich, L. E. &amp; Reich, P. B. Temperate tree expansion into adjacent boreal forest patches facilitated by warmer temperatures.</w:t>
      </w:r>
      <w:r>
        <w:t xml:space="preserve"> </w:t>
      </w:r>
      <w:r>
        <w:rPr>
          <w:i/>
        </w:rPr>
        <w:t xml:space="preserve">Ecography</w:t>
      </w:r>
      <w:r>
        <w:t xml:space="preserve"> </w:t>
      </w:r>
      <w:r>
        <w:rPr>
          <w:b/>
        </w:rPr>
        <w:t xml:space="preserve">37</w:t>
      </w:r>
      <w:r>
        <w:t xml:space="preserve">, 152–161 (2014).</w:t>
      </w:r>
    </w:p>
    <w:bookmarkEnd w:id="82"/>
    <w:bookmarkStart w:id="83" w:name="ref-anderson-teixeira_joint_2021"/>
    <w:p>
      <w:pPr>
        <w:pStyle w:val="Bibliography"/>
      </w:pPr>
      <w:r>
        <w:t xml:space="preserve">46.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3"/>
    <w:bookmarkStart w:id="85" w:name="ref-banburymorgan_global_2021"/>
    <w:p>
      <w:pPr>
        <w:pStyle w:val="Bibliography"/>
      </w:pPr>
      <w:r>
        <w:t xml:space="preserve">47.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6" w:name="ref-churkina_spatial_2005"/>
    <w:p>
      <w:pPr>
        <w:pStyle w:val="Bibliography"/>
      </w:pPr>
      <w:r>
        <w:t xml:space="preserve">48.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86"/>
    <w:bookmarkStart w:id="87" w:name="ref-bourg_initial_2013"/>
    <w:p>
      <w:pPr>
        <w:pStyle w:val="Bibliography"/>
      </w:pPr>
      <w:r>
        <w:t xml:space="preserve">49.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7"/>
    <w:bookmarkStart w:id="88" w:name="ref-anderson-teixeira_ctfsforestgeo_2015"/>
    <w:p>
      <w:pPr>
        <w:pStyle w:val="Bibliography"/>
      </w:pPr>
      <w:r>
        <w:t xml:space="preserve">50.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8"/>
    <w:bookmarkStart w:id="89" w:name="ref-davies_forestgeo_2021"/>
    <w:p>
      <w:pPr>
        <w:pStyle w:val="Bibliography"/>
      </w:pPr>
      <w:r>
        <w:t xml:space="preserve">51.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9"/>
    <w:bookmarkStart w:id="91" w:name="ref-friedl_mcd12q2_2019"/>
    <w:p>
      <w:pPr>
        <w:pStyle w:val="Bibliography"/>
      </w:pPr>
      <w:r>
        <w:t xml:space="preserve">52. Friedl, M., Gray, J. &amp; Sulla-Menashe, D. MCD12Q2 MODIS/Terra+Aqua Land Cover Dynamics Yearly L3 Global 500m SIN Grid V006. (2019) doi:</w:t>
      </w:r>
      <w:hyperlink r:id="rId90">
        <w:r>
          <w:rPr>
            <w:rStyle w:val="Hyperlink"/>
          </w:rPr>
          <w:t xml:space="preserve">10.5067/MODIS/MCD12Q2.006</w:t>
        </w:r>
      </w:hyperlink>
      <w:r>
        <w:t xml:space="preserve">.</w:t>
      </w:r>
    </w:p>
    <w:bookmarkEnd w:id="91"/>
    <w:bookmarkStart w:id="93" w:name="ref-anderson-teixeira_forestgeo_2020"/>
    <w:p>
      <w:pPr>
        <w:pStyle w:val="Bibliography"/>
      </w:pPr>
      <w:r>
        <w:t xml:space="preserve">53. Anderson-Teixeira, K.</w:t>
      </w:r>
      <w:r>
        <w:t xml:space="preserve"> </w:t>
      </w:r>
      <w:r>
        <w:rPr>
          <w:i/>
        </w:rPr>
        <w:t xml:space="preserve">et al.</w:t>
      </w:r>
      <w:r>
        <w:t xml:space="preserve"> </w:t>
      </w:r>
      <w:r>
        <w:t xml:space="preserve">Forestgeo/Climate: Initial release. (2020) doi:</w:t>
      </w:r>
      <w:hyperlink r:id="rId92">
        <w:r>
          <w:rPr>
            <w:rStyle w:val="Hyperlink"/>
          </w:rPr>
          <w:t xml:space="preserve">10.5281/ZENODO.4041609</w:t>
        </w:r>
      </w:hyperlink>
      <w:r>
        <w:t xml:space="preserve">.</w:t>
      </w:r>
    </w:p>
    <w:bookmarkEnd w:id="93"/>
    <w:bookmarkStart w:id="94" w:name="ref-benestad_empiricalstatistical_2008"/>
    <w:p>
      <w:pPr>
        <w:pStyle w:val="Bibliography"/>
      </w:pPr>
      <w:r>
        <w:t xml:space="preserve">54. Benestad, R. E., Hanssen-Bauer, I. &amp; Chen, D.</w:t>
      </w:r>
      <w:r>
        <w:t xml:space="preserve"> </w:t>
      </w:r>
      <w:r>
        <w:rPr>
          <w:i/>
        </w:rPr>
        <w:t xml:space="preserve">Empirical-statistical downscaling</w:t>
      </w:r>
      <w:r>
        <w:t xml:space="preserve">. (World Scientific Pub Co Inc, 2008).</w:t>
      </w:r>
    </w:p>
    <w:bookmarkEnd w:id="94"/>
    <w:bookmarkStart w:id="96" w:name="ref-boose_shaler_2021"/>
    <w:p>
      <w:pPr>
        <w:pStyle w:val="Bibliography"/>
      </w:pPr>
      <w:r>
        <w:t xml:space="preserve">55. Boose, E. &amp; Gould, E. Shaler Meteorological Station at Harvard Forest 1964-2002. (2021) doi:</w:t>
      </w:r>
      <w:hyperlink r:id="rId95">
        <w:r>
          <w:rPr>
            <w:rStyle w:val="Hyperlink"/>
          </w:rPr>
          <w:t xml:space="preserve">10.6073/PASTA/213335F5DAA17222A738C105B9FA60C4</w:t>
        </w:r>
      </w:hyperlink>
      <w:r>
        <w:t xml:space="preserve">.</w:t>
      </w:r>
    </w:p>
    <w:bookmarkEnd w:id="96"/>
    <w:bookmarkStart w:id="98" w:name="ref-boose_fisher_2021"/>
    <w:p>
      <w:pPr>
        <w:pStyle w:val="Bibliography"/>
      </w:pPr>
      <w:r>
        <w:t xml:space="preserve">56. Boose, E. Fisher Meteorological Station at Harvard Forest since 2001. (2021) doi:</w:t>
      </w:r>
      <w:hyperlink r:id="rId97">
        <w:r>
          <w:rPr>
            <w:rStyle w:val="Hyperlink"/>
          </w:rPr>
          <w:t xml:space="preserve">10.6073/PASTA/69E92642B512897032446CFE795CFFB8</w:t>
        </w:r>
      </w:hyperlink>
      <w:r>
        <w:t xml:space="preserve">.</w:t>
      </w:r>
    </w:p>
    <w:bookmarkEnd w:id="98"/>
    <w:bookmarkStart w:id="99" w:name="ref-vandepol_identifying_2016"/>
    <w:p>
      <w:pPr>
        <w:pStyle w:val="Bibliography"/>
      </w:pPr>
      <w:r>
        <w:t xml:space="preserve">57.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9"/>
    <w:bookmarkStart w:id="100" w:name="ref-gabry_rstanarm_2020"/>
    <w:p>
      <w:pPr>
        <w:pStyle w:val="Bibliography"/>
      </w:pPr>
      <w:r>
        <w:t xml:space="preserve">58. Gabry, J.</w:t>
      </w:r>
      <w:r>
        <w:t xml:space="preserve"> </w:t>
      </w:r>
      <w:r>
        <w:rPr>
          <w:i/>
        </w:rPr>
        <w:t xml:space="preserve">et al.</w:t>
      </w:r>
      <w:r>
        <w:t xml:space="preserve"> </w:t>
      </w:r>
      <w:r>
        <w:t xml:space="preserve">Rstanarm: Bayesian Applied Regression Modeling via Stan. (2020).</w:t>
      </w:r>
    </w:p>
    <w:bookmarkEnd w:id="100"/>
    <w:bookmarkStart w:id="101" w:name="ref-stan_development_team_stan_2019"/>
    <w:p>
      <w:pPr>
        <w:pStyle w:val="Bibliography"/>
      </w:pPr>
      <w:r>
        <w:t xml:space="preserve">59. Stan_Development_Team. Stan Modeling Language Users Guide and Reference Manual, 2.28. (2019).</w:t>
      </w:r>
    </w:p>
    <w:bookmarkEnd w:id="101"/>
    <w:bookmarkStart w:id="102" w:name="ref-begueria_standardized_2014"/>
    <w:p>
      <w:pPr>
        <w:pStyle w:val="Bibliography"/>
      </w:pPr>
      <w:r>
        <w:t xml:space="preserve">60. Beguería, S., Vicente-Serrano, S. M., Reig, F. &amp; Latorre, B. Standardized precipitation evapotranspiration index (SPEI) revisited: Parameter fitting, evapotranspiration models, tools, datasets and drought monitoring.</w:t>
      </w:r>
      <w:r>
        <w:t xml:space="preserve"> </w:t>
      </w:r>
      <w:r>
        <w:rPr>
          <w:i/>
        </w:rPr>
        <w:t xml:space="preserve">International Journal of Climatology</w:t>
      </w:r>
      <w:r>
        <w:t xml:space="preserve"> </w:t>
      </w:r>
      <w:r>
        <w:rPr>
          <w:b/>
        </w:rPr>
        <w:t xml:space="preserve">34</w:t>
      </w:r>
      <w:r>
        <w:t xml:space="preserve">, 3001–3023 (2014).</w:t>
      </w:r>
    </w:p>
    <w:bookmarkEnd w:id="102"/>
    <w:bookmarkStart w:id="103" w:name="ref-vicente-serrano_multiscalar_2010a"/>
    <w:p>
      <w:pPr>
        <w:pStyle w:val="Bibliography"/>
      </w:pPr>
      <w:r>
        <w:t xml:space="preserve">61.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103"/>
    <w:bookmarkStart w:id="104" w:name="ref-stokes_introduction_1968"/>
    <w:p>
      <w:pPr>
        <w:pStyle w:val="Bibliography"/>
      </w:pPr>
      <w:r>
        <w:t xml:space="preserve">62. Stokes, M. A. &amp; Smiley, T. L.</w:t>
      </w:r>
      <w:r>
        <w:t xml:space="preserve"> </w:t>
      </w:r>
      <w:r>
        <w:rPr>
          <w:i/>
        </w:rPr>
        <w:t xml:space="preserve">An Introduction to Tree-ring Dating</w:t>
      </w:r>
      <w:r>
        <w:t xml:space="preserve">. (University of Arizona Press, 1968).</w:t>
      </w:r>
    </w:p>
    <w:bookmarkEnd w:id="104"/>
    <w:bookmarkStart w:id="105" w:name="ref-alexander_potential_2019"/>
    <w:p>
      <w:pPr>
        <w:pStyle w:val="Bibliography"/>
      </w:pPr>
      <w:r>
        <w:t xml:space="preserve">63.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05"/>
    <w:bookmarkStart w:id="106" w:name="ref-dye_comparing_2016"/>
    <w:p>
      <w:pPr>
        <w:pStyle w:val="Bibliography"/>
      </w:pPr>
      <w:r>
        <w:t xml:space="preserve">64.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06"/>
    <w:bookmarkStart w:id="107" w:name="ref-maxwell_sampling_2020"/>
    <w:p>
      <w:pPr>
        <w:pStyle w:val="Bibliography"/>
      </w:pPr>
      <w:r>
        <w:t xml:space="preserve">65.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07"/>
    <w:bookmarkStart w:id="109" w:name="ref-cook_methods_1990"/>
    <w:p>
      <w:pPr>
        <w:pStyle w:val="Bibliography"/>
      </w:pPr>
      <w:r>
        <w:t xml:space="preserve">66.</w:t>
      </w:r>
      <w:r>
        <w:t xml:space="preserve"> </w:t>
      </w:r>
      <w:r>
        <w:rPr>
          <w:i/>
        </w:rPr>
        <w:t xml:space="preserve">Methods of Dendrochronology: Applications in the Environmental Sciences</w:t>
      </w:r>
      <w:r>
        <w:t xml:space="preserve">. (Springer Netherlands, 1990). doi:</w:t>
      </w:r>
      <w:hyperlink r:id="rId108">
        <w:r>
          <w:rPr>
            <w:rStyle w:val="Hyperlink"/>
          </w:rPr>
          <w:t xml:space="preserve">10.1007/978-94-015-7879-0</w:t>
        </w:r>
      </w:hyperlink>
      <w:r>
        <w:t xml:space="preserve">.</w:t>
      </w:r>
    </w:p>
    <w:bookmarkEnd w:id="109"/>
    <w:bookmarkStart w:id="110" w:name="ref-cook_time_1985"/>
    <w:p>
      <w:pPr>
        <w:pStyle w:val="Bibliography"/>
      </w:pPr>
      <w:r>
        <w:t xml:space="preserve">67. Cook, E. R. A Time Series Analysis Approach to Tree Ring Standardization. vol. PhD (University of Arizona, 1985).</w:t>
      </w:r>
    </w:p>
    <w:bookmarkEnd w:id="110"/>
    <w:bookmarkStart w:id="111" w:name="ref-cook_calculating_1997"/>
    <w:p>
      <w:pPr>
        <w:pStyle w:val="Bibliography"/>
      </w:pPr>
      <w:r>
        <w:t xml:space="preserve">68.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111"/>
    <w:bookmarkStart w:id="112" w:name="ref-jones_estimating_1997"/>
    <w:p>
      <w:pPr>
        <w:pStyle w:val="Bibliography"/>
      </w:pPr>
      <w:r>
        <w:t xml:space="preserve">69.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112"/>
    <w:bookmarkStart w:id="113" w:name="ref-harris_version_2020"/>
    <w:p>
      <w:pPr>
        <w:pStyle w:val="Bibliography"/>
      </w:pPr>
      <w:r>
        <w:t xml:space="preserve">70.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13"/>
    <w:bookmarkStart w:id="114" w:name="ref-bunn_dendrochronology_2008"/>
    <w:p>
      <w:pPr>
        <w:pStyle w:val="Bibliography"/>
      </w:pPr>
      <w:r>
        <w:t xml:space="preserve">71.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4"/>
    <w:bookmarkStart w:id="115" w:name="ref-zang_dendroclimatic_2013"/>
    <w:p>
      <w:pPr>
        <w:pStyle w:val="Bibliography"/>
      </w:pPr>
      <w:r>
        <w:t xml:space="preserve">72.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15"/>
    <w:bookmarkStart w:id="116" w:name="ref-biondi_dendroclim2002_2004"/>
    <w:p>
      <w:pPr>
        <w:pStyle w:val="Bibliography"/>
      </w:pPr>
      <w:r>
        <w:t xml:space="preserve">73.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8"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1"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8"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1"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2021-11-18T14:03:36Z</dcterms:created>
  <dcterms:modified xsi:type="dcterms:W3CDTF">2021-11-18T14:03:36Z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