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 which sequesters carbon (C)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463 trees across two forests, we show that warmer spring temperatures shifted the woody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is not allocated to long-lived woody biomass, where it could have a substantial and lasting impact on the forest C balance.</w:t>
      </w:r>
      <w:r>
        <w:rPr>
          <w:bCs/>
          <w:b/>
        </w:rPr>
        <w:t xml:space="preserve"> </w:t>
      </w:r>
      <w:r>
        <w:t xml:space="preserve"> </w:t>
      </w:r>
      <w:r>
        <w:rPr>
          <w:bCs/>
          <w:b/>
        </w:rPr>
        <w:t xml:space="preserve">Rather, contradicting current projections from global C cycle models</w:t>
      </w:r>
      <w:r>
        <w:rPr>
          <w:vertAlign w:val="superscript"/>
          <w:bCs/>
          <w:b/>
        </w:rPr>
        <w:t xml:space="preserve">2,3,17,18</w:t>
      </w:r>
      <w:r>
        <w:rPr>
          <w:bCs/>
          <w:b/>
        </w:rPr>
        <w:t xml:space="preserve">, our empirical results imply that warming spring temperatures are unlikely to increase the woody productivity or strengthen the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19,20</w:t>
      </w:r>
      <w:r>
        <w:t xml:space="preserve">.</w:t>
      </w:r>
      <w:r>
        <w:t xml:space="preserve"> </w:t>
      </w:r>
      <w:r>
        <w:t xml:space="preserve">A large portion of this CO</w:t>
      </w:r>
      <w:r>
        <w:rPr>
          <w:vertAlign w:val="subscript"/>
        </w:rPr>
        <w:t xml:space="preserve">2</w:t>
      </w:r>
      <w:r>
        <w:t xml:space="preserve"> </w:t>
      </w:r>
      <w:r>
        <w:t xml:space="preserve">sink occurs in temperate deciduous forests, which sequester &gt;300 Tg C yr</w:t>
      </w:r>
      <w:r>
        <w:rPr>
          <w:vertAlign w:val="superscript"/>
        </w:rPr>
        <w:t xml:space="preserve">-1</w:t>
      </w:r>
      <w:r>
        <w:t xml:space="preserve"> </w:t>
      </w:r>
      <w:r>
        <w:t xml:space="preserve">(&gt;30% of the total forest C sink)</w:t>
      </w:r>
      <w:r>
        <w:rPr>
          <w:vertAlign w:val="superscript"/>
        </w:rPr>
        <w:t xml:space="preserve">21</w:t>
      </w:r>
      <w:r>
        <w:t xml:space="preserve">.</w:t>
      </w:r>
      <w:r>
        <w:t xml:space="preserve"> </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20,22</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1,7–9</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Current models assume that longer growing seasons lead to increasing annual net CO</w:t>
      </w:r>
      <w:r>
        <w:rPr>
          <w:vertAlign w:val="subscript"/>
        </w:rPr>
        <w:t xml:space="preserve">2</w:t>
      </w:r>
      <w:r>
        <w:t xml:space="preserve"> </w:t>
      </w:r>
      <w:r>
        <w:t xml:space="preserve">uptake (i.e., net ecosystem exchange,</w:t>
      </w:r>
      <w:r>
        <w:t xml:space="preserve"> </w:t>
      </w:r>
      <w:r>
        <w:rPr>
          <w:iCs/>
          <w:i/>
        </w:rPr>
        <w:t xml:space="preserve">NEE</w:t>
      </w:r>
      <w:r>
        <w:t xml:space="preserve">)</w:t>
      </w:r>
      <w:r>
        <w:rPr>
          <w:vertAlign w:val="superscript"/>
        </w:rPr>
        <w:t xml:space="preserve">2,3,17</w:t>
      </w:r>
      <w:r>
        <w:t xml:space="preserve">.</w:t>
      </w:r>
      <w:r>
        <w:t xml:space="preserve"> </w:t>
      </w:r>
      <w:r>
        <w:t xml:space="preserve">However, recent experimental and observational findings show that annual productivity can be limited by sink factors</w:t>
      </w:r>
      <w:r>
        <w:rPr>
          <w:vertAlign w:val="superscript"/>
        </w:rPr>
        <w:t xml:space="preserve">17,23,24</w:t>
      </w:r>
      <w:r>
        <w:t xml:space="preserve">, and that positive effects of warm springs are compensated by negative effects of accumulation of seasonal water deficits</w:t>
      </w:r>
      <w:r>
        <w:rPr>
          <w:vertAlign w:val="superscript"/>
        </w:rPr>
        <w:t xml:space="preserve">3</w:t>
      </w:r>
      <w:r>
        <w:t xml:space="preserve">. These studies suggest that warmer spring temperatures may not have the expected positive effect on forest CO</w:t>
      </w:r>
      <w:r>
        <w:rPr>
          <w:vertAlign w:val="subscript"/>
        </w:rPr>
        <w:t xml:space="preserve">2</w:t>
      </w:r>
      <w:r>
        <w:t xml:space="preserve"> </w:t>
      </w:r>
      <w:r>
        <w:t xml:space="preserve">sequestration.</w:t>
      </w:r>
    </w:p>
    <w:p>
      <w:pPr>
        <w:pStyle w:val="BodyText"/>
      </w:pPr>
      <w:r>
        <w:t xml:space="preserve">While responses of leaf phenology and seasonal</w:t>
      </w:r>
      <w:r>
        <w:t xml:space="preserve"> </w:t>
      </w:r>
      <w:r>
        <w:rPr>
          <w:iCs/>
          <w:i/>
        </w:rPr>
        <w:t xml:space="preserve">NEE</w:t>
      </w:r>
      <w:r>
        <w:t xml:space="preserve"> </w:t>
      </w:r>
      <w:r>
        <w:t xml:space="preserve">to warming spring temperatures have been documented</w:t>
      </w:r>
      <w:r>
        <w:rPr>
          <w:vertAlign w:val="superscript"/>
        </w:rPr>
        <w:t xml:space="preserve">1–4,7–9</w:t>
      </w:r>
      <w:r>
        <w:t xml:space="preserve">, little is known about how the longest-lived component of fixed C in trees, the woody growth, is responding to warming spring temperatures.</w:t>
      </w:r>
      <w:r>
        <w:t xml:space="preserve"> </w:t>
      </w:r>
      <w:r>
        <w:t xml:space="preserve">In fact, we are aware of only one study that has documented stem-growth phenology of temperate deciduous forests over multiple years</w:t>
      </w:r>
      <w:r>
        <w:rPr>
          <w:vertAlign w:val="superscript"/>
        </w:rPr>
        <w:t xml:space="preserve">25</w:t>
      </w:r>
      <w:r>
        <w:t xml:space="preserve">.</w:t>
      </w:r>
      <w:r>
        <w:t xml:space="preserve"> </w:t>
      </w:r>
      <w:r>
        <w:t xml:space="preserve"> </w:t>
      </w:r>
      <w:r>
        <w:t xml:space="preserve">The climate sensitivity of woody growth phenology in temperate deciduous trees and its link to annual growth has never been studied</w:t>
      </w:r>
      <w:r>
        <w:t xml:space="preserve"> </w:t>
      </w:r>
      <w:r>
        <w:rPr>
          <w:iCs/>
          <w:i/>
        </w:rPr>
        <w:t xml:space="preserve">in-situ</w:t>
      </w:r>
      <w:r>
        <w:t xml:space="preserve"> </w:t>
      </w:r>
      <w:r>
        <w:t xml:space="preserve">(but see Ref.</w:t>
      </w:r>
      <w:r>
        <w:rPr>
          <w:vertAlign w:val="superscript"/>
        </w:rPr>
        <w:t xml:space="preserve">24</w:t>
      </w:r>
      <w:r>
        <w:t xml:space="preserve"> </w:t>
      </w:r>
      <w:r>
        <w:t xml:space="preserve">for a controlled sapling experiment).</w:t>
      </w:r>
    </w:p>
    <w:p>
      <w:pPr>
        <w:pStyle w:val="BodyText"/>
      </w:pPr>
      <w:r>
        <w:t xml:space="preserve">Tree-ring records, which can be used to examine relationships of annual growth to temperature but not to understand growth phenology, reveal that growth of temperate deciduous trees tends to be most sensitive to temperature or potential evapotranspiration between late spring and early summer</w:t>
      </w:r>
      <w:r>
        <w:rPr>
          <w:vertAlign w:val="superscript"/>
        </w:rPr>
        <w:t xml:space="preserve">26,27</w:t>
      </w:r>
      <w:r>
        <w:t xml:space="preserve">,</w:t>
      </w:r>
      <w:r>
        <w:t xml:space="preserve"> </w:t>
      </w:r>
      <w:r>
        <w:t xml:space="preserve"> </w:t>
      </w:r>
      <w:r>
        <w:t xml:space="preserve">with some hints that warmer springs may have a modest positive effect on growth</w:t>
      </w:r>
      <w:r>
        <w:rPr>
          <w:vertAlign w:val="superscript"/>
        </w:rPr>
        <w:t xml:space="preserve">27</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uptake</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evaluate how early spring temperatures affect stem growth phenology, growth rates, and annual growth of temperate deciduous trees across eastern North America.</w:t>
      </w:r>
      <w:r>
        <w:t xml:space="preserve"> </w:t>
      </w:r>
      <w:r>
        <w:t xml:space="preserve">To test whether warmer springs extend the period of stem growth, we used dendrometer band measurements on 463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28</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and the DOY on which it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25</w:t>
      </w:r>
      <w:r>
        <w:t xml:space="preserve">. These stem-growth milestones were compared to canopy foliage phenology (measured at ecosystem level via remote sensing).</w:t>
      </w:r>
    </w:p>
    <w:p>
      <w:pPr>
        <w:pStyle w:val="CaptionedFigure"/>
      </w:pPr>
      <w:r>
        <w:drawing>
          <wp:inline>
            <wp:extent cx="5943600" cy="6964679"/>
            <wp:effectExtent b="0" l="0" r="0" t="0"/>
            <wp:docPr descr="Figure 1 | Summary of temperate deciduous tree growth responses to warmer spring temperatures. (a) Schematic illustrating parameters of interest and summarizing how each responds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increases and decreases, respectively,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964679"/>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increases and decreases, respectively,</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Growth milestones for both canopy foliage phenology and stem growth occurred 6-10 days earlier, on average, at SCBI than at Harvard Forest (Fig. 2, Extended Data Table 2).</w:t>
      </w:r>
      <w:r>
        <w:t xml:space="preserve"> </w:t>
      </w:r>
      <w:r>
        <w:t xml:space="preserve">Consistent with the results of Ref</w:t>
      </w:r>
      <w:r>
        <w:rPr>
          <w:vertAlign w:val="superscript"/>
        </w:rPr>
        <w:t xml:space="preserve">25</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Foliage (a,b) and stem growth (c,d) phenology at the Smithsonian Conservation Biology Institute (a,c) and Harvard Forest (b,d). 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Foliage (a,b) and stem growth (c,d) phenology at the Smithsonian Conservation Biology Institute (a,c) and Harvard Forest (b,d).</w:t>
      </w:r>
      <w:r>
        <w:t xml:space="preserve"> </w:t>
      </w:r>
      <w:r>
        <w:t xml:space="preserve">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MODIS-derived canopy foliage phenology and dendrometer band measurements of stem growth phenology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stem-growth phenology were found using</w:t>
      </w:r>
      <w:r>
        <w:t xml:space="preserve"> </w:t>
      </w:r>
      <m:oMath>
        <m:sSub>
          <m:e>
            <m:r>
              <m:t>T</m:t>
            </m:r>
          </m:e>
          <m:sub>
            <m:r>
              <m:t>m</m:t>
            </m:r>
            <m:r>
              <m:t>a</m:t>
            </m:r>
            <m:r>
              <m:t>x</m:t>
            </m:r>
          </m:sub>
        </m:sSub>
      </m:oMath>
      <w:r>
        <w:t xml:space="preserve"> </w:t>
      </w:r>
      <w:r>
        <w:t xml:space="preserve">during a critical temperatrue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porosity-site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phenological milestones.</w:t>
      </w:r>
      <w:r>
        <w:t xml:space="preserve"> </w:t>
      </w:r>
      <w:r>
        <w:t xml:space="preserve">Consistent with findings from previous studies</w:t>
      </w:r>
      <w:r>
        <w:rPr>
          <w:vertAlign w:val="superscript"/>
        </w:rPr>
        <w:t xml:space="preserve">30</w:t>
      </w:r>
      <w:r>
        <w:t xml:space="preserve">, leaf phenological milestones advanced at both sites (Fig. 2a-b, Extended Data Table 2), with greenup (DOY when EVI2 first crossed 15% of the segment EVI2 amplitude) advancing 4.5 days/</w:t>
      </w:r>
      <m:oMath>
        <m:sSup>
          <m:e>
            <m:r>
              <m:t>​</m:t>
            </m:r>
          </m:e>
          <m:sup>
            <m:r>
              <m:rPr>
                <m:sty m:val="p"/>
              </m:rPr>
              <m:t>∘</m:t>
            </m:r>
          </m:sup>
        </m:sSup>
      </m:oMath>
      <w:r>
        <w:t xml:space="preserve">C at SCBI (p=0.001) and 2.4 days/</w:t>
      </w:r>
      <w:r>
        <w:t xml:space="preserve"> </w:t>
      </w:r>
      <m:oMath>
        <m:sSup>
          <m:e>
            <m:r>
              <m:t>​</m:t>
            </m:r>
          </m:e>
          <m:sup>
            <m:r>
              <m:rPr>
                <m:sty m:val="p"/>
              </m:rPr>
              <m:t>∘</m:t>
            </m:r>
          </m:sup>
        </m:sSup>
      </m:oMath>
      <w:r>
        <w:t xml:space="preserve">C at Harvard Forest (p=0.1).</w:t>
      </w:r>
      <w:r>
        <w:t xml:space="preserve"> </w:t>
      </w:r>
      <w:r>
        <w:t xml:space="preserve">Similarly, at both sites,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1.1-1.9 days/</w:t>
      </w:r>
      <w:r>
        <w:t xml:space="preserve"> </w:t>
      </w:r>
      <m:oMath>
        <m:sSup>
          <m:e>
            <m:r>
              <m:t>​</m:t>
            </m:r>
          </m:e>
          <m:sup>
            <m:r>
              <m:rPr>
                <m:sty m:val="p"/>
              </m:rPr>
              <m:t>∘</m:t>
            </m:r>
          </m:sup>
        </m:sSup>
      </m:oMath>
      <w:r>
        <w:t xml:space="preserve">C for ring-porous species and 3.5-3.6 days/</w:t>
      </w:r>
      <w:r>
        <w:t xml:space="preserve"> </w:t>
      </w:r>
      <m:oMath>
        <m:sSup>
          <m:e>
            <m:r>
              <m:t>​</m:t>
            </m:r>
          </m:e>
          <m:sup>
            <m:r>
              <m:rPr>
                <m:sty m:val="p"/>
              </m:rPr>
              <m:t>∘</m:t>
            </m:r>
          </m:sup>
        </m:sSup>
      </m:oMath>
      <w:r>
        <w:t xml:space="preserve">C for diffuse-porous species at SCBI, and 2.8-7.2 days/</w:t>
      </w:r>
      <w:r>
        <w:t xml:space="preserve"> </w:t>
      </w:r>
      <m:oMath>
        <m:sSup>
          <m:e>
            <m:r>
              <m:t>​</m:t>
            </m:r>
          </m:e>
          <m:sup>
            <m:r>
              <m:rPr>
                <m:sty m:val="p"/>
              </m:rPr>
              <m:t>∘</m:t>
            </m:r>
          </m:sup>
        </m:sSup>
      </m:oMath>
      <w:r>
        <w:t xml:space="preserve">C for ring-porous species and 6.6-7.9 days/</w:t>
      </w:r>
      <w:r>
        <w:t xml:space="preserve"> </w:t>
      </w:r>
      <m:oMath>
        <m:sSup>
          <m:e>
            <m:r>
              <m:t>​</m:t>
            </m:r>
          </m:e>
          <m:sup>
            <m:r>
              <m:rPr>
                <m:sty m:val="p"/>
              </m:rPr>
              <m:t>∘</m:t>
            </m:r>
          </m:sup>
        </m:sSup>
      </m:oMath>
      <w:r>
        <w:t xml:space="preserve">C for diffuse-porous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27</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26</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ring-porous and 4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ring-porous and diffuse-porous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canopy foliage (Fig. 2a-b)</w:t>
      </w:r>
      <w:r>
        <w:rPr>
          <w:vertAlign w:val="superscript"/>
        </w:rPr>
        <w:t xml:space="preserve">2,4,5</w:t>
      </w:r>
      <w:r>
        <w:t xml:space="preserve"> </w:t>
      </w:r>
      <w:r>
        <w:t xml:space="preserve">and</w:t>
      </w:r>
      <w:r>
        <w:t xml:space="preserve"> </w:t>
      </w:r>
      <w:r>
        <w:rPr>
          <w:iCs/>
          <w:i/>
        </w:rPr>
        <w:t xml:space="preserve">NEE</w:t>
      </w:r>
      <w:r>
        <w:rPr>
          <w:vertAlign w:val="superscript"/>
        </w:rPr>
        <w:t xml:space="preserve">2,4</w:t>
      </w:r>
      <w:r>
        <w:t xml:space="preserve">.</w:t>
      </w:r>
      <w:r>
        <w:t xml:space="preserve"> </w:t>
      </w:r>
      <w:r>
        <w:t xml:space="preserve">However, inconsistent with the concept that an earlier start to growth would increase annual woody productivity, we demonstrate that warmer springs hasten the cessation of stem expansion and thereby have negligible effect on total annual growth for most species and locations (Fig. 3).</w:t>
      </w:r>
      <w:r>
        <w:t xml:space="preserve"> </w:t>
      </w:r>
      <w:r>
        <w:t xml:space="preserve">Our observations suggest that the cessation of rapid stem expansion, which occurs mid-summer near the time of peak canopy greenness (Extended Data Figure 2)</w:t>
      </w:r>
      <w:r>
        <w:rPr>
          <w:vertAlign w:val="superscript"/>
        </w:rPr>
        <w:t xml:space="preserve">4</w:t>
      </w:r>
      <w:r>
        <w:t xml:space="preserve">, is likely driven by cues other than photosynthate limitation, such as daylength or sink limitation, which also play an important role in autumn leaf senescence</w:t>
      </w:r>
      <w:r>
        <w:rPr>
          <w:vertAlign w:val="superscript"/>
        </w:rPr>
        <w:t xml:space="preserve">17,23,31</w:t>
      </w:r>
      <w:r>
        <w:t xml:space="preserve">.</w:t>
      </w:r>
      <w:r>
        <w:t xml:space="preserve"> </w:t>
      </w:r>
      <w:r>
        <w:t xml:space="preserve">Our tree-ring analysis (Fig. 3) demonstrates that the primary effect of warming temperatures on annual tree growth is not an augmentation through an earlier start to growth, but rather a reduction associated to drought stress during the peak growing season</w:t>
      </w:r>
      <w:r>
        <w:rPr>
          <w:vertAlign w:val="superscript"/>
        </w:rPr>
        <w:t xml:space="preserve">26</w:t>
      </w:r>
      <w:r>
        <w:t xml:space="preserve">.</w:t>
      </w:r>
      <w:r>
        <w:t xml:space="preserve"> </w:t>
      </w:r>
      <w:r>
        <w:t xml:space="preserve">Warm springs may also amplify summer drought stress in some times and places, effectively canceling out any positive effects of an extended growing period</w:t>
      </w:r>
      <w:r>
        <w:rPr>
          <w:vertAlign w:val="superscript"/>
        </w:rPr>
        <w:t xml:space="preserve">3,32</w:t>
      </w:r>
      <w:r>
        <w:t xml:space="preserve">; however, spring temperatures and summer Standardized Precipitation Evapotranspiration Index</w:t>
      </w:r>
      <w:r>
        <w:rPr>
          <w:vertAlign w:val="superscript"/>
        </w:rPr>
        <w:t xml:space="preserve">33</w:t>
      </w:r>
      <w:r>
        <w:t xml:space="preserve"> </w:t>
      </w:r>
      <w:r>
        <w:t xml:space="preserve">were uncorrelated within our dendrometer band analysis, implying that the effects of warm spring temperatures on growth phenology elucidated here (Fig. 1) were not attributable to summer drought.</w:t>
      </w:r>
    </w:p>
    <w:p>
      <w:pPr>
        <w:pStyle w:val="BodyText"/>
      </w:pPr>
      <w:r>
        <w:t xml:space="preserve">Our finding that interannual variation in woody growth is more strongly linked to conditions during the peak growing season than to growing season length aligns with parallel findings for</w:t>
      </w:r>
      <w:r>
        <w:t xml:space="preserve"> </w:t>
      </w:r>
      <w:r>
        <w:rPr>
          <w:iCs/>
          <w:i/>
        </w:rPr>
        <w:t xml:space="preserve">NEE</w:t>
      </w:r>
      <w:r>
        <w:rPr>
          <w:vertAlign w:val="superscript"/>
        </w:rPr>
        <w:t xml:space="preserve">13,14</w:t>
      </w:r>
      <w:r>
        <w:t xml:space="preserve">.</w:t>
      </w:r>
      <w:r>
        <w:t xml:space="preserve"> </w:t>
      </w:r>
      <w:r>
        <w:t xml:space="preserve">However, there is also a disconnect with findings that</w:t>
      </w:r>
      <w:r>
        <w:t xml:space="preserve"> </w:t>
      </w:r>
      <w:r>
        <w:rPr>
          <w:iCs/>
          <w:i/>
        </w:rPr>
        <w:t xml:space="preserve">NEE</w:t>
      </w:r>
      <w:r>
        <w:t xml:space="preserve"> </w:t>
      </w:r>
      <w:r>
        <w:t xml:space="preserve">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12,34,35</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 fixation in years with warm springs does not substantially augment woody growth, but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photosynthate in years with warm springs may be allocated to woody growth without affecting diameter growth in the current year.</w:t>
      </w:r>
      <w:r>
        <w:t xml:space="preserve"> </w:t>
      </w:r>
      <w:r>
        <w:t xml:space="preserve">It is theoretically possible that extra C is allocated to cell wall thickening, a process that lags behind stem expansion</w:t>
      </w:r>
      <w:r>
        <w:rPr>
          <w:vertAlign w:val="superscript"/>
        </w:rPr>
        <w:t xml:space="preserve">36</w:t>
      </w:r>
      <w:r>
        <w:t xml:space="preserve">, or to a thicker layer of higher-density latewood,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37–39</w:t>
      </w:r>
      <w:r>
        <w:t xml:space="preserve">, which is more strongly controlled by summer drought stress</w:t>
      </w:r>
      <w:r>
        <w:rPr>
          <w:vertAlign w:val="superscript"/>
        </w:rPr>
        <w:t xml:space="preserve">37,38</w:t>
      </w:r>
      <w:r>
        <w:t xml:space="preserve">, suggesting that a positive effect of warm springs on the total C content of annual rings is unlikely.</w:t>
      </w:r>
      <w:r>
        <w:t xml:space="preserve"> </w:t>
      </w:r>
      <w:r>
        <w:t xml:space="preserve">Extra C could also be saved within trees as non-structural carbohydrates and used towards growth the following year</w:t>
      </w:r>
      <w:r>
        <w:rPr>
          <w:vertAlign w:val="superscript"/>
        </w:rPr>
        <w:t xml:space="preserve">40,41</w:t>
      </w:r>
      <w:r>
        <w:t xml:space="preserve">, potentially including an earlier start to growth</w:t>
      </w:r>
      <w:r>
        <w:rPr>
          <w:vertAlign w:val="superscript"/>
        </w:rPr>
        <w:t xml:space="preserve">31</w:t>
      </w:r>
      <w:r>
        <w:t xml:space="preserve">.</w:t>
      </w:r>
      <w:r>
        <w:t xml:space="preserve"> </w:t>
      </w:r>
      <w:r>
        <w:t xml:space="preserve">Extension of our tree-ring analysis revealed weak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reproduction, and production of foliage, roots</w:t>
      </w:r>
      <w:r>
        <w:rPr>
          <w:vertAlign w:val="superscript"/>
        </w:rPr>
        <w:t xml:space="preserve">24</w:t>
      </w:r>
      <w:r>
        <w:t xml:space="preserve">, or root exudates.</w:t>
      </w:r>
      <w:r>
        <w:t xml:space="preserve"> </w:t>
      </w:r>
      <w:r>
        <w:t xml:space="preserve">Much of this C would have a relatively short residence time within the ecosystem, and C loss through fall or winter respiration may offset gains from an earlier spring</w:t>
      </w:r>
      <w:r>
        <w:rPr>
          <w:vertAlign w:val="superscript"/>
        </w:rPr>
        <w:t xml:space="preserve">3,42</w:t>
      </w:r>
      <w:r>
        <w:t xml:space="preserve">.</w:t>
      </w:r>
      <w:r>
        <w:t xml:space="preserve"> </w:t>
      </w:r>
      <w:r>
        <w:t xml:space="preserve">However, C allocated to nonstructural carbohydrates or relatively short-lived plant tissues would typically remain in the ecosystem beyond the end of the year</w:t>
      </w:r>
      <w:r>
        <w:rPr>
          <w:vertAlign w:val="superscript"/>
        </w:rPr>
        <w:t xml:space="preserve">40</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 xml:space="preserve">43</w:t>
      </w:r>
      <w:r>
        <w:t xml:space="preserve">.</w:t>
      </w:r>
      <w:r>
        <w:t xml:space="preserve"> </w:t>
      </w:r>
      <w:r>
        <w:t xml:space="preserve">Moreover, acclimation of trees to warming temperatures</w:t>
      </w:r>
      <w:r>
        <w:rPr>
          <w:vertAlign w:val="superscript"/>
        </w:rPr>
        <w:t xml:space="preserve">44</w:t>
      </w:r>
      <w:r>
        <w:t xml:space="preserve"> </w:t>
      </w:r>
      <w:r>
        <w:t xml:space="preserve">and, on longer time scales, species adaptations and shifts in community composition</w:t>
      </w:r>
      <w:r>
        <w:rPr>
          <w:vertAlign w:val="superscript"/>
        </w:rPr>
        <w:t xml:space="preserve">45</w:t>
      </w:r>
      <w:r>
        <w:t xml:space="preserve"> </w:t>
      </w:r>
      <w:r>
        <w:t xml:space="preserve">are likely to alter the phenology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are correlated with greater tree growth</w:t>
      </w:r>
      <w:r>
        <w:rPr>
          <w:vertAlign w:val="superscript"/>
        </w:rPr>
        <w:t xml:space="preserve">46</w:t>
      </w:r>
      <w:r>
        <w:t xml:space="preserve">, woody productivity</w:t>
      </w:r>
      <w:r>
        <w:rPr>
          <w:vertAlign w:val="superscript"/>
        </w:rPr>
        <w:t xml:space="preserve">47</w:t>
      </w:r>
      <w:r>
        <w:t xml:space="preserve">, and</w:t>
      </w:r>
      <w:r>
        <w:t xml:space="preserve"> </w:t>
      </w:r>
      <w:r>
        <w:rPr>
          <w:iCs/>
          <w:i/>
        </w:rPr>
        <w:t xml:space="preserve">NEE</w:t>
      </w:r>
      <w:r>
        <w:rPr>
          <w:vertAlign w:val="superscript"/>
        </w:rPr>
        <w:t xml:space="preserve">48</w:t>
      </w:r>
      <w:r>
        <w:t xml:space="preserve">.</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an earlier onset of growth in the spring is unlikely to provide the sustained increase in CO</w:t>
      </w:r>
      <w:r>
        <w:rPr>
          <w:vertAlign w:val="subscript"/>
        </w:rPr>
        <w:t xml:space="preserve">2</w:t>
      </w:r>
      <w:r>
        <w:t xml:space="preserve"> </w:t>
      </w:r>
      <w:r>
        <w:t xml:space="preserve">sequestration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49</w:t>
      </w:r>
      <w:r>
        <w:t xml:space="preserve"> </w:t>
      </w:r>
      <w:r>
        <w:t xml:space="preserve">and Harvard Forest</w:t>
      </w:r>
      <w:r>
        <w:rPr>
          <w:vertAlign w:val="superscript"/>
        </w:rPr>
        <w:t xml:space="preserve">4,25</w:t>
      </w:r>
      <w:r>
        <w:t xml:space="preserve">, both part of the Forest Global Earth Observatory (ForestGEO)</w:t>
      </w:r>
      <w:r>
        <w:rPr>
          <w:vertAlign w:val="superscript"/>
        </w:rPr>
        <w:t xml:space="preserve">50,51</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49</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27</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46</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46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 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28</w:t>
      </w:r>
      <w:r>
        <w:t xml:space="preserve"> </w:t>
      </w:r>
      <w:r>
        <w:t xml:space="preserve">to dendrometer band data from each tree-year to define phenological dates and growth rates (Fig. 1). 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DBH at the beginning and end of the year, respectively.</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The DOY on which maximum growth occurs,</w:t>
      </w:r>
      <w:r>
        <w:t xml:space="preserve"> </w:t>
      </w:r>
      <m:oMath>
        <m:r>
          <m:t>D</m:t>
        </m:r>
        <m:r>
          <m:t>O</m:t>
        </m:r>
        <m:sSub>
          <m:e>
            <m:r>
              <m:t>Y</m:t>
            </m:r>
          </m:e>
          <m:sub>
            <m:sSub>
              <m:e>
                <m:r>
                  <m:t>g</m:t>
                </m:r>
              </m:e>
              <m:sub>
                <m:r>
                  <m:t>m</m:t>
                </m:r>
                <m:r>
                  <m:t>a</m:t>
                </m:r>
                <m:r>
                  <m:t>x</m:t>
                </m:r>
              </m:sub>
            </m:sSub>
          </m:sub>
        </m:sSub>
      </m:oMath>
      <w:r>
        <w:t xml:space="preserve"> </w:t>
      </w:r>
      <w:r>
        <w:t xml:space="preserve">(Fig. 1), occurs on</w:t>
      </w:r>
      <w:r>
        <w:t xml:space="preserve"> </w:t>
      </w:r>
      <m:oMath>
        <m:r>
          <m:t>D</m:t>
        </m:r>
        <m:r>
          <m:t>O</m:t>
        </m:r>
        <m:sSub>
          <m:e>
            <m:r>
              <m:t>Y</m:t>
            </m:r>
          </m:e>
          <m:sub>
            <m:r>
              <m:t>i</m:t>
            </m:r>
            <m:r>
              <m:t>p</m:t>
            </m:r>
          </m:sub>
        </m:sSub>
      </m:oMath>
      <w:r>
        <w:t xml:space="preserve"> </w:t>
      </w:r>
      <w:r>
        <w:t xml:space="preserve">when</w:t>
      </w:r>
      <w:r>
        <w:t xml:space="preserve"> </w:t>
      </w:r>
      <m:oMath>
        <m:r>
          <m:t>θ</m:t>
        </m:r>
        <m:r>
          <m:rPr>
            <m:sty m:val="p"/>
          </m:rPr>
          <m:t>=</m:t>
        </m:r>
        <m:r>
          <m:t>1</m:t>
        </m:r>
      </m:oMath>
      <w:r>
        <w:t xml:space="preserve">.</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28</w:t>
      </w:r>
      <w:r>
        <w:t xml:space="preserve">. These functions take the time-series of manual dendrometer band measurements and return maximum-likelihood optimized values of the above five parameters that best predict DBH for each day of year.</w:t>
      </w:r>
      <w:r>
        <w:t xml:space="preserve"> </w:t>
      </w:r>
      <w:r>
        <w:t xml:space="preserve">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rPr>
            <m:sty m:val="p"/>
          </m:rPr>
          <m:t>≥</m:t>
        </m:r>
        <m:r>
          <m:t>2</m:t>
        </m:r>
      </m:oMath>
      <w:r>
        <w:t xml:space="preserve"> </w:t>
      </w:r>
      <w:r>
        <w:t xml:space="preserve">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53, Harvard Forest = 106);</w:t>
      </w:r>
      <w:r>
        <w:t xml:space="preserve"> </w:t>
      </w:r>
      <w:r>
        <w:t xml:space="preserve">(3) tree-years with small or negligible total growth (</w:t>
      </w:r>
      <m:oMath>
        <m:r>
          <m:t>Δ</m:t>
        </m:r>
        <m:r>
          <m:t>D</m:t>
        </m:r>
        <m:r>
          <m:t>B</m:t>
        </m:r>
        <m:r>
          <m:t>H</m:t>
        </m:r>
      </m:oMath>
      <w:r>
        <w:t xml:space="preserve"> </w:t>
      </w:r>
      <m:oMath>
        <m:r>
          <m:rPr>
            <m:sty m:val="p"/>
          </m:rPr>
          <m:t>≤</m:t>
        </m:r>
        <m:r>
          <m:t>0.02</m:t>
        </m:r>
      </m:oMath>
      <w:r>
        <w:t xml:space="preserve"> </w:t>
      </w:r>
      <w:r>
        <w:t xml:space="preserve">mm; SCBI = 0, Harvard Forest = 66);</w:t>
      </w:r>
      <w:r>
        <w:t xml:space="preserve"> </w:t>
      </w:r>
      <w:r>
        <w:t xml:space="preserve">(4) model fit predicted total yearly growth to take longer than 365 days, indicating poor model fit (SCBI = 150, Harvard Forest = 199);</w:t>
      </w:r>
      <w:r>
        <w:t xml:space="preserve"> </w:t>
      </w:r>
      <w:r>
        <w:t xml:space="preserve">(5) models with unexplained sharp spikes in growth rate (SCBI = 0, Harvard Forest = 3);</w:t>
      </w:r>
      <w:r>
        <w:t xml:space="preserve"> </w:t>
      </w:r>
      <w:r>
        <w:t xml:space="preserve">and (6) poorly fit models that did not meet any of the above criteria (SCBI = 2, Harvard Forest = 0).</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ring-porous trees were removed, the majority falling under condition 4.</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52</w:t>
      </w:r>
      <w:r>
        <w:t xml:space="preserve"> </w:t>
      </w:r>
      <w:r>
        <w:t xml:space="preserve">via Google Earth Engine.</w:t>
      </w:r>
      <w:r>
        <w:t xml:space="preserve"> </w:t>
      </w:r>
      <w:r>
        <w:t xml:space="preserve">Extracted pixels were those containing the NEON tower at each site.</w:t>
      </w:r>
      <w:r>
        <w:t xml:space="preserve"> </w:t>
      </w:r>
      <w:r>
        <w:t xml:space="preserve">Using daily MODIS 2-band Enhanced Vegetation Index data (EVI2) at a spatial resolution of 500m, the product yields the timing of phenometrics (vegetation phenology) over each year, including timing of greenup, midgreenup, and senescence as used in this study.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53</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54</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55,56</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57</w:t>
      </w:r>
      <w:r>
        <w:t xml:space="preserve">.</w:t>
      </w:r>
      <w:r>
        <w:t xml:space="preserve"> </w:t>
      </w:r>
      <w:r>
        <w:t xml:space="preserve">This package tests the correlation between one or more predictor climate variable and a biological outcome variable over all consecutive time windows within a specified time-frame. 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growth phenology parameters,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58,59</w:t>
      </w:r>
      <w:r>
        <w:t xml:space="preserve">. 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tempreatures and summer Standardized Precipitation Evapotranspiration Index</w:t>
      </w:r>
      <w:r>
        <w:rPr>
          <w:vertAlign w:val="superscript"/>
        </w:rPr>
        <w:t xml:space="preserve">33</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53,60,61</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lead to greater summer drought stress.</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62</w:t>
      </w:r>
      <w:r>
        <w:t xml:space="preserve">.</w:t>
      </w:r>
    </w:p>
    <w:p>
      <w:pPr>
        <w:pStyle w:val="BodyText"/>
      </w:pPr>
      <w:r>
        <w:t xml:space="preserve">Dominant tree species were cored at both SCBI</w:t>
      </w:r>
      <w:r>
        <w:rPr>
          <w:vertAlign w:val="superscript"/>
        </w:rPr>
        <w:t xml:space="preserve">27,49</w:t>
      </w:r>
      <w:r>
        <w:t xml:space="preserve"> </w:t>
      </w:r>
      <w:r>
        <w:t xml:space="preserve">and Harvard Forest</w:t>
      </w:r>
      <w:r>
        <w:rPr>
          <w:vertAlign w:val="superscript"/>
        </w:rPr>
        <w:t xml:space="preserve">4,63,64</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26,65</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66</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66,67</w:t>
      </w:r>
      <w:r>
        <w:t xml:space="preserve">.</w:t>
      </w:r>
      <w:r>
        <w:t xml:space="preserve"> </w:t>
      </w:r>
      <w:r>
        <w:t xml:space="preserve">An adaptive power transformation, a process that also stabilises the variance over time</w:t>
      </w:r>
      <w:r>
        <w:rPr>
          <w:vertAlign w:val="superscript"/>
        </w:rPr>
        <w:t xml:space="preserve">68</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69</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67</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70</w:t>
      </w:r>
      <w:r>
        <w:t xml:space="preserve"> </w:t>
      </w:r>
      <w:r>
        <w:t xml:space="preserve">Correlations between monthly climate and</w:t>
      </w:r>
      <w:r>
        <w:t xml:space="preserve"> </w:t>
      </w:r>
      <m:oMath>
        <m:r>
          <m:t>R</m:t>
        </m:r>
        <m:r>
          <m:t>W</m:t>
        </m:r>
        <m:r>
          <m:t>I</m:t>
        </m:r>
      </m:oMath>
      <w:r>
        <w:t xml:space="preserve"> </w:t>
      </w:r>
      <w:r>
        <w:t xml:space="preserve">were assessed using</w:t>
      </w:r>
      <w:r>
        <w:t xml:space="preserve"> </w:t>
      </w:r>
      <w:r>
        <w:t xml:space="preserve">‘</w:t>
      </w:r>
      <w:r>
        <w:t xml:space="preserve">dplR</w:t>
      </w:r>
      <w:r>
        <w:t xml:space="preserve">’</w:t>
      </w:r>
      <w:r>
        <w:rPr>
          <w:vertAlign w:val="superscript"/>
        </w:rPr>
        <w:t xml:space="preserve">71</w:t>
      </w:r>
      <w:r>
        <w:t xml:space="preserve"> </w:t>
      </w:r>
      <w:r>
        <w:t xml:space="preserve">and</w:t>
      </w:r>
      <w:r>
        <w:t xml:space="preserve"> </w:t>
      </w:r>
      <w:r>
        <w:t xml:space="preserve">‘</w:t>
      </w:r>
      <w:r>
        <w:t xml:space="preserve">bootRes</w:t>
      </w:r>
      <w:r>
        <w:t xml:space="preserve">’</w:t>
      </w:r>
      <w:r>
        <w:rPr>
          <w:vertAlign w:val="superscript"/>
        </w:rPr>
        <w:t xml:space="preserve">72</w:t>
      </w:r>
      <w:r>
        <w:t xml:space="preserve"> </w:t>
      </w:r>
      <w:r>
        <w:t xml:space="preserve">in R v 4.0 (R Core Team, 2020), which correlated functions and bootstrapped confidence intervals for these relationships</w:t>
      </w:r>
      <w:r>
        <w:rPr>
          <w:vertAlign w:val="superscript"/>
        </w:rPr>
        <w:t xml:space="preserve">73</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Ecosystesms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34"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34"/>
    <w:bookmarkStart w:id="117" w:name="References"/>
    <w:p>
      <w:pPr>
        <w:pStyle w:val="Heading1"/>
      </w:pPr>
      <w:r>
        <w:t xml:space="preserve">References</w:t>
      </w:r>
    </w:p>
    <w:bookmarkStart w:id="116" w:name="refs"/>
    <w:bookmarkStart w:id="35"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35"/>
    <w:bookmarkStart w:id="36"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36"/>
    <w:bookmarkStart w:id="37"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37"/>
    <w:bookmarkStart w:id="38"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38"/>
    <w:bookmarkStart w:id="39"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39"/>
    <w:bookmarkStart w:id="41"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40">
        <w:r>
          <w:rPr>
            <w:rStyle w:val="Hyperlink"/>
          </w:rPr>
          <w:t xml:space="preserve">10.1073/pnas.2002713117</w:t>
        </w:r>
      </w:hyperlink>
      <w:r>
        <w:t xml:space="preserve">.</w:t>
      </w:r>
    </w:p>
    <w:bookmarkEnd w:id="41"/>
    <w:bookmarkStart w:id="42"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42"/>
    <w:bookmarkStart w:id="43"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43"/>
    <w:bookmarkStart w:id="44"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44"/>
    <w:bookmarkStart w:id="45"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45"/>
    <w:bookmarkStart w:id="46"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46"/>
    <w:bookmarkStart w:id="47"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47"/>
    <w:bookmarkStart w:id="48"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48"/>
    <w:bookmarkStart w:id="49"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49"/>
    <w:bookmarkStart w:id="50"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0"/>
    <w:bookmarkStart w:id="51"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51"/>
    <w:bookmarkStart w:id="52"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52"/>
    <w:bookmarkStart w:id="53"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53"/>
    <w:bookmarkStart w:id="54" w:name="ref-pan_large_2011"/>
    <w:p>
      <w:pPr>
        <w:pStyle w:val="Bibliography"/>
      </w:pPr>
      <w:r>
        <w:t xml:space="preserve">19.</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54"/>
    <w:bookmarkStart w:id="55" w:name="ref-friedlingstein_global_2020"/>
    <w:p>
      <w:pPr>
        <w:pStyle w:val="Bibliography"/>
      </w:pPr>
      <w:r>
        <w:t xml:space="preserve">20.</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55"/>
    <w:bookmarkStart w:id="56" w:name="ref-pugh_role_2019"/>
    <w:p>
      <w:pPr>
        <w:pStyle w:val="Bibliography"/>
      </w:pPr>
      <w:r>
        <w:t xml:space="preserve">21.</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56"/>
    <w:bookmarkStart w:id="57" w:name="ref-arora_carbon_2020"/>
    <w:p>
      <w:pPr>
        <w:pStyle w:val="Bibliography"/>
      </w:pPr>
      <w:r>
        <w:t xml:space="preserve">22.</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57"/>
    <w:bookmarkStart w:id="58" w:name="ref-keenan_timing_2015"/>
    <w:p>
      <w:pPr>
        <w:pStyle w:val="Bibliography"/>
      </w:pPr>
      <w:r>
        <w:t xml:space="preserve">23.</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58"/>
    <w:bookmarkStart w:id="59" w:name="ref-zohner_how_2021"/>
    <w:p>
      <w:pPr>
        <w:pStyle w:val="Bibliography"/>
      </w:pPr>
      <w:r>
        <w:t xml:space="preserve">24.</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59"/>
    <w:bookmarkStart w:id="61" w:name="ref-dorangeville_peak_2021"/>
    <w:p>
      <w:pPr>
        <w:pStyle w:val="Bibliography"/>
      </w:pPr>
      <w:r>
        <w:t xml:space="preserve">25.</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60">
        <w:r>
          <w:rPr>
            <w:rStyle w:val="Hyperlink"/>
          </w:rPr>
          <w:t xml:space="preserve">10.1093/treephys/tpab101</w:t>
        </w:r>
      </w:hyperlink>
      <w:r>
        <w:t xml:space="preserve">.</w:t>
      </w:r>
    </w:p>
    <w:bookmarkEnd w:id="61"/>
    <w:bookmarkStart w:id="62" w:name="ref-dorangeville_drought_2018"/>
    <w:p>
      <w:pPr>
        <w:pStyle w:val="Bibliography"/>
      </w:pPr>
      <w:r>
        <w:t xml:space="preserve">26.</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62"/>
    <w:bookmarkStart w:id="63" w:name="ref-helcoski_growing_2019"/>
    <w:p>
      <w:pPr>
        <w:pStyle w:val="Bibliography"/>
      </w:pPr>
      <w:r>
        <w:t xml:space="preserve">27.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63"/>
    <w:bookmarkStart w:id="64" w:name="ref-mcmahon_general_2015"/>
    <w:p>
      <w:pPr>
        <w:pStyle w:val="Bibliography"/>
      </w:pPr>
      <w:r>
        <w:t xml:space="preserve">28.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64"/>
    <w:bookmarkStart w:id="65" w:name="ref-parmesan_globally_2003"/>
    <w:p>
      <w:pPr>
        <w:pStyle w:val="Bibliography"/>
      </w:pPr>
      <w:r>
        <w:t xml:space="preserve">29.</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5"/>
    <w:bookmarkStart w:id="66" w:name="ref-friedl_tale_2014"/>
    <w:p>
      <w:pPr>
        <w:pStyle w:val="Bibliography"/>
      </w:pPr>
      <w:r>
        <w:t xml:space="preserve">30.</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6"/>
    <w:bookmarkStart w:id="67" w:name="ref-fu_variation_2014"/>
    <w:p>
      <w:pPr>
        <w:pStyle w:val="Bibliography"/>
      </w:pPr>
      <w:r>
        <w:t xml:space="preserve">31.</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67"/>
    <w:bookmarkStart w:id="68" w:name="ref-zhang_drought_2021"/>
    <w:p>
      <w:pPr>
        <w:pStyle w:val="Bibliography"/>
      </w:pPr>
      <w:r>
        <w:t xml:space="preserve">32.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68"/>
    <w:bookmarkStart w:id="69" w:name="ref-vicente-serrano_multiscalar_2010"/>
    <w:p>
      <w:pPr>
        <w:pStyle w:val="Bibliography"/>
      </w:pPr>
      <w:r>
        <w:t xml:space="preserve">33.</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69"/>
    <w:bookmarkStart w:id="70" w:name="ref-zohner_ongoing_2019"/>
    <w:p>
      <w:pPr>
        <w:pStyle w:val="Bibliography"/>
      </w:pPr>
      <w:r>
        <w:t xml:space="preserve">34.</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70"/>
    <w:bookmarkStart w:id="71" w:name="ref-xie_predicting_2018"/>
    <w:p>
      <w:pPr>
        <w:pStyle w:val="Bibliography"/>
      </w:pPr>
      <w:r>
        <w:t xml:space="preserve">35.</w:t>
      </w:r>
      <w:r>
        <w:t xml:space="preserve"> </w:t>
      </w:r>
      <w:r>
        <w:t xml:space="preserve">	</w:t>
      </w:r>
      <w:r>
        <w:t xml:space="preserve">Xie, Y., Wang, X., Wilson, A. M. &amp; Silander, J. A. Predicting autumn phenology: How 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71"/>
    <w:bookmarkStart w:id="72" w:name="ref-cuny_woody_2015"/>
    <w:p>
      <w:pPr>
        <w:pStyle w:val="Bibliography"/>
      </w:pPr>
      <w:r>
        <w:t xml:space="preserve">36.</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72"/>
    <w:bookmarkStart w:id="73" w:name="ref-tardif_influence_2006"/>
    <w:p>
      <w:pPr>
        <w:pStyle w:val="Bibliography"/>
      </w:pPr>
      <w:r>
        <w:t xml:space="preserve">37.</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73"/>
    <w:bookmarkStart w:id="74" w:name="ref-roibu_climatic_2020"/>
    <w:p>
      <w:pPr>
        <w:pStyle w:val="Bibliography"/>
      </w:pPr>
      <w:r>
        <w:t xml:space="preserve">38.</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74"/>
    <w:bookmarkStart w:id="75" w:name="ref-kern_multiple_2013"/>
    <w:p>
      <w:pPr>
        <w:pStyle w:val="Bibliography"/>
      </w:pPr>
      <w:r>
        <w:t xml:space="preserve">39.</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75"/>
    <w:bookmarkStart w:id="76" w:name="ref-trumbore_quantifying_2002"/>
    <w:p>
      <w:pPr>
        <w:pStyle w:val="Bibliography"/>
      </w:pPr>
      <w:r>
        <w:t xml:space="preserve">40.</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76"/>
    <w:bookmarkStart w:id="77" w:name="ref-richardson_seasonal_2013"/>
    <w:p>
      <w:pPr>
        <w:pStyle w:val="Bibliography"/>
      </w:pPr>
      <w:r>
        <w:t xml:space="preserve">41.</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77"/>
    <w:bookmarkStart w:id="78" w:name="ref-oishi_warmer_2018"/>
    <w:p>
      <w:pPr>
        <w:pStyle w:val="Bibliography"/>
      </w:pPr>
      <w:r>
        <w:t xml:space="preserve">42.</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8"/>
    <w:bookmarkStart w:id="79" w:name="ref-kannenberg_linking_2019"/>
    <w:p>
      <w:pPr>
        <w:pStyle w:val="Bibliography"/>
      </w:pPr>
      <w:r>
        <w:t xml:space="preserve">43.</w:t>
      </w:r>
      <w:r>
        <w:t xml:space="preserve"> </w:t>
      </w:r>
      <w:r>
        <w:t xml:space="preserve">	</w:t>
      </w:r>
      <w:r>
        <w:t xml:space="preserve">Kannenberg, S. A.</w:t>
      </w:r>
      <w:r>
        <w:t xml:space="preserve"> </w:t>
      </w:r>
      <w:r>
        <w:rPr>
          <w:iCs/>
          <w:i/>
        </w:rPr>
        <w:t xml:space="preserve">et al.</w:t>
      </w:r>
      <w:r>
        <w:t xml:space="preserve"> Linking drought legacy effects across scales: From leaves to tree rings to ecosystems.</w:t>
      </w:r>
      <w:r>
        <w:t xml:space="preserve"> </w:t>
      </w:r>
      <w:r>
        <w:rPr>
          <w:iCs/>
          <w:i/>
        </w:rPr>
        <w:t xml:space="preserve">Global Change Biology</w:t>
      </w:r>
      <w:r>
        <w:t xml:space="preserve"> </w:t>
      </w:r>
      <w:r>
        <w:rPr>
          <w:bCs/>
          <w:b/>
        </w:rPr>
        <w:t xml:space="preserve">25</w:t>
      </w:r>
      <w:r>
        <w:t xml:space="preserve">, 2978–2992 (2019).</w:t>
      </w:r>
    </w:p>
    <w:bookmarkEnd w:id="79"/>
    <w:bookmarkStart w:id="80" w:name="ref-gessler_way_2020"/>
    <w:p>
      <w:pPr>
        <w:pStyle w:val="Bibliography"/>
      </w:pPr>
      <w:r>
        <w:t xml:space="preserve">44.</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80"/>
    <w:bookmarkStart w:id="81" w:name="ref-fisichelli_temperate_2014"/>
    <w:p>
      <w:pPr>
        <w:pStyle w:val="Bibliography"/>
      </w:pPr>
      <w:r>
        <w:t xml:space="preserve">45.</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81"/>
    <w:bookmarkStart w:id="82" w:name="ref-anderson-teixeira_joint_2021"/>
    <w:p>
      <w:pPr>
        <w:pStyle w:val="Bibliography"/>
      </w:pPr>
      <w:r>
        <w:t xml:space="preserve">46.</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2"/>
    <w:bookmarkStart w:id="84" w:name="ref-banburymorgan_global_2021"/>
    <w:p>
      <w:pPr>
        <w:pStyle w:val="Bibliography"/>
      </w:pPr>
      <w:r>
        <w:t xml:space="preserve">47.</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3">
        <w:r>
          <w:rPr>
            <w:rStyle w:val="Hyperlink"/>
          </w:rPr>
          <w:t xml:space="preserve">10.1111/gcb.15574</w:t>
        </w:r>
      </w:hyperlink>
      <w:r>
        <w:t xml:space="preserve">.</w:t>
      </w:r>
    </w:p>
    <w:bookmarkEnd w:id="84"/>
    <w:bookmarkStart w:id="85" w:name="ref-churkina_spatial_2005"/>
    <w:p>
      <w:pPr>
        <w:pStyle w:val="Bibliography"/>
      </w:pPr>
      <w:r>
        <w:t xml:space="preserve">48.</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85"/>
    <w:bookmarkStart w:id="86" w:name="ref-bourg_initial_2013"/>
    <w:p>
      <w:pPr>
        <w:pStyle w:val="Bibliography"/>
      </w:pPr>
      <w:r>
        <w:t xml:space="preserve">49.</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w:t>
      </w:r>
      <w:r>
        <w:t xml:space="preserve"> </w:t>
      </w:r>
      <w:r>
        <w:rPr>
          <w:iCs/>
          <w:i/>
        </w:rPr>
        <w:t xml:space="preserve">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6"/>
    <w:bookmarkStart w:id="87" w:name="ref-anderson-teixeira_ctfsforestgeo_2015"/>
    <w:p>
      <w:pPr>
        <w:pStyle w:val="Bibliography"/>
      </w:pPr>
      <w:r>
        <w:t xml:space="preserve">50.</w:t>
      </w:r>
      <w:r>
        <w:t xml:space="preserve"> </w:t>
      </w:r>
      <w:r>
        <w:t xml:space="preserve">	</w:t>
      </w:r>
      <w:r>
        <w:t xml:space="preserve">Anderson-Teixeira, K. J.</w:t>
      </w:r>
      <w:r>
        <w:t xml:space="preserve"> </w:t>
      </w:r>
      <w:r>
        <w:rPr>
          <w:iCs/>
          <w:i/>
        </w:rPr>
        <w:t xml:space="preserve">et al.</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87"/>
    <w:bookmarkStart w:id="88" w:name="ref-davies_forestgeo_2021"/>
    <w:p>
      <w:pPr>
        <w:pStyle w:val="Bibliography"/>
      </w:pPr>
      <w:r>
        <w:t xml:space="preserve">51.</w:t>
      </w:r>
      <w:r>
        <w:t xml:space="preserve"> </w:t>
      </w:r>
      <w:r>
        <w:t xml:space="preserve">	</w:t>
      </w:r>
      <w:r>
        <w:t xml:space="preserve">Davies, S. J.</w:t>
      </w:r>
      <w:r>
        <w:t xml:space="preserve"> </w:t>
      </w:r>
      <w:r>
        <w:rPr>
          <w:iCs/>
          <w:i/>
        </w:rPr>
        <w:t xml:space="preserve">et al.</w:t>
      </w:r>
      <w:r>
        <w:t xml:space="preserve"> </w:t>
      </w:r>
      <w:r>
        <w:t xml:space="preserve">ForestGEO</w:t>
      </w:r>
      <w:r>
        <w:t xml:space="preserve">: Understanding 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88"/>
    <w:bookmarkStart w:id="90" w:name="ref-friedl_mcd12q2_2019"/>
    <w:p>
      <w:pPr>
        <w:pStyle w:val="Bibliography"/>
      </w:pPr>
      <w:r>
        <w:t xml:space="preserve">52.</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9">
        <w:r>
          <w:rPr>
            <w:rStyle w:val="Hyperlink"/>
          </w:rPr>
          <w:t xml:space="preserve">10.5067/MODIS/MCD12Q2.006</w:t>
        </w:r>
      </w:hyperlink>
      <w:r>
        <w:t xml:space="preserve">.</w:t>
      </w:r>
    </w:p>
    <w:bookmarkEnd w:id="90"/>
    <w:bookmarkStart w:id="92" w:name="ref-anderson-teixeira_forestgeo_2020"/>
    <w:p>
      <w:pPr>
        <w:pStyle w:val="Bibliography"/>
      </w:pPr>
      <w:r>
        <w:t xml:space="preserve">53.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 Initial release. (2020) doi:</w:t>
      </w:r>
      <w:hyperlink r:id="rId91">
        <w:r>
          <w:rPr>
            <w:rStyle w:val="Hyperlink"/>
          </w:rPr>
          <w:t xml:space="preserve">10.5281/ZENODO.4041609</w:t>
        </w:r>
      </w:hyperlink>
      <w:r>
        <w:t xml:space="preserve">.</w:t>
      </w:r>
    </w:p>
    <w:bookmarkEnd w:id="92"/>
    <w:bookmarkStart w:id="93" w:name="ref-benestad_empiricalstatistical_2008"/>
    <w:p>
      <w:pPr>
        <w:pStyle w:val="Bibliography"/>
      </w:pPr>
      <w:r>
        <w:t xml:space="preserve">54.</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93"/>
    <w:bookmarkStart w:id="95" w:name="ref-boose_shaler_2021"/>
    <w:p>
      <w:pPr>
        <w:pStyle w:val="Bibliography"/>
      </w:pPr>
      <w:r>
        <w:t xml:space="preserve">55.</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94">
        <w:r>
          <w:rPr>
            <w:rStyle w:val="Hyperlink"/>
          </w:rPr>
          <w:t xml:space="preserve">10.6073/PASTA/213335F5DAA17222A738C105B9FA60C4</w:t>
        </w:r>
      </w:hyperlink>
      <w:r>
        <w:t xml:space="preserve">.</w:t>
      </w:r>
    </w:p>
    <w:bookmarkEnd w:id="95"/>
    <w:bookmarkStart w:id="97" w:name="ref-boose_fisher_2021"/>
    <w:p>
      <w:pPr>
        <w:pStyle w:val="Bibliography"/>
      </w:pPr>
      <w:r>
        <w:t xml:space="preserve">56.</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96">
        <w:r>
          <w:rPr>
            <w:rStyle w:val="Hyperlink"/>
          </w:rPr>
          <w:t xml:space="preserve">10.6073/PASTA/69E92642B512897032446CFE795CFFB8</w:t>
        </w:r>
      </w:hyperlink>
      <w:r>
        <w:t xml:space="preserve">.</w:t>
      </w:r>
    </w:p>
    <w:bookmarkEnd w:id="97"/>
    <w:bookmarkStart w:id="98" w:name="ref-vandepol_identifying_2016"/>
    <w:p>
      <w:pPr>
        <w:pStyle w:val="Bibliography"/>
      </w:pPr>
      <w:r>
        <w:t xml:space="preserve">57.</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98"/>
    <w:bookmarkStart w:id="99" w:name="ref-gabry_rstanarm_2020"/>
    <w:p>
      <w:pPr>
        <w:pStyle w:val="Bibliography"/>
      </w:pPr>
      <w:r>
        <w:t xml:space="preserve">58.</w:t>
      </w:r>
      <w:r>
        <w:t xml:space="preserve"> </w:t>
      </w:r>
      <w:r>
        <w:t xml:space="preserve">	</w:t>
      </w:r>
      <w:r>
        <w:t xml:space="preserve">Gabry, J.</w:t>
      </w:r>
      <w:r>
        <w:t xml:space="preserve"> </w:t>
      </w:r>
      <w:r>
        <w:rPr>
          <w:iCs/>
          <w:i/>
        </w:rPr>
        <w:t xml:space="preserve">et al.</w:t>
      </w:r>
      <w:r>
        <w:t xml:space="preserve"> Rstanarm: Bayesian</w:t>
      </w:r>
      <w:r>
        <w:t xml:space="preserve"> </w:t>
      </w:r>
      <w:r>
        <w:t xml:space="preserve">Applied Regression Modeling</w:t>
      </w:r>
      <w:r>
        <w:t xml:space="preserve"> </w:t>
      </w:r>
      <w:r>
        <w:t xml:space="preserve">via</w:t>
      </w:r>
      <w:r>
        <w:t xml:space="preserve"> </w:t>
      </w:r>
      <w:r>
        <w:t xml:space="preserve">Stan</w:t>
      </w:r>
      <w:r>
        <w:t xml:space="preserve">. (2020).</w:t>
      </w:r>
    </w:p>
    <w:bookmarkEnd w:id="99"/>
    <w:bookmarkStart w:id="100" w:name="ref-stan_development_team_stan_2019"/>
    <w:p>
      <w:pPr>
        <w:pStyle w:val="Bibliography"/>
      </w:pPr>
      <w:r>
        <w:t xml:space="preserve">59.</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00"/>
    <w:bookmarkStart w:id="101" w:name="ref-begueria_standardized_2014"/>
    <w:p>
      <w:pPr>
        <w:pStyle w:val="Bibliography"/>
      </w:pPr>
      <w:r>
        <w:t xml:space="preserve">60.</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01"/>
    <w:bookmarkStart w:id="102" w:name="ref-vicente-serrano_multiscalar_2010a"/>
    <w:p>
      <w:pPr>
        <w:pStyle w:val="Bibliography"/>
      </w:pPr>
      <w:r>
        <w:t xml:space="preserve">61.</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02"/>
    <w:bookmarkStart w:id="103" w:name="ref-stokes_introduction_1968"/>
    <w:p>
      <w:pPr>
        <w:pStyle w:val="Bibliography"/>
      </w:pPr>
      <w:r>
        <w:t xml:space="preserve">62.</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 (</w:t>
      </w:r>
      <w:r>
        <w:t xml:space="preserve">University of Arizona Press</w:t>
      </w:r>
      <w:r>
        <w:t xml:space="preserve">, 1968).</w:t>
      </w:r>
    </w:p>
    <w:bookmarkEnd w:id="103"/>
    <w:bookmarkStart w:id="104" w:name="ref-alexander_potential_2019"/>
    <w:p>
      <w:pPr>
        <w:pStyle w:val="Bibliography"/>
      </w:pPr>
      <w:r>
        <w:t xml:space="preserve">63.</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04"/>
    <w:bookmarkStart w:id="105" w:name="ref-dye_comparing_2016"/>
    <w:p>
      <w:pPr>
        <w:pStyle w:val="Bibliography"/>
      </w:pPr>
      <w:r>
        <w:t xml:space="preserve">64.</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05"/>
    <w:bookmarkStart w:id="106" w:name="ref-maxwell_sampling_2020"/>
    <w:p>
      <w:pPr>
        <w:pStyle w:val="Bibliography"/>
      </w:pPr>
      <w:r>
        <w:t xml:space="preserve">65.</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06"/>
    <w:bookmarkStart w:id="108" w:name="ref-cook_methods_1990"/>
    <w:p>
      <w:pPr>
        <w:pStyle w:val="Bibliography"/>
      </w:pPr>
      <w:r>
        <w:t xml:space="preserve">66.</w:t>
      </w:r>
      <w:r>
        <w:t xml:space="preserve"> </w:t>
      </w:r>
      <w:r>
        <w:t xml:space="preserve">	</w:t>
      </w:r>
      <w:r>
        <w:rPr>
          <w:iCs/>
          <w:i/>
        </w:rPr>
        <w:t xml:space="preserve">Methods of</w:t>
      </w:r>
      <w:r>
        <w:rPr>
          <w:iCs/>
          <w:i/>
        </w:rPr>
        <w:t xml:space="preserve"> </w:t>
      </w:r>
      <w:r>
        <w:rPr>
          <w:iCs/>
          <w:i/>
        </w:rPr>
        <w:t xml:space="preserve">Dendrochronology</w:t>
      </w:r>
      <w:r>
        <w:rPr>
          <w:iCs/>
          <w:i/>
        </w:rPr>
        <w:t xml:space="preserve">: Applications in the</w:t>
      </w:r>
      <w:r>
        <w:rPr>
          <w:iCs/>
          <w:i/>
        </w:rPr>
        <w:t xml:space="preserve"> </w:t>
      </w:r>
      <w:r>
        <w:rPr>
          <w:iCs/>
          <w:i/>
        </w:rPr>
        <w:t xml:space="preserve">Environmental Sciences</w:t>
      </w:r>
      <w:r>
        <w:t xml:space="preserve">. (</w:t>
      </w:r>
      <w:r>
        <w:t xml:space="preserve">Springer Netherlands</w:t>
      </w:r>
      <w:r>
        <w:t xml:space="preserve">, 1990). doi:</w:t>
      </w:r>
      <w:hyperlink r:id="rId107">
        <w:r>
          <w:rPr>
            <w:rStyle w:val="Hyperlink"/>
          </w:rPr>
          <w:t xml:space="preserve">10.1007/978-94-015-7879-0</w:t>
        </w:r>
      </w:hyperlink>
      <w:r>
        <w:t xml:space="preserve">.</w:t>
      </w:r>
    </w:p>
    <w:bookmarkEnd w:id="108"/>
    <w:bookmarkStart w:id="109" w:name="ref-cook_time_1985"/>
    <w:p>
      <w:pPr>
        <w:pStyle w:val="Bibliography"/>
      </w:pPr>
      <w:r>
        <w:t xml:space="preserve">67.</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09"/>
    <w:bookmarkStart w:id="110" w:name="ref-cook_calculating_1997"/>
    <w:p>
      <w:pPr>
        <w:pStyle w:val="Bibliography"/>
      </w:pPr>
      <w:r>
        <w:t xml:space="preserve">68.</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10"/>
    <w:bookmarkStart w:id="111" w:name="ref-jones_estimating_1997"/>
    <w:p>
      <w:pPr>
        <w:pStyle w:val="Bibliography"/>
      </w:pPr>
      <w:r>
        <w:t xml:space="preserve">69.</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11"/>
    <w:bookmarkStart w:id="112" w:name="ref-harris_version_2020"/>
    <w:p>
      <w:pPr>
        <w:pStyle w:val="Bibliography"/>
      </w:pPr>
      <w:r>
        <w:t xml:space="preserve">70.</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12"/>
    <w:bookmarkStart w:id="113" w:name="ref-bunn_dendrochronology_2008"/>
    <w:p>
      <w:pPr>
        <w:pStyle w:val="Bibliography"/>
      </w:pPr>
      <w:r>
        <w:t xml:space="preserve">71.</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13"/>
    <w:bookmarkStart w:id="114" w:name="ref-zang_dendroclimatic_2013"/>
    <w:p>
      <w:pPr>
        <w:pStyle w:val="Bibliography"/>
      </w:pPr>
      <w:r>
        <w:t xml:space="preserve">72.</w:t>
      </w:r>
      <w:r>
        <w:t xml:space="preserve"> </w:t>
      </w:r>
      <w:r>
        <w:t xml:space="preserve">	</w:t>
      </w:r>
      <w:r>
        <w:t xml:space="preserve">Zang, C. &amp; Biondi, F. Dendroclimatic calibration in</w:t>
      </w:r>
      <w:r>
        <w:t xml:space="preserve"> </w:t>
      </w:r>
      <w:r>
        <w:t xml:space="preserve">R</w:t>
      </w:r>
      <w:r>
        <w:t xml:space="preserve">: The</w:t>
      </w:r>
      <w:r>
        <w:t xml:space="preserve"> </w:t>
      </w:r>
      <w:r>
        <w:t xml:space="preserve">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14"/>
    <w:bookmarkStart w:id="115" w:name="ref-biondi_dendroclim2002_2004"/>
    <w:p>
      <w:pPr>
        <w:pStyle w:val="Bibliography"/>
      </w:pPr>
      <w:r>
        <w:t xml:space="preserve">73.</w:t>
      </w:r>
      <w:r>
        <w:t xml:space="preserve"> </w:t>
      </w:r>
      <w:r>
        <w:t xml:space="preserve">	</w:t>
      </w:r>
      <w:r>
        <w:t xml:space="preserve">Biondi, F. &amp; Waikul, K.</w:t>
      </w:r>
      <w:r>
        <w:t xml:space="preserve"> </w:t>
      </w:r>
      <w:r>
        <w:t xml:space="preserve">DENDROCLIM2002</w:t>
      </w:r>
      <w:r>
        <w:t xml:space="preserve"> </w:t>
      </w:r>
      <w:r>
        <w:t xml:space="preserve">: A</w:t>
      </w:r>
      <w:r>
        <w:t xml:space="preserve"> </w:t>
      </w:r>
      <w:r>
        <w:t xml:space="preserve">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15"/>
    <w:bookmarkEnd w:id="116"/>
    <w:bookmarkEnd w:id="117"/>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107" Target="https://doi.org/10.1007/978-94-015-7879-0" TargetMode="External" /><Relationship Type="http://schemas.openxmlformats.org/officeDocument/2006/relationships/hyperlink" Id="rId40" Target="https://doi.org/10.1073/pnas.2002713117" TargetMode="External" /><Relationship Type="http://schemas.openxmlformats.org/officeDocument/2006/relationships/hyperlink" Id="rId60" Target="https://doi.org/10.1093/treephys/tpab101" TargetMode="External" /><Relationship Type="http://schemas.openxmlformats.org/officeDocument/2006/relationships/hyperlink" Id="rId83" Target="https://doi.org/10.1111/gcb.15574" TargetMode="External" /><Relationship Type="http://schemas.openxmlformats.org/officeDocument/2006/relationships/hyperlink" Id="rId89" Target="https://doi.org/10.5067/MODIS/MCD12Q2.006" TargetMode="External" /><Relationship Type="http://schemas.openxmlformats.org/officeDocument/2006/relationships/hyperlink" Id="rId91" Target="https://doi.org/10.5281/ZENODO.4041609" TargetMode="External" /><Relationship Type="http://schemas.openxmlformats.org/officeDocument/2006/relationships/hyperlink" Id="rId94" Target="https://doi.org/10.6073/PASTA/213335F5DAA17222A738C105B9FA60C4" TargetMode="External" /><Relationship Type="http://schemas.openxmlformats.org/officeDocument/2006/relationships/hyperlink" Id="rId96"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107" Target="https://doi.org/10.1007/978-94-015-7879-0" TargetMode="External" /><Relationship Type="http://schemas.openxmlformats.org/officeDocument/2006/relationships/hyperlink" Id="rId40" Target="https://doi.org/10.1073/pnas.2002713117" TargetMode="External" /><Relationship Type="http://schemas.openxmlformats.org/officeDocument/2006/relationships/hyperlink" Id="rId60" Target="https://doi.org/10.1093/treephys/tpab101" TargetMode="External" /><Relationship Type="http://schemas.openxmlformats.org/officeDocument/2006/relationships/hyperlink" Id="rId83" Target="https://doi.org/10.1111/gcb.15574" TargetMode="External" /><Relationship Type="http://schemas.openxmlformats.org/officeDocument/2006/relationships/hyperlink" Id="rId89" Target="https://doi.org/10.5067/MODIS/MCD12Q2.006" TargetMode="External" /><Relationship Type="http://schemas.openxmlformats.org/officeDocument/2006/relationships/hyperlink" Id="rId91" Target="https://doi.org/10.5281/ZENODO.4041609" TargetMode="External" /><Relationship Type="http://schemas.openxmlformats.org/officeDocument/2006/relationships/hyperlink" Id="rId94" Target="https://doi.org/10.6073/PASTA/213335F5DAA17222A738C105B9FA60C4" TargetMode="External" /><Relationship Type="http://schemas.openxmlformats.org/officeDocument/2006/relationships/hyperlink" Id="rId96"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2021-11-18T17:18:21Z</dcterms:created>
  <dcterms:modified xsi:type="dcterms:W3CDTF">2021-11-18T17:18:21Z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