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w:t>
      </w:r>
      <w:r>
        <w:rPr>
          <w:vertAlign w:val="superscript"/>
          <w:bCs/>
          <w:b/>
        </w:rPr>
        <w:t xml:space="preserve">15,16</w:t>
      </w:r>
      <w:r>
        <w:rPr>
          <w:bCs/>
          <w:b/>
        </w:rPr>
        <w:t xml:space="preserve">, which sequesters carbon (C) in wood that has a long residence time in the ecosystem</w:t>
      </w:r>
      <w:r>
        <w:rPr>
          <w:vertAlign w:val="superscript"/>
          <w:bCs/>
          <w:b/>
        </w:rPr>
        <w:t xml:space="preserve">17,18</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2,3,19,20</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21</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Of this important C sink, ~47%</w:t>
      </w:r>
      <w:r>
        <w:t xml:space="preserve"> </w:t>
      </w:r>
      <w:r>
        <w:t xml:space="preserve">occurs in temperate forests</w:t>
      </w:r>
      <w:r>
        <w:rPr>
          <w:vertAlign w:val="superscript"/>
        </w:rPr>
        <w:t xml:space="preserve">21</w:t>
      </w:r>
      <w:r>
        <w:t xml:space="preserve">, with temperate deciduous forests sequestering &gt;0.3 Gt C yr</w:t>
      </w:r>
      <w:r>
        <w:rPr>
          <w:vertAlign w:val="superscript"/>
        </w:rPr>
        <w:t xml:space="preserve">-1</w:t>
      </w:r>
      <w:r>
        <w:t xml:space="preserve">.</w:t>
      </w:r>
      <w:r>
        <w:rPr>
          <w:vertAlign w:val="superscript"/>
        </w:rPr>
        <w:t xml:space="preserve">22</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23–25</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1,7–9,26</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2,26</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w:t>
      </w:r>
      <w:r>
        <w:t xml:space="preserve"> </w:t>
      </w:r>
      <w:r>
        <w:rPr>
          <w:iCs/>
          <w:i/>
        </w:rPr>
        <w:t xml:space="preserve">NEE</w:t>
      </w:r>
      <w:r>
        <w:t xml:space="preserve">)</w:t>
      </w:r>
      <w:r>
        <w:rPr>
          <w:vertAlign w:val="superscript"/>
        </w:rPr>
        <w:t xml:space="preserve">2,3,19,20</w:t>
      </w:r>
      <w:r>
        <w:t xml:space="preserve">, as occurs when additional C is allocated to woody growth and therefore resides in the ecosystem for decades to centuries</w:t>
      </w:r>
      <w:r>
        <w:rPr>
          <w:vertAlign w:val="superscript"/>
        </w:rPr>
        <w:t xml:space="preserve">17,18</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16,25,27</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16,25</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15,16</w:t>
      </w:r>
      <w:r>
        <w:t xml:space="preserve">.</w:t>
      </w:r>
      <w:r>
        <w:t xml:space="preserve"> </w:t>
      </w: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28–30</w:t>
      </w:r>
      <w:r>
        <w:t xml:space="preserve"> </w:t>
      </w:r>
      <w:r>
        <w:t xml:space="preserve">and increased annual growth in mesic climates</w:t>
      </w:r>
      <w:r>
        <w:rPr>
          <w:vertAlign w:val="superscript"/>
        </w:rPr>
        <w:t xml:space="preserve">31–33</w:t>
      </w:r>
      <w:r>
        <w:t xml:space="preserve">.</w:t>
      </w:r>
      <w:r>
        <w:t xml:space="preserve"> </w:t>
      </w:r>
      <w:r>
        <w:t xml:space="preserve">In contrast, little is known about broadleaf deciduous tree responses</w:t>
      </w:r>
      <w:r>
        <w:rPr>
          <w:vertAlign w:val="superscript"/>
        </w:rPr>
        <w:t xml:space="preserve">15,16</w:t>
      </w:r>
      <w:r>
        <w:t xml:space="preserve">.</w:t>
      </w:r>
      <w:r>
        <w:t xml:space="preserve"> </w:t>
      </w:r>
      <w:r>
        <w:t xml:space="preserve">Close coordination of budburst and initiation of xylogenesis</w:t>
      </w:r>
      <w:r>
        <w:rPr>
          <w:vertAlign w:val="superscript"/>
        </w:rPr>
        <w:t xml:space="preserve">16</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34,35</w:t>
      </w:r>
      <w:r>
        <w:t xml:space="preserve">, and annual growth is more closely linked to conditions within the growing season than to growing season length</w:t>
      </w:r>
      <w:r>
        <w:rPr>
          <w:vertAlign w:val="superscript"/>
        </w:rPr>
        <w:t xml:space="preserve">36</w:t>
      </w:r>
      <w:r>
        <w:t xml:space="preserve">, gross primary productivity</w:t>
      </w:r>
      <w:r>
        <w:rPr>
          <w:vertAlign w:val="superscript"/>
        </w:rPr>
        <w:t xml:space="preserve">27</w:t>
      </w:r>
      <w:r>
        <w:t xml:space="preserve">, or</w:t>
      </w:r>
      <w:r>
        <w:t xml:space="preserve"> </w:t>
      </w:r>
      <w:r>
        <w:rPr>
          <w:iCs/>
          <w:i/>
        </w:rPr>
        <w:t xml:space="preserve">NEE</w:t>
      </w:r>
      <w:r>
        <w:rPr>
          <w:vertAlign w:val="superscript"/>
        </w:rPr>
        <w:t xml:space="preserve">27</w:t>
      </w:r>
      <w:r>
        <w:t xml:space="preserve">.</w:t>
      </w:r>
      <w:r>
        <w:t xml:space="preserve"> </w:t>
      </w:r>
      <w:r>
        <w:t xml:space="preserve">Furthermore, growth of broadleaf deciduous trees may be sink-saturated</w:t>
      </w:r>
      <w:r>
        <w:rPr>
          <w:vertAlign w:val="superscript"/>
        </w:rPr>
        <w:t xml:space="preserve">25</w:t>
      </w:r>
      <w:r>
        <w:t xml:space="preserve">, such that longer growing seasons with more C fixation do not necessarily augment growth</w:t>
      </w:r>
      <w:r>
        <w:rPr>
          <w:vertAlign w:val="superscript"/>
        </w:rPr>
        <w:t xml:space="preserve">19,27,37</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38,39</w:t>
      </w:r>
      <w:r>
        <w:t xml:space="preserve">, with some evidence that warmer springs may have a modest, but usually insignificant, positive effect on growth</w:t>
      </w:r>
      <w:r>
        <w:rPr>
          <w:vertAlign w:val="superscript"/>
        </w:rPr>
        <w:t xml:space="preserve">33,39</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2,26</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40</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(67 trees at SCBI and 138 trees at Harvard Forest) and diffuse porous (52 trees at SCBI and 183 trees at Harvard Forest) species, which differ in the seasonal timing of growth</w:t>
      </w:r>
      <w:r>
        <w:rPr>
          <w:vertAlign w:val="superscript"/>
        </w:rPr>
        <w:t xml:space="preserve">35,41</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Seasonal milestones for both canopy foliage phenology and stem growth occurred 3-16 days earlier at SCBI than at Harvard Forest (Fig. 2, Extended Data Table 2).</w:t>
      </w:r>
      <w:r>
        <w:t xml:space="preserve"> </w:t>
      </w:r>
      <w:r>
        <w:t xml:space="preserve">Consistent with the results of Ref</w:t>
      </w:r>
      <w:r>
        <w:rPr>
          <w:vertAlign w:val="superscript"/>
        </w:rPr>
        <w:t xml:space="preserve">41</w:t>
      </w:r>
      <w:r>
        <w:t xml:space="preserve">, ring porous species began growing earlier, reaching the</w:t>
      </w:r>
      <w:r>
        <w:t xml:space="preserve"> </w:t>
      </w:r>
      <m:oMath>
        <m:r>
          <m:t>D</m:t>
        </m:r>
        <m:r>
          <m:t>O</m:t>
        </m:r>
        <m:sSub>
          <m:e>
            <m:r>
              <m:t>Y</m:t>
            </m:r>
          </m:e>
          <m:sub>
            <m:r>
              <m:t>25</m:t>
            </m:r>
          </m:sub>
        </m:sSub>
      </m:oMath>
      <w:r>
        <w:t xml:space="preserve"> </w:t>
      </w:r>
      <w:r>
        <w:t xml:space="preserve">benchmark earlier (by 27 days at SCBI and 22 at Harvard Forest), and their growth was spread over a longer growing season (average</w:t>
      </w:r>
      <w:r>
        <w:t xml:space="preserve"> </w:t>
      </w:r>
      <m:oMath>
        <m:sSub>
          <m:e>
            <m:r>
              <m:t>L</m:t>
            </m:r>
          </m:e>
          <m:sub>
            <m:r>
              <m:t>P</m:t>
            </m:r>
            <m:r>
              <m:t>G</m:t>
            </m:r>
            <m:r>
              <m:t>S</m:t>
            </m:r>
          </m:sub>
        </m:sSub>
      </m:oMath>
      <w:r>
        <w:t xml:space="preserve"> </w:t>
      </w:r>
      <w:r>
        <w:t xml:space="preserve">22 and 17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six days longer at SCBI for ring porous species and less than one day longer for diffuse porous species (Extended Data Table 2).</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temperature was calculated for each xylem architecture/site combination over the respective critical T_{max} window, then turned into a ratio and assigned a color on a gradient where the coldest year in the sample is blue and the warmest is red. Leaf phenology years are colored according to temperature in the critical T_{max} window which had the best correlation with timing of greenup (ring porous window at HF and diffuse porous at SCBI)."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temperature was calculated for each xylem architecture/site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 Leaf phenology years are colored according to temperature in the critical</w:t>
      </w:r>
      <w:r>
        <w:t xml:space="preserve"> </w:t>
      </w:r>
      <m:oMath>
        <m:sSub>
          <m:e>
            <m:r>
              <m:t>T</m:t>
            </m:r>
          </m:e>
          <m:sub>
            <m:r>
              <m:t>m</m:t>
            </m:r>
            <m:r>
              <m:t>a</m:t>
            </m:r>
            <m:r>
              <m:t>x</m:t>
            </m:r>
          </m:sub>
        </m:sSub>
      </m:oMath>
      <w:r>
        <w:t xml:space="preserve"> </w:t>
      </w:r>
      <w:r>
        <w:t xml:space="preserve">window which had the best correlation with timing of greenup (ring porous window at HF and diffuse porous at SCBI).</w:t>
      </w:r>
    </w:p>
    <w:p>
      <w:pPr>
        <w:pStyle w:val="BodyText"/>
      </w:pPr>
      <w:r>
        <w:t xml:space="preserve">Both MODIS-derived canopy foliage phenology and dendrometer band measurements of stem growth timing generally shifted backwards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seasonal milestones.</w:t>
      </w:r>
      <w:r>
        <w:t xml:space="preserve"> </w:t>
      </w:r>
      <w:r>
        <w:t xml:space="preserve">Consistent with findings from previous studies</w:t>
      </w:r>
      <w:r>
        <w:rPr>
          <w:vertAlign w:val="superscript"/>
        </w:rPr>
        <w:t xml:space="preserve">9,42,43</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mean</w:t>
      </w:r>
      <w:r>
        <w:t xml:space="preserve"> </w:t>
      </w:r>
      <m:oMath>
        <m:sSub>
          <m:e>
            <m:r>
              <m:t>T</m:t>
            </m:r>
          </m:e>
          <m:sub>
            <m:r>
              <m:t>m</m:t>
            </m:r>
            <m:r>
              <m:t>a</m:t>
            </m:r>
            <m:r>
              <m:t>x</m:t>
            </m:r>
          </m:sub>
        </m:sSub>
      </m:oMath>
      <w:r>
        <w:t xml:space="preserve"> </w:t>
      </w:r>
      <w:r>
        <w:t xml:space="preserve">during the critical temperature window (Figs.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(HF) or changes in opposite directions (SCBI) in relationship to mean</w:t>
      </w:r>
      <w:r>
        <w:t xml:space="preserve"> </w:t>
      </w:r>
      <m:oMath>
        <m:sSub>
          <m:e>
            <m:r>
              <m:t>T</m:t>
            </m:r>
          </m:e>
          <m:sub>
            <m:r>
              <m:t>m</m:t>
            </m:r>
            <m:r>
              <m:t>a</m:t>
            </m:r>
            <m:r>
              <m:t>x</m:t>
            </m:r>
          </m:sub>
        </m:sSub>
      </m:oMath>
      <w:r>
        <w:t xml:space="preserve"> </w:t>
      </w:r>
      <w:r>
        <w:t xml:space="preserve">during the critical temperature window 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mean</w:t>
      </w:r>
      <w:r>
        <w:t xml:space="preserve"> </w:t>
      </w:r>
      <m:oMath>
        <m:sSub>
          <m:e>
            <m:r>
              <m:t>T</m:t>
            </m:r>
          </m:e>
          <m:sub>
            <m:r>
              <m:t>m</m:t>
            </m:r>
            <m:r>
              <m:t>a</m:t>
            </m:r>
            <m:r>
              <m:t>x</m:t>
            </m:r>
          </m:sub>
        </m:sSub>
      </m:oMath>
      <w:r>
        <w:t xml:space="preserve"> </w:t>
      </w:r>
      <w:r>
        <w:t xml:space="preserve">during the critical temperature window at SCBI and a weak negative relationship (-0.2-0.03mm/</w:t>
      </w:r>
      <w:r>
        <w:t xml:space="preserve"> </w:t>
      </w:r>
      <m:oMath>
        <m:sSup>
          <m:e>
            <m:r>
              <m:t>​</m:t>
            </m:r>
          </m:e>
          <m:sup>
            <m:r>
              <m:rPr>
                <m:sty m:val="p"/>
              </m:rPr>
              <m:t>∘</m:t>
            </m:r>
          </m:sup>
        </m:sSup>
      </m:oMath>
      <w:r>
        <w:t xml:space="preserve">C) at HF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39</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38</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1- 3).</w:t>
      </w:r>
      <w:r>
        <w:t xml:space="preserve"> </w:t>
      </w:r>
      <w:r>
        <w:t xml:space="preserve">The observed advance in stem growth under warmer springs parallels phenological advances observed for canopy foliage (Fig. 2a-b)</w:t>
      </w:r>
      <w:r>
        <w:rPr>
          <w:vertAlign w:val="superscript"/>
        </w:rPr>
        <w:t xml:space="preserve">2,4,5</w:t>
      </w:r>
      <w:r>
        <w:t xml:space="preserve"> </w:t>
      </w:r>
      <w:r>
        <w:t xml:space="preserve">and</w:t>
      </w:r>
      <w:r>
        <w:t xml:space="preserve"> </w:t>
      </w:r>
      <w:r>
        <w:rPr>
          <w:iCs/>
          <w:i/>
        </w:rPr>
        <w:t xml:space="preserve">NEE</w:t>
      </w:r>
      <w:r>
        <w:rPr>
          <w:vertAlign w:val="superscript"/>
        </w:rPr>
        <w:t xml:space="preserve">2,4</w:t>
      </w:r>
      <w:r>
        <w:t xml:space="preserve">.</w:t>
      </w:r>
      <w:r>
        <w:t xml:space="preserve"> </w:t>
      </w:r>
      <w:r>
        <w:rPr>
          <w:bCs/>
          <w:b/>
        </w:rPr>
        <w:t xml:space="preserve">However, inconsistent with the concept that an earlier start to growth would increase annual woody productivity, we demonstrate that warmer springs either hasten the deceleration of stem expansion or otherwise failed to translate extended growing seasons into biologically significant increases in stem growth, and thereby have negligible effect on total annual growth for most species and locations (Fig. 3).</w:t>
      </w:r>
      <w:r>
        <w:t xml:space="preserve"> </w:t>
      </w:r>
      <w:r>
        <w:t xml:space="preserve">We find statistically, but not biologically, significant relationships between total growth and spring temperature at both sites in our dendrometer band analysis (</w:t>
      </w:r>
      <w:r>
        <w:rPr>
          <w:rStyle w:val="VerbatimChar"/>
        </w:rPr>
        <w:t xml:space="preserve">schematic_summary</w:t>
      </w:r>
      <w:r>
        <w:t xml:space="preserve">).</w:t>
      </w:r>
      <w:r>
        <w:t xml:space="preserve"> </w:t>
      </w:r>
      <w:r>
        <w:t xml:space="preserve">However, the slope of the relationships are in opposite directions, with warming causing decreasing stem growth at Harvard Forest but increasing stem growth at SCBI (</w:t>
      </w:r>
      <w:r>
        <w:rPr>
          <w:rStyle w:val="VerbatimChar"/>
        </w:rPr>
        <w:t xml:space="preserve">EDT_phenology_parameters</w:t>
      </w:r>
      <w:r>
        <w:t xml:space="preserve">).</w:t>
      </w:r>
      <w:r>
        <w:t xml:space="preserve"> </w:t>
      </w:r>
      <w:r>
        <w:t xml:space="preserve">We believe this difference is due to severe drought conditions in 1999 which obviously caused abnormal growth patterns in that year (Extended Data Figure 4).</w:t>
      </w:r>
      <w:r>
        <w:t xml:space="preserve"> </w:t>
      </w:r>
      <w:r>
        <w:t xml:space="preserve">Therefore, we suggest that our two sites represent two scenarios: 1. A forest which had no significant summer drought, but was only influenced by warming temperatures (SCBI). 2. A forest which experienced spring warming along with severe summer drought (Harvard Forest).</w:t>
      </w:r>
    </w:p>
    <w:p>
      <w:pPr>
        <w:pStyle w:val="BodyText"/>
      </w:pPr>
      <w:r>
        <w:t xml:space="preserve">At SCBI, we see a very small increase in total stem growth (on average +0.05mm/</w:t>
      </w:r>
      <m:oMath>
        <m:sSup>
          <m:e>
            <m:r>
              <m:t>​</m:t>
            </m:r>
          </m:e>
          <m:sup>
            <m:r>
              <m:rPr>
                <m:sty m:val="p"/>
              </m:rPr>
              <m:t>∘</m:t>
            </m:r>
          </m:sup>
        </m:sSup>
      </m:oMath>
      <w:r>
        <w:t xml:space="preserve">C), suggesting that even in the absence of drought or inclement climate conditions during the growing season, spring warming does not enhance stem growth in a meaningful way.</w:t>
      </w:r>
      <w:r>
        <w:t xml:space="preserve"> </w:t>
      </w:r>
      <w:r>
        <w:t xml:space="preserve">At Harvard Forest, we see a decrease in total growth with warmer temperatures in the CTW (-0.15mm/</w:t>
      </w:r>
      <m:oMath>
        <m:sSup>
          <m:e>
            <m:r>
              <m:t>​</m:t>
            </m:r>
          </m:e>
          <m:sup>
            <m:r>
              <m:rPr>
                <m:sty m:val="p"/>
              </m:rPr>
              <m:t>∘</m:t>
            </m:r>
          </m:sup>
        </m:sSup>
      </m:oMath>
      <w:r>
        <w:t xml:space="preserve">C on average). We speculate that this result is likely a product of reductions in total stem growth related to drought effects in 1999.</w:t>
      </w:r>
      <w:r>
        <w:t xml:space="preserve"> </w:t>
      </w:r>
      <w:r>
        <w:t xml:space="preserve">Due to the method of selection for CTW, years with significant departures from the norm can influence the analysis to a greater extent.</w:t>
      </w:r>
      <w:r>
        <w:t xml:space="preserve"> </w:t>
      </w:r>
      <w:r>
        <w:t xml:space="preserve">Stem growth in 1999 was clearly impacted by climate conditions (Extended Data Figure 4), and so the CTW selected by climwin maximizes the effect of these impacts (most likely the effects of drought) on stem growth.</w:t>
      </w:r>
      <w:r>
        <w:t xml:space="preserve"> </w:t>
      </w:r>
      <w:r>
        <w:t xml:space="preserve">To examine this further, we reran our dendrometer band analysis using the month of May as the CTW.</w:t>
      </w:r>
      <w:r>
        <w:t xml:space="preserve"> </w:t>
      </w:r>
      <w:r>
        <w:t xml:space="preserve">When we change the CTW to the month of May, we see results much closer to those found at SCBI, with a similar advancement in growth timing but a much less pronounced effect of</w:t>
      </w:r>
      <w:r>
        <w:t xml:space="preserve"> </w:t>
      </w:r>
      <m:oMath>
        <m:sSub>
          <m:e>
            <m:r>
              <m:t>T</m:t>
            </m:r>
          </m:e>
          <m:sub>
            <m:r>
              <m:t>m</m:t>
            </m:r>
            <m:r>
              <m:t>a</m:t>
            </m:r>
            <m:r>
              <m:t>x</m:t>
            </m:r>
          </m:sub>
        </m:sSub>
      </m:oMath>
      <w:r>
        <w:t xml:space="preserve"> </w:t>
      </w:r>
      <w:r>
        <w:t xml:space="preserve">on total growth (-0.015mm/</w:t>
      </w:r>
      <m:oMath>
        <m:sSup>
          <m:e>
            <m:r>
              <m:t>​</m:t>
            </m:r>
          </m:e>
          <m:sup>
            <m:r>
              <m:rPr>
                <m:sty m:val="p"/>
              </m:rPr>
              <m:t>∘</m:t>
            </m:r>
          </m:sup>
        </m:sSup>
      </m:oMath>
      <w:r>
        <w:t xml:space="preserve">C on average, a tenfold decrease compared to the CTW optimized around the drought year;</w:t>
      </w:r>
      <w:r>
        <w:rPr>
          <w:rStyle w:val="VerbatimChar"/>
        </w:rPr>
        <w:t xml:space="preserve">EDF_pheno_Tmax_AprilMay</w:t>
      </w:r>
      <w:r>
        <w:t xml:space="preserve">).</w:t>
      </w:r>
      <w:r>
        <w:t xml:space="preserve"> </w:t>
      </w:r>
      <w:r>
        <w:t xml:space="preserve">Once again see that there was no meaningful influence of spring temperature on total growth.</w:t>
      </w:r>
      <w:r>
        <w:t xml:space="preserve"> </w:t>
      </w:r>
      <w:r>
        <w:t xml:space="preserve">In fact, the magnitude of the effect of the summer drought compared to the effects of spring</w:t>
      </w:r>
      <w:r>
        <w:t xml:space="preserve"> </w:t>
      </w:r>
      <m:oMath>
        <m:sSub>
          <m:e>
            <m:r>
              <m:t>T</m:t>
            </m:r>
          </m:e>
          <m:sub>
            <m:r>
              <m:t>m</m:t>
            </m:r>
            <m:r>
              <m:t>a</m:t>
            </m:r>
            <m:r>
              <m:t>x</m:t>
            </m:r>
          </m:sub>
        </m:sSub>
      </m:oMath>
      <w:r>
        <w:t xml:space="preserve"> </w:t>
      </w:r>
      <w:r>
        <w:t xml:space="preserve">illustrates the point that conditions during the peak growing season are much more influential to stem growth than conditions during the Spring.</w:t>
      </w:r>
      <w:r>
        <w:t xml:space="preserve"> </w:t>
      </w:r>
      <w:r>
        <w:rPr>
          <w:bCs/>
          <w:b/>
        </w:rPr>
        <w:t xml:space="preserve">We demonstrate that warmer springs either have little effect on, or even hasten, the deceleration of stem expansion and thereby have negligible effect on total annual stem growth for most species and locations (Fig. 3).</w:t>
      </w:r>
      <w:r>
        <w:t xml:space="preserve"> </w:t>
      </w:r>
      <w:r>
        <w:t xml:space="preserve"> </w:t>
      </w:r>
      <w:r>
        <w:t xml:space="preserve">Our observations suggest that the deceleration of stem expansion (starting around</w:t>
      </w:r>
      <w:r>
        <w:t xml:space="preserve"> </w:t>
      </w:r>
      <m:oMath>
        <m:r>
          <m:t>D</m:t>
        </m:r>
        <m:r>
          <m:t>O</m:t>
        </m:r>
        <m:sSub>
          <m:e>
            <m:r>
              <m:t>Y</m:t>
            </m:r>
          </m:e>
          <m:sub>
            <m:r>
              <m:t>50</m:t>
            </m:r>
          </m:sub>
        </m:sSub>
      </m:oMath>
      <w:r>
        <w:t xml:space="preserve">), which occurs mid-summer near the time of</w:t>
      </w:r>
      <w:r>
        <w:t xml:space="preserve"> </w:t>
      </w:r>
      <w:r>
        <w:t xml:space="preserve"> </w:t>
      </w:r>
      <w:r>
        <w:t xml:space="preserve">peak canopy greenness (Extended Data Figure 2)</w:t>
      </w:r>
      <w:r>
        <w:rPr>
          <w:vertAlign w:val="superscript"/>
        </w:rPr>
        <w:t xml:space="preserve">4,36</w:t>
      </w:r>
      <w:r>
        <w:t xml:space="preserve">, is likely driven by cues other than photosynthate limitation, such as water stress, daylength, or sink limitation</w:t>
      </w:r>
      <w:r>
        <w:rPr>
          <w:vertAlign w:val="superscript"/>
        </w:rPr>
        <w:t xml:space="preserve">16,19,27,34,36,44,45</w:t>
      </w:r>
      <w:r>
        <w:t xml:space="preserve">.</w:t>
      </w:r>
      <w:r>
        <w:t xml:space="preserve"> </w:t>
      </w:r>
      <w:r>
        <w:t xml:space="preserve"> </w:t>
      </w:r>
      <w:r>
        <w:t xml:space="preserve"> </w:t>
      </w:r>
      <w:r>
        <w:t xml:space="preserve">Our tree-ring analysis (Fig. 3) demonstrates that the primary effect of warming temperatures on annual ring-width is not an augmentation through an earlier start to growth, but rather a reduction associated to drought stress during the peak growing season</w:t>
      </w:r>
      <w:r>
        <w:rPr>
          <w:vertAlign w:val="superscript"/>
        </w:rPr>
        <w:t xml:space="preserve">36,38</w:t>
      </w:r>
      <w:r>
        <w:t xml:space="preserve">.</w:t>
      </w:r>
      <w:r>
        <w:t xml:space="preserve"> </w:t>
      </w:r>
      <w:r>
        <w:t xml:space="preserve">Warm springs may also amplify summer drought stress in some times and places, effectively canceling out any positive effects of an extended growing period</w:t>
      </w:r>
      <w:r>
        <w:rPr>
          <w:vertAlign w:val="superscript"/>
        </w:rPr>
        <w:t xml:space="preserve">3,46</w:t>
      </w:r>
      <w:r>
        <w:t xml:space="preserve">.</w:t>
      </w:r>
      <w:r>
        <w:t xml:space="preserve"> </w:t>
      </w:r>
      <w:r>
        <w:t xml:space="preserve">However, we did not find evidence that higher spring temperatures were correlated with summer drought stress in our dendrometer band analysis, implying that the effects of warm spring temperatures on stem growth elucidated here (Fig. 1) were not attributable to summer drought.</w:t>
      </w:r>
    </w:p>
    <w:p>
      <w:pPr>
        <w:pStyle w:val="BodyText"/>
      </w:pPr>
      <w:r>
        <w:t xml:space="preserve">Our finding that interannual variation in stem growth is more strongly linked to conditions during the peak growing season than to the length of the season of active stem growth aligns with recent studies on annual stem growth</w:t>
      </w:r>
      <w:r>
        <w:rPr>
          <w:vertAlign w:val="superscript"/>
        </w:rPr>
        <w:t xml:space="preserve">27,35,36</w:t>
      </w:r>
      <w:r>
        <w:t xml:space="preserve"> </w:t>
      </w:r>
      <w:r>
        <w:t xml:space="preserve">and with parallel findings for</w:t>
      </w:r>
      <w:r>
        <w:t xml:space="preserve"> </w:t>
      </w:r>
      <w:r>
        <w:rPr>
          <w:iCs/>
          <w:i/>
        </w:rPr>
        <w:t xml:space="preserve">NEE</w:t>
      </w:r>
      <w:r>
        <w:rPr>
          <w:vertAlign w:val="superscript"/>
        </w:rPr>
        <w:t xml:space="preserve">13,14</w:t>
      </w:r>
      <w:r>
        <w:t xml:space="preserve">.</w:t>
      </w:r>
      <w:r>
        <w:t xml:space="preserve"> </w:t>
      </w:r>
      <w:r>
        <w:t xml:space="preserve">However, there is also a disconnect with findings that</w:t>
      </w:r>
      <w:r>
        <w:t xml:space="preserve"> </w:t>
      </w:r>
      <w:r>
        <w:rPr>
          <w:iCs/>
          <w:i/>
        </w:rPr>
        <w:t xml:space="preserve">NEE</w:t>
      </w:r>
      <w:r>
        <w:t xml:space="preserve"> </w:t>
      </w:r>
      <w:r>
        <w:t xml:space="preserve">is at least modestly greater in years with warm springs</w:t>
      </w:r>
      <w:r>
        <w:rPr>
          <w:vertAlign w:val="superscript"/>
        </w:rPr>
        <w:t xml:space="preserve">2</w:t>
      </w:r>
      <w:r>
        <w:t xml:space="preserve"> </w:t>
      </w:r>
      <w:r>
        <w:t xml:space="preserve">or long growing seasons</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12,47,48</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CO</w:t>
      </w:r>
      <w:r>
        <w:rPr>
          <w:vertAlign w:val="subscript"/>
        </w:rPr>
        <w:t xml:space="preserve">2</w:t>
      </w:r>
      <w:r>
        <w:t xml:space="preserve"> </w:t>
      </w:r>
      <w:r>
        <w:t xml:space="preserve">uptake by the ecosystem.</w:t>
      </w:r>
      <w:r>
        <w:t xml:space="preserve"> </w:t>
      </w:r>
      <w:r>
        <w:t xml:space="preserve">We show that the extra C fixation in years with warm springs does not substantially augment stem growth, but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w:t>
      </w:r>
      <w:r>
        <w:rPr>
          <w:iCs/>
          <w:i/>
        </w:rPr>
        <w:t xml:space="preserve">points to make</w:t>
      </w:r>
      <w:r>
        <w:t xml:space="preserve">:</w:t>
      </w:r>
    </w:p>
    <w:p>
      <w:pPr>
        <w:numPr>
          <w:ilvl w:val="0"/>
          <w:numId w:val="1002"/>
        </w:numPr>
        <w:pStyle w:val="Compact"/>
      </w:pPr>
      <w:r>
        <w:t xml:space="preserve">stem growth is routinely used to estimate woody productivity (but wood density partially decouples them)</w:t>
      </w:r>
      <w:r>
        <w:rPr>
          <w:vertAlign w:val="superscript"/>
        </w:rPr>
        <w:t xml:space="preserve">27 and refs therein</w:t>
      </w:r>
    </w:p>
    <w:p>
      <w:pPr>
        <w:numPr>
          <w:ilvl w:val="0"/>
          <w:numId w:val="1002"/>
        </w:numPr>
        <w:pStyle w:val="Compact"/>
      </w:pPr>
      <w:r>
        <w:t xml:space="preserve">positive effects of warm springs can be compensated by negative effects of accumulation of seasonal water deficits</w:t>
      </w:r>
      <w:r>
        <w:rPr>
          <w:vertAlign w:val="superscript"/>
        </w:rPr>
        <w:t xml:space="preserve">3</w:t>
      </w:r>
    </w:p>
    <w:p>
      <w:pPr>
        <w:pStyle w:val="FirstParagraph"/>
      </w:pPr>
      <w:r>
        <w:t xml:space="preserve">~~~</w:t>
      </w:r>
    </w:p>
    <w:p>
      <w:pPr>
        <w:pStyle w:val="BodyText"/>
      </w:pPr>
      <w:r>
        <w:t xml:space="preserve">One possibility is that extra photosynthate in years with warm springs may be allocated to woody growth without affecting diameter growth in the current year.</w:t>
      </w:r>
      <w:r>
        <w:t xml:space="preserve"> </w:t>
      </w:r>
      <w:r>
        <w:t xml:space="preserve">It is theoretically possible that extra C is allocated to cell wall thickening, a process that lags behind stem expansion</w:t>
      </w:r>
      <w:r>
        <w:rPr>
          <w:vertAlign w:val="superscript"/>
        </w:rPr>
        <w:t xml:space="preserve">49</w:t>
      </w:r>
      <w:r>
        <w:t xml:space="preserve">, or to a thicker layer of higher-density latewood, resulting in formation of more C-dense wood in years with warm springs.</w:t>
      </w:r>
      <w:r>
        <w:t xml:space="preserve"> </w:t>
      </w:r>
      <w:r>
        <w:t xml:space="preserve">However, existing evidence indicates that warm springs have a neutral or negative effect on latewood width</w:t>
      </w:r>
      <w:r>
        <w:rPr>
          <w:vertAlign w:val="superscript"/>
        </w:rPr>
        <w:t xml:space="preserve">50–52</w:t>
      </w:r>
      <w:r>
        <w:t xml:space="preserve">, which is more strongly controlled by summer drought stress</w:t>
      </w:r>
      <w:r>
        <w:rPr>
          <w:vertAlign w:val="superscript"/>
        </w:rPr>
        <w:t xml:space="preserve">50,51</w:t>
      </w:r>
      <w:r>
        <w:t xml:space="preserve">, suggesting that a positive effect of warm springs on the total C content of annual rings is unlikely.</w:t>
      </w:r>
      <w:r>
        <w:t xml:space="preserve"> </w:t>
      </w:r>
      <w:r>
        <w:t xml:space="preserve">Extra C could also be saved within trees as non-structural carbohydrates (NSC) and used towards growth the following year</w:t>
      </w:r>
      <w:r>
        <w:rPr>
          <w:vertAlign w:val="superscript"/>
        </w:rPr>
        <w:t xml:space="preserve">53,54</w:t>
      </w:r>
      <w:r>
        <w:t xml:space="preserve">, potentially including an earlier start to growth</w:t>
      </w:r>
      <w:r>
        <w:rPr>
          <w:vertAlign w:val="superscript"/>
        </w:rPr>
        <w:t xml:space="preserve">45</w:t>
      </w:r>
      <w:r>
        <w:t xml:space="preserve">.</w:t>
      </w:r>
      <w:r>
        <w:t xml:space="preserve"> </w:t>
      </w:r>
      <w:r>
        <w:t xml:space="preserve">Extension of our tree-ring analysis revealed weak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NSC storage, reproduction, and production of foliage, roots</w:t>
      </w:r>
      <w:r>
        <w:rPr>
          <w:vertAlign w:val="superscript"/>
        </w:rPr>
        <w:t xml:space="preserve">37</w:t>
      </w:r>
      <w:r>
        <w:t xml:space="preserve">, or root exudates.</w:t>
      </w:r>
      <w:r>
        <w:t xml:space="preserve"> </w:t>
      </w:r>
      <w:r>
        <w:t xml:space="preserve">Much of this C would have a relatively short residence time within the ecosystem, and C loss through fall or winter respiration may offset gains from an earlier spring</w:t>
      </w:r>
      <w:r>
        <w:rPr>
          <w:vertAlign w:val="superscript"/>
        </w:rPr>
        <w:t xml:space="preserve">3,55</w:t>
      </w:r>
      <w:r>
        <w:t xml:space="preserve">.</w:t>
      </w:r>
      <w:r>
        <w:t xml:space="preserve"> </w:t>
      </w:r>
      <w:r>
        <w:t xml:space="preserve">However, C allocated to nonstructural carbohydrates or relatively short-lived plant tissues would typically remain in the ecosystem beyond the end of the year</w:t>
      </w:r>
      <w:r>
        <w:rPr>
          <w:vertAlign w:val="superscript"/>
        </w:rPr>
        <w:t xml:space="preserve">53</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 cycling are unlikely to be apparent in analyses of interannual variation (including this analysis)</w:t>
      </w:r>
      <w:r>
        <w:rPr>
          <w:vertAlign w:val="superscript"/>
        </w:rPr>
        <w:t xml:space="preserve">56</w:t>
      </w:r>
      <w:r>
        <w:t xml:space="preserve">.</w:t>
      </w:r>
      <w:r>
        <w:t xml:space="preserve"> </w:t>
      </w:r>
      <w:r>
        <w:t xml:space="preserve">Moreover, acclimation of trees to warming temperatures</w:t>
      </w:r>
      <w:r>
        <w:rPr>
          <w:vertAlign w:val="superscript"/>
        </w:rPr>
        <w:t xml:space="preserve">57</w:t>
      </w:r>
      <w:r>
        <w:t xml:space="preserve"> </w:t>
      </w:r>
      <w:r>
        <w:t xml:space="preserve">and, on longer time scales, species adaptations and shifts in community composition</w:t>
      </w:r>
      <w:r>
        <w:rPr>
          <w:vertAlign w:val="superscript"/>
        </w:rPr>
        <w:t xml:space="preserve">58</w:t>
      </w:r>
      <w:r>
        <w:t xml:space="preserve"> </w:t>
      </w:r>
      <w:r>
        <w:t xml:space="preserve">are likely to alter the seasonality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32</w:t>
      </w:r>
      <w:r>
        <w:t xml:space="preserve">, woody productivity</w:t>
      </w:r>
      <w:r>
        <w:rPr>
          <w:vertAlign w:val="superscript"/>
        </w:rPr>
        <w:t xml:space="preserve">59</w:t>
      </w:r>
      <w:r>
        <w:t xml:space="preserve">, and</w:t>
      </w:r>
      <w:r>
        <w:t xml:space="preserve"> </w:t>
      </w:r>
      <w:r>
        <w:rPr>
          <w:iCs/>
          <w:i/>
        </w:rPr>
        <w:t xml:space="preserve">NEE</w:t>
      </w:r>
      <w:r>
        <w:rPr>
          <w:vertAlign w:val="superscript"/>
        </w:rPr>
        <w:t xml:space="preserve">60</w:t>
      </w:r>
      <w:r>
        <w:t xml:space="preserve">.</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2,3,19,20</w:t>
      </w:r>
      <w:r>
        <w:t xml:space="preserve">.</w:t>
      </w:r>
      <w:r>
        <w:t xml:space="preserve"> </w:t>
      </w:r>
      <w:r>
        <w:t xml:space="preserve"> </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61</w:t>
      </w:r>
      <w:r>
        <w:t xml:space="preserve"> </w:t>
      </w:r>
      <w:r>
        <w:t xml:space="preserve">and Harvard Forest</w:t>
      </w:r>
      <w:r>
        <w:rPr>
          <w:vertAlign w:val="superscript"/>
        </w:rPr>
        <w:t xml:space="preserve">4,41</w:t>
      </w:r>
      <w:r>
        <w:t xml:space="preserve">, both part of the Forest Global Earth Observatory (ForestGEO)</w:t>
      </w:r>
      <w:r>
        <w:rPr>
          <w:vertAlign w:val="superscript"/>
        </w:rPr>
        <w:t xml:space="preserve">62,63</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61</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39</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32</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32</w:t>
      </w:r>
      <w:r>
        <w:t xml:space="preserve">. The summer of 1999 was abnormally dry. Records indicate that in 1999 only 52mm of precipitation fell per month June-August compared to average monthly precipitation values of 100mm+.</w:t>
      </w:r>
      <w:r>
        <w:rPr>
          <w:vertAlign w:val="superscript"/>
        </w:rPr>
        <w:t xml:space="preserve">41</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1999 was an anomalous year where initial measurements were taken on January 5, but not taken again until April 15.</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HF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40</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40</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40,64</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65</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66</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67</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68,69</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70</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 porous species groups at both sites, all of which included all or part of April (Extended Data Table 2).</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71,72</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w:t>
      </w:r>
      <w:r>
        <w:rPr>
          <w:vertAlign w:val="superscript"/>
        </w:rPr>
        <w:t xml:space="preserve">73</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66,74,75</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76</w:t>
      </w:r>
      <w:r>
        <w:t xml:space="preserve">.</w:t>
      </w:r>
    </w:p>
    <w:p>
      <w:pPr>
        <w:pStyle w:val="BodyText"/>
      </w:pPr>
      <w:r>
        <w:t xml:space="preserve">Dominant tree species were cored at both SCBI</w:t>
      </w:r>
      <w:r>
        <w:rPr>
          <w:vertAlign w:val="superscript"/>
        </w:rPr>
        <w:t xml:space="preserve">39,61</w:t>
      </w:r>
      <w:r>
        <w:t xml:space="preserve"> </w:t>
      </w:r>
      <w:r>
        <w:t xml:space="preserve">and Harvard Forest</w:t>
      </w:r>
      <w:r>
        <w:rPr>
          <w:vertAlign w:val="superscript"/>
        </w:rPr>
        <w:t xml:space="preserve">4,77,78</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38,79</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80</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80,81</w:t>
      </w:r>
      <w:r>
        <w:t xml:space="preserve">.</w:t>
      </w:r>
      <w:r>
        <w:t xml:space="preserve"> </w:t>
      </w:r>
      <w:r>
        <w:t xml:space="preserve">An adaptive power transformation, a process that also stabilises the variance over time</w:t>
      </w:r>
      <w:r>
        <w:rPr>
          <w:vertAlign w:val="superscript"/>
        </w:rPr>
        <w:t xml:space="preserve">82</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83</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81</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84</w:t>
      </w:r>
      <w:r>
        <w:t xml:space="preserve"> </w:t>
      </w:r>
      <w:r>
        <w:t xml:space="preserve">Correlations between monthly climate and</w:t>
      </w:r>
      <w:r>
        <w:t xml:space="preserve"> </w:t>
      </w:r>
      <m:oMath>
        <m:r>
          <m:t>R</m:t>
        </m:r>
        <m:r>
          <m:t>W</m:t>
        </m:r>
        <m:r>
          <m:t>I</m:t>
        </m:r>
      </m:oMath>
      <w:r>
        <w:t xml:space="preserve"> </w:t>
      </w:r>
      <w:r>
        <w:t xml:space="preserve">were assessed using</w:t>
      </w:r>
      <w:r>
        <w:t xml:space="preserve"> </w:t>
      </w:r>
      <w:r>
        <w:rPr>
          <w:iCs/>
          <w:i/>
        </w:rPr>
        <w:t xml:space="preserve">dplR</w:t>
      </w:r>
      <w:r>
        <w:rPr>
          <w:vertAlign w:val="superscript"/>
        </w:rPr>
        <w:t xml:space="preserve">85</w:t>
      </w:r>
      <w:r>
        <w:t xml:space="preserve"> </w:t>
      </w:r>
      <w:r>
        <w:t xml:space="preserve">and</w:t>
      </w:r>
      <w:r>
        <w:t xml:space="preserve"> </w:t>
      </w:r>
      <w:r>
        <w:rPr>
          <w:iCs/>
          <w:i/>
        </w:rPr>
        <w:t xml:space="preserve">bootRes</w:t>
      </w:r>
      <w:r>
        <w:rPr>
          <w:vertAlign w:val="superscript"/>
        </w:rPr>
        <w:t xml:space="preserve">86</w:t>
      </w:r>
      <w:r>
        <w:t xml:space="preserve"> </w:t>
      </w:r>
      <w:r>
        <w:t xml:space="preserve">in R v 4.0 (R Core Team, 2020), which correlated functions and bootstrapped confidence intervals for these relationships</w:t>
      </w:r>
      <w:r>
        <w:rPr>
          <w:vertAlign w:val="superscript"/>
        </w:rPr>
        <w:t xml:space="preserve">87</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6" w:name="References"/>
    <w:p>
      <w:pPr>
        <w:pStyle w:val="Heading1"/>
      </w:pPr>
      <w:r>
        <w:t xml:space="preserve">References</w:t>
      </w:r>
    </w:p>
    <w:bookmarkStart w:id="145"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55"/>
    <w:bookmarkStart w:id="56"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6"/>
    <w:bookmarkStart w:id="57"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57"/>
    <w:bookmarkStart w:id="58"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8"/>
    <w:bookmarkStart w:id="59"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9"/>
    <w:bookmarkStart w:id="60"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60"/>
    <w:bookmarkStart w:id="61"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61"/>
    <w:bookmarkStart w:id="62"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2"/>
    <w:bookmarkStart w:id="63" w:name="ref-savage_coordination_2021"/>
    <w:p>
      <w:pPr>
        <w:pStyle w:val="Bibliography"/>
      </w:pPr>
      <w:r>
        <w:t xml:space="preserve">15.</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3"/>
    <w:bookmarkStart w:id="64" w:name="ref-delpierre_temperate_2016"/>
    <w:p>
      <w:pPr>
        <w:pStyle w:val="Bibliography"/>
      </w:pPr>
      <w:r>
        <w:t xml:space="preserve">16.</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4"/>
    <w:bookmarkStart w:id="65" w:name="ref-xue_global_2017"/>
    <w:p>
      <w:pPr>
        <w:pStyle w:val="Bibliography"/>
      </w:pPr>
      <w:r>
        <w:t xml:space="preserve">17.</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5"/>
    <w:bookmarkStart w:id="66" w:name="ref-russell_residence_2014"/>
    <w:p>
      <w:pPr>
        <w:pStyle w:val="Bibliography"/>
      </w:pPr>
      <w:r>
        <w:t xml:space="preserve">18.</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6"/>
    <w:bookmarkStart w:id="67" w:name="ref-zani_increased_2020"/>
    <w:p>
      <w:pPr>
        <w:pStyle w:val="Bibliography"/>
      </w:pPr>
      <w:r>
        <w:t xml:space="preserve">19.</w:t>
      </w:r>
      <w:r>
        <w:t xml:space="preserve"> </w:t>
      </w:r>
      <w:r>
        <w:t xml:space="preserve">	</w:t>
      </w:r>
      <w:r>
        <w:t xml:space="preserve">Zani, D., Crowther, T. W., Mo, L., Renner, S. S. &amp; Zohner, C. M. Increased growing-season productivity drives earlier autumn leaf senescence in temperate trees. 7 (2020).</w:t>
      </w:r>
    </w:p>
    <w:bookmarkEnd w:id="67"/>
    <w:bookmarkStart w:id="68" w:name="ref-ahlstrom_robustness_2012"/>
    <w:p>
      <w:pPr>
        <w:pStyle w:val="Bibliography"/>
      </w:pPr>
      <w:r>
        <w:t xml:space="preserve">20.</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8"/>
    <w:bookmarkStart w:id="70" w:name="ref-harris_global_2021"/>
    <w:p>
      <w:pPr>
        <w:pStyle w:val="Bibliography"/>
      </w:pPr>
      <w:r>
        <w:t xml:space="preserve">21.</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9">
        <w:r>
          <w:rPr>
            <w:rStyle w:val="Hyperlink"/>
          </w:rPr>
          <w:t xml:space="preserve">10.1038/s41558-020-00976-6</w:t>
        </w:r>
      </w:hyperlink>
      <w:r>
        <w:t xml:space="preserve">.</w:t>
      </w:r>
    </w:p>
    <w:bookmarkEnd w:id="70"/>
    <w:bookmarkStart w:id="71" w:name="ref-pugh_role_2019"/>
    <w:p>
      <w:pPr>
        <w:pStyle w:val="Bibliography"/>
      </w:pPr>
      <w:r>
        <w:t xml:space="preserve">22.</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71"/>
    <w:bookmarkStart w:id="72" w:name="ref-arora_carbon_2020"/>
    <w:p>
      <w:pPr>
        <w:pStyle w:val="Bibliography"/>
      </w:pPr>
      <w:r>
        <w:t xml:space="preserve">23.</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2"/>
    <w:bookmarkStart w:id="73" w:name="ref-friedlingstein_global_2020"/>
    <w:p>
      <w:pPr>
        <w:pStyle w:val="Bibliography"/>
      </w:pPr>
      <w:r>
        <w:t xml:space="preserve">24.</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3"/>
    <w:bookmarkStart w:id="74" w:name="ref-fatichi_moving_2014"/>
    <w:p>
      <w:pPr>
        <w:pStyle w:val="Bibliography"/>
      </w:pPr>
      <w:r>
        <w:t xml:space="preserve">25.</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4"/>
    <w:bookmarkStart w:id="75" w:name="ref-lu_no_2022"/>
    <w:p>
      <w:pPr>
        <w:pStyle w:val="Bibliography"/>
      </w:pPr>
      <w:r>
        <w:t xml:space="preserve">26.</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5"/>
    <w:bookmarkStart w:id="76" w:name="ref-delpierre_wood_2016"/>
    <w:p>
      <w:pPr>
        <w:pStyle w:val="Bibliography"/>
      </w:pPr>
      <w:r>
        <w:t xml:space="preserve">27.</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6"/>
    <w:bookmarkStart w:id="77" w:name="ref-huang_photoperiod_2020"/>
    <w:p>
      <w:pPr>
        <w:pStyle w:val="Bibliography"/>
      </w:pPr>
      <w:r>
        <w:t xml:space="preserve">28.</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7"/>
    <w:bookmarkStart w:id="78" w:name="ref-delpierre_chilling_2019"/>
    <w:p>
      <w:pPr>
        <w:pStyle w:val="Bibliography"/>
      </w:pPr>
      <w:r>
        <w:t xml:space="preserve">29.</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8"/>
    <w:bookmarkStart w:id="79" w:name="ref-rossi_critical_2008"/>
    <w:p>
      <w:pPr>
        <w:pStyle w:val="Bibliography"/>
      </w:pPr>
      <w:r>
        <w:t xml:space="preserve">30.</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9"/>
    <w:bookmarkStart w:id="80" w:name="ref-babst_twentieth_2019"/>
    <w:p>
      <w:pPr>
        <w:pStyle w:val="Bibliography"/>
      </w:pPr>
      <w:r>
        <w:t xml:space="preserve">31.</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80"/>
    <w:bookmarkStart w:id="81" w:name="ref-anderson-teixeira_joint_2021"/>
    <w:p>
      <w:pPr>
        <w:pStyle w:val="Bibliography"/>
      </w:pPr>
      <w:r>
        <w:t xml:space="preserve">32.</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1"/>
    <w:bookmarkStart w:id="83" w:name="ref-gao_earlier_2022"/>
    <w:p>
      <w:pPr>
        <w:pStyle w:val="Bibliography"/>
      </w:pPr>
      <w:r>
        <w:t xml:space="preserve">33.</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2">
        <w:r>
          <w:rPr>
            <w:rStyle w:val="Hyperlink"/>
          </w:rPr>
          <w:t xml:space="preserve">10.1038/s41559-022-01668-4</w:t>
        </w:r>
      </w:hyperlink>
      <w:r>
        <w:t xml:space="preserve">.</w:t>
      </w:r>
    </w:p>
    <w:bookmarkEnd w:id="83"/>
    <w:bookmarkStart w:id="84" w:name="ref-zweifel_why_2021"/>
    <w:p>
      <w:pPr>
        <w:pStyle w:val="Bibliography"/>
      </w:pPr>
      <w:r>
        <w:t xml:space="preserve">34.</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4"/>
    <w:bookmarkStart w:id="85" w:name="ref-tumajer_limitation_2022"/>
    <w:p>
      <w:pPr>
        <w:pStyle w:val="Bibliography"/>
      </w:pPr>
      <w:r>
        <w:t xml:space="preserve">35.</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5"/>
    <w:bookmarkStart w:id="86" w:name="ref-etzold_number_2022"/>
    <w:p>
      <w:pPr>
        <w:pStyle w:val="Bibliography"/>
      </w:pPr>
      <w:r>
        <w:t xml:space="preserve">36.</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6"/>
    <w:bookmarkStart w:id="87" w:name="ref-zohner_how_2021"/>
    <w:p>
      <w:pPr>
        <w:pStyle w:val="Bibliography"/>
      </w:pPr>
      <w:r>
        <w:t xml:space="preserve">37.</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7"/>
    <w:bookmarkStart w:id="88" w:name="ref-dorangeville_drought_2018"/>
    <w:p>
      <w:pPr>
        <w:pStyle w:val="Bibliography"/>
      </w:pPr>
      <w:r>
        <w:t xml:space="preserve">38.</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8"/>
    <w:bookmarkStart w:id="89" w:name="ref-helcoski_growing_2019"/>
    <w:p>
      <w:pPr>
        <w:pStyle w:val="Bibliography"/>
      </w:pPr>
      <w:r>
        <w:t xml:space="preserve">39.</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9"/>
    <w:bookmarkStart w:id="90" w:name="ref-mcmahon_general_2015"/>
    <w:p>
      <w:pPr>
        <w:pStyle w:val="Bibliography"/>
      </w:pPr>
      <w:r>
        <w:t xml:space="preserve">40.</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90"/>
    <w:bookmarkStart w:id="92" w:name="ref-dorangeville_peak_2021"/>
    <w:p>
      <w:pPr>
        <w:pStyle w:val="Bibliography"/>
      </w:pPr>
      <w:r>
        <w:t xml:space="preserve">41.</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1">
        <w:r>
          <w:rPr>
            <w:rStyle w:val="Hyperlink"/>
          </w:rPr>
          <w:t xml:space="preserve">10.1093/treephys/tpab101</w:t>
        </w:r>
      </w:hyperlink>
      <w:r>
        <w:t xml:space="preserve">.</w:t>
      </w:r>
    </w:p>
    <w:bookmarkEnd w:id="92"/>
    <w:bookmarkStart w:id="93" w:name="ref-parmesan_globally_2003"/>
    <w:p>
      <w:pPr>
        <w:pStyle w:val="Bibliography"/>
      </w:pPr>
      <w:r>
        <w:t xml:space="preserve">42.</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93"/>
    <w:bookmarkStart w:id="94" w:name="ref-friedl_tale_2014"/>
    <w:p>
      <w:pPr>
        <w:pStyle w:val="Bibliography"/>
      </w:pPr>
      <w:r>
        <w:t xml:space="preserve">43.</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94"/>
    <w:bookmarkStart w:id="95" w:name="ref-keenan_timing_2015"/>
    <w:p>
      <w:pPr>
        <w:pStyle w:val="Bibliography"/>
      </w:pPr>
      <w:r>
        <w:t xml:space="preserve">44.</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5"/>
    <w:bookmarkStart w:id="96" w:name="ref-fu_variation_2014"/>
    <w:p>
      <w:pPr>
        <w:pStyle w:val="Bibliography"/>
      </w:pPr>
      <w:r>
        <w:t xml:space="preserve">45.</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96"/>
    <w:bookmarkStart w:id="97" w:name="ref-zhang_drought_2021"/>
    <w:p>
      <w:pPr>
        <w:pStyle w:val="Bibliography"/>
      </w:pPr>
      <w:r>
        <w:t xml:space="preserve">46.</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97"/>
    <w:bookmarkStart w:id="98" w:name="ref-zohner_ongoing_2019"/>
    <w:p>
      <w:pPr>
        <w:pStyle w:val="Bibliography"/>
      </w:pPr>
      <w:r>
        <w:t xml:space="preserve">47.</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98"/>
    <w:bookmarkStart w:id="99" w:name="ref-xie_predicting_2018"/>
    <w:p>
      <w:pPr>
        <w:pStyle w:val="Bibliography"/>
      </w:pPr>
      <w:r>
        <w:t xml:space="preserve">48.</w:t>
      </w:r>
      <w:r>
        <w:t xml:space="preserve"> </w:t>
      </w:r>
      <w:r>
        <w:t xml:space="preserve">	</w:t>
      </w:r>
      <w:r>
        <w:t xml:space="preserve">Xie, Y., Wang, X., Wilson, A. M. &amp; Silander, J. A. Predicting autumn phenology:</w:t>
      </w:r>
      <w:r>
        <w:t xml:space="preserve"> </w:t>
      </w:r>
      <w:r>
        <w:t xml:space="preserve">How</w:t>
      </w:r>
      <w:r>
        <w:t xml:space="preserve"> </w:t>
      </w:r>
      <w:r>
        <w:t xml:space="preserve">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99"/>
    <w:bookmarkStart w:id="100" w:name="ref-cuny_woody_2015"/>
    <w:p>
      <w:pPr>
        <w:pStyle w:val="Bibliography"/>
      </w:pPr>
      <w:r>
        <w:t xml:space="preserve">49.</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100"/>
    <w:bookmarkStart w:id="101" w:name="ref-tardif_influence_2006"/>
    <w:p>
      <w:pPr>
        <w:pStyle w:val="Bibliography"/>
      </w:pPr>
      <w:r>
        <w:t xml:space="preserve">50.</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101"/>
    <w:bookmarkStart w:id="102" w:name="ref-roibu_climatic_2020"/>
    <w:p>
      <w:pPr>
        <w:pStyle w:val="Bibliography"/>
      </w:pPr>
      <w:r>
        <w:t xml:space="preserve">51.</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102"/>
    <w:bookmarkStart w:id="103" w:name="ref-kern_multiple_2013"/>
    <w:p>
      <w:pPr>
        <w:pStyle w:val="Bibliography"/>
      </w:pPr>
      <w:r>
        <w:t xml:space="preserve">52.</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103"/>
    <w:bookmarkStart w:id="104" w:name="ref-trumbore_quantifying_2002"/>
    <w:p>
      <w:pPr>
        <w:pStyle w:val="Bibliography"/>
      </w:pPr>
      <w:r>
        <w:t xml:space="preserve">53.</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104"/>
    <w:bookmarkStart w:id="105" w:name="ref-richardson_seasonal_2013"/>
    <w:p>
      <w:pPr>
        <w:pStyle w:val="Bibliography"/>
      </w:pPr>
      <w:r>
        <w:t xml:space="preserve">54.</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105"/>
    <w:bookmarkStart w:id="106" w:name="ref-oishi_warmer_2018"/>
    <w:p>
      <w:pPr>
        <w:pStyle w:val="Bibliography"/>
      </w:pPr>
      <w:r>
        <w:t xml:space="preserve">55.</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106"/>
    <w:bookmarkStart w:id="107" w:name="ref-kannenberg_linking_2019"/>
    <w:p>
      <w:pPr>
        <w:pStyle w:val="Bibliography"/>
      </w:pPr>
      <w:r>
        <w:t xml:space="preserve">56.</w:t>
      </w:r>
      <w:r>
        <w:t xml:space="preserve"> </w:t>
      </w:r>
      <w:r>
        <w:t xml:space="preserve">	</w:t>
      </w:r>
      <w:r>
        <w:t xml:space="preserve">Kannenberg, S. A.</w:t>
      </w:r>
      <w:r>
        <w:t xml:space="preserve"> </w:t>
      </w:r>
      <w:r>
        <w:rPr>
          <w:iCs/>
          <w:i/>
        </w:rPr>
        <w:t xml:space="preserve">et al.</w:t>
      </w:r>
      <w:r>
        <w:t xml:space="preserve"> Linking drought legacy effects across scales:</w:t>
      </w:r>
      <w:r>
        <w:t xml:space="preserve"> </w:t>
      </w:r>
      <w:r>
        <w:t xml:space="preserve">From</w:t>
      </w:r>
      <w:r>
        <w:t xml:space="preserve"> </w:t>
      </w:r>
      <w:r>
        <w:t xml:space="preserve">leaves to tree rings to ecosystems.</w:t>
      </w:r>
      <w:r>
        <w:t xml:space="preserve"> </w:t>
      </w:r>
      <w:r>
        <w:rPr>
          <w:iCs/>
          <w:i/>
        </w:rPr>
        <w:t xml:space="preserve">Global Change Biology</w:t>
      </w:r>
      <w:r>
        <w:t xml:space="preserve"> </w:t>
      </w:r>
      <w:r>
        <w:rPr>
          <w:bCs/>
          <w:b/>
        </w:rPr>
        <w:t xml:space="preserve">25</w:t>
      </w:r>
      <w:r>
        <w:t xml:space="preserve">, 2978–2992 (2019).</w:t>
      </w:r>
    </w:p>
    <w:bookmarkEnd w:id="107"/>
    <w:bookmarkStart w:id="108" w:name="ref-gessler_way_2020"/>
    <w:p>
      <w:pPr>
        <w:pStyle w:val="Bibliography"/>
      </w:pPr>
      <w:r>
        <w:t xml:space="preserve">57.</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108"/>
    <w:bookmarkStart w:id="109" w:name="ref-fisichelli_temperate_2014"/>
    <w:p>
      <w:pPr>
        <w:pStyle w:val="Bibliography"/>
      </w:pPr>
      <w:r>
        <w:t xml:space="preserve">58.</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109"/>
    <w:bookmarkStart w:id="111" w:name="ref-banburymorgan_global_2021"/>
    <w:p>
      <w:pPr>
        <w:pStyle w:val="Bibliography"/>
      </w:pPr>
      <w:r>
        <w:t xml:space="preserve">59.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10">
        <w:r>
          <w:rPr>
            <w:rStyle w:val="Hyperlink"/>
          </w:rPr>
          <w:t xml:space="preserve">10.1111/gcb.15574</w:t>
        </w:r>
      </w:hyperlink>
      <w:r>
        <w:t xml:space="preserve">.</w:t>
      </w:r>
    </w:p>
    <w:bookmarkEnd w:id="111"/>
    <w:bookmarkStart w:id="112" w:name="ref-churkina_spatial_2005"/>
    <w:p>
      <w:pPr>
        <w:pStyle w:val="Bibliography"/>
      </w:pPr>
      <w:r>
        <w:t xml:space="preserve">60.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12"/>
    <w:bookmarkStart w:id="113" w:name="ref-bourg_initial_2013"/>
    <w:p>
      <w:pPr>
        <w:pStyle w:val="Bibliography"/>
      </w:pPr>
      <w:r>
        <w:t xml:space="preserve">61.</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13"/>
    <w:bookmarkStart w:id="114" w:name="ref-anderson-teixeira_ctfsforestgeo_2015"/>
    <w:p>
      <w:pPr>
        <w:pStyle w:val="Bibliography"/>
      </w:pPr>
      <w:r>
        <w:t xml:space="preserve">62.</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14"/>
    <w:bookmarkStart w:id="115" w:name="ref-davies_forestgeo_2021"/>
    <w:p>
      <w:pPr>
        <w:pStyle w:val="Bibliography"/>
      </w:pPr>
      <w:r>
        <w:t xml:space="preserve">63.</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15"/>
    <w:bookmarkStart w:id="116" w:name="ref-herrmann_tree_2016"/>
    <w:p>
      <w:pPr>
        <w:pStyle w:val="Bibliography"/>
      </w:pPr>
      <w:r>
        <w:t xml:space="preserve">64.</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6"/>
    <w:bookmarkStart w:id="118" w:name="ref-friedl_mcd12q2_2019"/>
    <w:p>
      <w:pPr>
        <w:pStyle w:val="Bibliography"/>
      </w:pPr>
      <w:r>
        <w:t xml:space="preserve">65.</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7">
        <w:r>
          <w:rPr>
            <w:rStyle w:val="Hyperlink"/>
          </w:rPr>
          <w:t xml:space="preserve">10.5067/MODIS/MCD12Q2.006</w:t>
        </w:r>
      </w:hyperlink>
      <w:r>
        <w:t xml:space="preserve">.</w:t>
      </w:r>
    </w:p>
    <w:bookmarkEnd w:id="118"/>
    <w:bookmarkStart w:id="120" w:name="ref-anderson-teixeira_forestgeo_2020"/>
    <w:p>
      <w:pPr>
        <w:pStyle w:val="Bibliography"/>
      </w:pPr>
      <w:r>
        <w:t xml:space="preserve">66.</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9">
        <w:r>
          <w:rPr>
            <w:rStyle w:val="Hyperlink"/>
          </w:rPr>
          <w:t xml:space="preserve">10.5281/ZENODO.4041609</w:t>
        </w:r>
      </w:hyperlink>
      <w:r>
        <w:t xml:space="preserve">.</w:t>
      </w:r>
    </w:p>
    <w:bookmarkEnd w:id="120"/>
    <w:bookmarkStart w:id="121" w:name="ref-benestad_empiricalstatistical_2008"/>
    <w:p>
      <w:pPr>
        <w:pStyle w:val="Bibliography"/>
      </w:pPr>
      <w:r>
        <w:t xml:space="preserve">67.</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21"/>
    <w:bookmarkStart w:id="123" w:name="ref-boose_shaler_2021"/>
    <w:p>
      <w:pPr>
        <w:pStyle w:val="Bibliography"/>
      </w:pPr>
      <w:r>
        <w:t xml:space="preserve">68.</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22">
        <w:r>
          <w:rPr>
            <w:rStyle w:val="Hyperlink"/>
          </w:rPr>
          <w:t xml:space="preserve">10.6073/PASTA/213335F5DAA17222A738C105B9FA60C4</w:t>
        </w:r>
      </w:hyperlink>
      <w:r>
        <w:t xml:space="preserve">.</w:t>
      </w:r>
    </w:p>
    <w:bookmarkEnd w:id="123"/>
    <w:bookmarkStart w:id="125" w:name="ref-boose_fisher_2021"/>
    <w:p>
      <w:pPr>
        <w:pStyle w:val="Bibliography"/>
      </w:pPr>
      <w:r>
        <w:t xml:space="preserve">69.</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24">
        <w:r>
          <w:rPr>
            <w:rStyle w:val="Hyperlink"/>
          </w:rPr>
          <w:t xml:space="preserve">10.6073/PASTA/69E92642B512897032446CFE795CFFB8</w:t>
        </w:r>
      </w:hyperlink>
      <w:r>
        <w:t xml:space="preserve">.</w:t>
      </w:r>
    </w:p>
    <w:bookmarkEnd w:id="125"/>
    <w:bookmarkStart w:id="126" w:name="ref-vandepol_identifying_2016"/>
    <w:p>
      <w:pPr>
        <w:pStyle w:val="Bibliography"/>
      </w:pPr>
      <w:r>
        <w:t xml:space="preserve">70.</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6"/>
    <w:bookmarkStart w:id="127" w:name="ref-gabry_rstanarm_2020"/>
    <w:p>
      <w:pPr>
        <w:pStyle w:val="Bibliography"/>
      </w:pPr>
      <w:r>
        <w:t xml:space="preserve">71.</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7"/>
    <w:bookmarkStart w:id="128" w:name="ref-stan_development_team_stan_2019"/>
    <w:p>
      <w:pPr>
        <w:pStyle w:val="Bibliography"/>
      </w:pPr>
      <w:r>
        <w:t xml:space="preserve">72.</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8"/>
    <w:bookmarkStart w:id="129" w:name="ref-vicente-serrano_multiscalar_2010"/>
    <w:p>
      <w:pPr>
        <w:pStyle w:val="Bibliography"/>
      </w:pPr>
      <w:r>
        <w:t xml:space="preserve">73.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9"/>
    <w:bookmarkStart w:id="130" w:name="ref-begueria_standardized_2014"/>
    <w:p>
      <w:pPr>
        <w:pStyle w:val="Bibliography"/>
      </w:pPr>
      <w:r>
        <w:t xml:space="preserve">74.</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30"/>
    <w:bookmarkStart w:id="131" w:name="ref-vicente-serrano_multiscalar_2010a"/>
    <w:p>
      <w:pPr>
        <w:pStyle w:val="Bibliography"/>
      </w:pPr>
      <w:r>
        <w:t xml:space="preserve">75.</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31"/>
    <w:bookmarkStart w:id="132" w:name="ref-stokes_introduction_1968"/>
    <w:p>
      <w:pPr>
        <w:pStyle w:val="Bibliography"/>
      </w:pPr>
      <w:r>
        <w:t xml:space="preserve">76.</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32"/>
    <w:bookmarkStart w:id="133" w:name="ref-alexander_potential_2019"/>
    <w:p>
      <w:pPr>
        <w:pStyle w:val="Bibliography"/>
      </w:pPr>
      <w:r>
        <w:t xml:space="preserve">77.</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33"/>
    <w:bookmarkStart w:id="134" w:name="ref-dye_comparing_2016"/>
    <w:p>
      <w:pPr>
        <w:pStyle w:val="Bibliography"/>
      </w:pPr>
      <w:r>
        <w:t xml:space="preserve">78.</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34"/>
    <w:bookmarkStart w:id="135" w:name="ref-maxwell_sampling_2020"/>
    <w:p>
      <w:pPr>
        <w:pStyle w:val="Bibliography"/>
      </w:pPr>
      <w:r>
        <w:t xml:space="preserve">79.</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35"/>
    <w:bookmarkStart w:id="137" w:name="ref-cook_methods_1990"/>
    <w:p>
      <w:pPr>
        <w:pStyle w:val="Bibliography"/>
      </w:pPr>
      <w:r>
        <w:t xml:space="preserve">80.</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6">
        <w:r>
          <w:rPr>
            <w:rStyle w:val="Hyperlink"/>
          </w:rPr>
          <w:t xml:space="preserve">10.1007/978-94-015-7879-0</w:t>
        </w:r>
      </w:hyperlink>
      <w:r>
        <w:t xml:space="preserve">.</w:t>
      </w:r>
    </w:p>
    <w:bookmarkEnd w:id="137"/>
    <w:bookmarkStart w:id="138" w:name="ref-cook_time_1985"/>
    <w:p>
      <w:pPr>
        <w:pStyle w:val="Bibliography"/>
      </w:pPr>
      <w:r>
        <w:t xml:space="preserve">81.</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8"/>
    <w:bookmarkStart w:id="139" w:name="ref-cook_calculating_1997"/>
    <w:p>
      <w:pPr>
        <w:pStyle w:val="Bibliography"/>
      </w:pPr>
      <w:r>
        <w:t xml:space="preserve">82.</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9"/>
    <w:bookmarkStart w:id="140" w:name="ref-jones_estimating_1997"/>
    <w:p>
      <w:pPr>
        <w:pStyle w:val="Bibliography"/>
      </w:pPr>
      <w:r>
        <w:t xml:space="preserve">83.</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40"/>
    <w:bookmarkStart w:id="141" w:name="ref-harris_version_2020"/>
    <w:p>
      <w:pPr>
        <w:pStyle w:val="Bibliography"/>
      </w:pPr>
      <w:r>
        <w:t xml:space="preserve">84.</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41"/>
    <w:bookmarkStart w:id="142" w:name="ref-bunn_dendrochronology_2008"/>
    <w:p>
      <w:pPr>
        <w:pStyle w:val="Bibliography"/>
      </w:pPr>
      <w:r>
        <w:t xml:space="preserve">85.</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42"/>
    <w:bookmarkStart w:id="143" w:name="ref-zang_dendroclimatic_2013"/>
    <w:p>
      <w:pPr>
        <w:pStyle w:val="Bibliography"/>
      </w:pPr>
      <w:r>
        <w:t xml:space="preserve">86.</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43"/>
    <w:bookmarkStart w:id="144" w:name="ref-biondi_dendroclim2002_2004"/>
    <w:p>
      <w:pPr>
        <w:pStyle w:val="Bibliography"/>
      </w:pPr>
      <w:r>
        <w:t xml:space="preserve">87.</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44"/>
    <w:bookmarkEnd w:id="145"/>
    <w:bookmarkEnd w:id="146"/>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6" Target="https://doi.org/10.1007/978-94-015-7879-0" TargetMode="External" /><Relationship Type="http://schemas.openxmlformats.org/officeDocument/2006/relationships/hyperlink" Id="rId69" Target="https://doi.org/10.1038/s41558-020-00976-6" TargetMode="External" /><Relationship Type="http://schemas.openxmlformats.org/officeDocument/2006/relationships/hyperlink" Id="rId82"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1" Target="https://doi.org/10.1093/treephys/tpab101" TargetMode="External" /><Relationship Type="http://schemas.openxmlformats.org/officeDocument/2006/relationships/hyperlink" Id="rId110" Target="https://doi.org/10.1111/gcb.15574" TargetMode="External" /><Relationship Type="http://schemas.openxmlformats.org/officeDocument/2006/relationships/hyperlink" Id="rId117" Target="https://doi.org/10.5067/MODIS/MCD12Q2.006" TargetMode="External" /><Relationship Type="http://schemas.openxmlformats.org/officeDocument/2006/relationships/hyperlink" Id="rId119" Target="https://doi.org/10.5281/ZENODO.4041609" TargetMode="External" /><Relationship Type="http://schemas.openxmlformats.org/officeDocument/2006/relationships/hyperlink" Id="rId122" Target="https://doi.org/10.6073/PASTA/213335F5DAA17222A738C105B9FA60C4" TargetMode="External" /><Relationship Type="http://schemas.openxmlformats.org/officeDocument/2006/relationships/hyperlink" Id="rId124"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2022-03-09T16:40:28Z</dcterms:created>
  <dcterms:modified xsi:type="dcterms:W3CDTF">2022-03-09T16:40:28Z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