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 springs alter timing but not total growth of temperate deciduous trees</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1,2,3</w:t>
      </w:r>
      <w:r>
        <w:rPr>
          <w:bCs/>
          <w:b/>
        </w:rPr>
        <w:t xml:space="preserve"> </w:t>
      </w:r>
      <w:r>
        <w:rPr>
          <w:bCs/>
          <w:b/>
        </w:rPr>
        <w:t xml:space="preserve">and commencement of net carbon dioxide (CO</w:t>
      </w:r>
      <w:r>
        <w:rPr>
          <w:vertAlign w:val="subscript"/>
          <w:bCs/>
          <w:b/>
        </w:rPr>
        <w:t xml:space="preserve">2</w:t>
      </w:r>
      <w:r>
        <w:rPr>
          <w:bCs/>
          <w:b/>
        </w:rPr>
        <w:t xml:space="preserve">) uptake</w:t>
      </w:r>
      <w:r>
        <w:rPr>
          <w:vertAlign w:val="superscript"/>
          <w:bCs/>
          <w:b/>
        </w:rPr>
        <w:t xml:space="preserve">1,3</w:t>
      </w:r>
      <w:r>
        <w:rPr>
          <w:bCs/>
          <w:b/>
        </w:rPr>
        <w:t xml:space="preserve"> </w:t>
      </w:r>
      <w:r>
        <w:rPr>
          <w:bCs/>
          <w:b/>
        </w:rPr>
        <w:t xml:space="preserve">in temperate deciduous forests, resulting in a tendency towards increased growing season length</w:t>
      </w:r>
      <w:r>
        <w:rPr>
          <w:vertAlign w:val="superscript"/>
          <w:bCs/>
          <w:b/>
        </w:rPr>
        <w:t xml:space="preserve">3</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1,3–8</w:t>
      </w:r>
      <w:r>
        <w:rPr>
          <w:bCs/>
          <w:b/>
        </w:rPr>
        <w:t xml:space="preserve">.</w:t>
      </w:r>
      <w:r>
        <w:t xml:space="preserve"> </w:t>
      </w:r>
      <w:r>
        <w:rPr>
          <w:bCs/>
          <w:b/>
        </w:rPr>
        <w:t xml:space="preserve">However, less is known about how spring temperatures affect tree stem growth</w:t>
      </w:r>
      <w:r>
        <w:rPr>
          <w:vertAlign w:val="superscript"/>
          <w:bCs/>
          <w:b/>
        </w:rPr>
        <w:t xml:space="preserve">9,10</w:t>
      </w:r>
      <w:r>
        <w:rPr>
          <w:bCs/>
          <w:b/>
        </w:rPr>
        <w:t xml:space="preserve">, which sequesters carbon (C) in wood that has a long residence time in the ecosystem</w:t>
      </w:r>
      <w:r>
        <w:rPr>
          <w:vertAlign w:val="superscript"/>
          <w:bCs/>
          <w:b/>
        </w:rPr>
        <w:t xml:space="preserve">11,12</w:t>
      </w:r>
      <w:r>
        <w:rPr>
          <w:bCs/>
          <w:b/>
        </w:rPr>
        <w:t xml:space="preserve">.</w:t>
      </w:r>
      <w:r>
        <w:t xml:space="preserve"> </w:t>
      </w:r>
      <w:r>
        <w:rPr>
          <w:bCs/>
          <w:b/>
        </w:rPr>
        <w:t xml:space="preserve">Using dendrometer band measurements from 440 trees across two forests, we show that warmer spring temperatures shifted stem diameter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ring width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4–6</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1,13</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14</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14</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15</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16–18</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1,3,19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1,19</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2,13,16</w:t>
      </w:r>
      <w:r>
        <w:t xml:space="preserve">.</w:t>
      </w:r>
      <w:r>
        <w:t xml:space="preserve"> </w:t>
      </w:r>
      <w:r>
        <w:t xml:space="preserve">However, the long-term persistence of this extra C in the ecosystem, and the associated negative feedback to climate change</w:t>
      </w:r>
      <w:r>
        <w:rPr>
          <w:vertAlign w:val="superscript"/>
        </w:rPr>
        <w:t xml:space="preserve">1</w:t>
      </w:r>
      <w:r>
        <w:t xml:space="preserve">, will depend on the extent to which it is allocated to woody growth and therefore resides in the ecosystem for decades to centuries</w:t>
      </w:r>
      <w:r>
        <w:rPr>
          <w:vertAlign w:val="superscript"/>
        </w:rPr>
        <w:t xml:space="preserve">11,12</w:t>
      </w:r>
      <w:r>
        <w:t xml:space="preserve">, as opposed to being rapidly released back to the atmosphere through respiration</w:t>
      </w:r>
      <w:r>
        <w:rPr>
          <w:vertAlign w:val="superscript"/>
        </w:rPr>
        <w:t xml:space="preserve">20,21</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10,18,22</w:t>
      </w:r>
      <w:r>
        <w:t xml:space="preserve">.</w:t>
      </w:r>
      <w:r>
        <w:t xml:space="preserve"> </w:t>
      </w:r>
      <w:r>
        <w:t xml:space="preserve">As a result, the consequences of rising spring temperatures on stem growth may not be accurately represented in models</w:t>
      </w:r>
      <w:r>
        <w:rPr>
          <w:vertAlign w:val="superscript"/>
        </w:rPr>
        <w:t xml:space="preserve">10,18</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23,</w:t>
      </w:r>
      <w:r>
        <w:rPr>
          <w:vertAlign w:val="superscript"/>
        </w:rPr>
        <w:t xml:space="preserve"> </w:t>
      </w:r>
      <w:r>
        <w:rPr>
          <w:vertAlign w:val="superscript"/>
        </w:rPr>
        <w:t xml:space="preserve">24</w:t>
      </w:r>
      <w:r>
        <w:t xml:space="preserve"> </w:t>
      </w:r>
      <w:r>
        <w:t xml:space="preserve">and increased annual growth in mesic climates</w:t>
      </w:r>
      <w:r>
        <w:rPr>
          <w:vertAlign w:val="superscript"/>
        </w:rPr>
        <w:t xml:space="preserve">25,</w:t>
      </w:r>
      <w:r>
        <w:rPr>
          <w:vertAlign w:val="superscript"/>
        </w:rPr>
        <w:t xml:space="preserve"> </w:t>
      </w:r>
      <w:r>
        <w:rPr>
          <w:vertAlign w:val="superscript"/>
        </w:rPr>
        <w:t xml:space="preserve">26</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9,10</w:t>
      </w:r>
      <w:r>
        <w:t xml:space="preserve">.</w:t>
      </w:r>
      <w:r>
        <w:t xml:space="preserve"> </w:t>
      </w:r>
      <w:r>
        <w:t xml:space="preserve">Close coordination of budburst and initiation of xylogenesis</w:t>
      </w:r>
      <w:r>
        <w:rPr>
          <w:vertAlign w:val="superscript"/>
        </w:rPr>
        <w:t xml:space="preserve">10</w:t>
      </w:r>
      <w:r>
        <w:t xml:space="preserve"> </w:t>
      </w:r>
      <w:r>
        <w:t xml:space="preserve">suggests that warm springs should shift the onset of growth earlier alongside observed advances in leaf phenology</w:t>
      </w:r>
      <w:r>
        <w:rPr>
          <w:vertAlign w:val="superscript"/>
        </w:rPr>
        <w:t xml:space="preserve">1,2,3</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27,28</w:t>
      </w:r>
      <w:r>
        <w:t xml:space="preserve">, and annual growth is more closely linked to conditions within the growing season than to growing season length</w:t>
      </w:r>
      <w:r>
        <w:rPr>
          <w:vertAlign w:val="superscript"/>
        </w:rPr>
        <w:t xml:space="preserve">29</w:t>
      </w:r>
      <w:r>
        <w:t xml:space="preserve">, GPP</w:t>
      </w:r>
      <w:r>
        <w:rPr>
          <w:vertAlign w:val="superscript"/>
        </w:rPr>
        <w:t xml:space="preserve">22</w:t>
      </w:r>
      <w:r>
        <w:t xml:space="preserve">, or NEE</w:t>
      </w:r>
      <w:r>
        <w:rPr>
          <w:vertAlign w:val="superscript"/>
        </w:rPr>
        <w:t xml:space="preserve">22</w:t>
      </w:r>
      <w:r>
        <w:t xml:space="preserve">.</w:t>
      </w:r>
      <w:r>
        <w:t xml:space="preserve"> </w:t>
      </w:r>
      <w:r>
        <w:t xml:space="preserve">Furthermore, growth of broadleaf deciduous trees may be sink-saturated</w:t>
      </w:r>
      <w:r>
        <w:rPr>
          <w:vertAlign w:val="superscript"/>
        </w:rPr>
        <w:t xml:space="preserve">18,30</w:t>
      </w:r>
      <w:r>
        <w:t xml:space="preserve">, such that longer growing seasons with more C fixation do not necessarily augment growth</w:t>
      </w:r>
      <w:r>
        <w:rPr>
          <w:vertAlign w:val="superscript"/>
        </w:rPr>
        <w:t xml:space="preserve">22,31</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32,33</w:t>
      </w:r>
      <w:r>
        <w:t xml:space="preserve">, with some evidence that warmer springs may have a modest positive effect on growth</w:t>
      </w:r>
      <w:r>
        <w:rPr>
          <w:vertAlign w:val="superscript"/>
        </w:rPr>
        <w:t xml:space="preserve">26,33</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1,19</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the timing, rates, and annual increments of stem diameter growth of temperate deciduous trees across eastern North America.</w:t>
      </w:r>
      <w:r>
        <w:t xml:space="preserve"> </w:t>
      </w:r>
      <w:r>
        <w:t xml:space="preserve">To test whether warmer springs advance the timing and extend the duration of stem diameter growth, we used dendrometer band measurements on 440 trees across two mid-latitude forests.</w:t>
      </w:r>
      <w:r>
        <w:t xml:space="preserve"> </w:t>
      </w:r>
      <w:r>
        <w:t xml:space="preserve">To test whether spring temperatures consistently increased annual radial increments,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34</w:t>
      </w:r>
      <w:r>
        <w:t xml:space="preserve"> </w:t>
      </w:r>
      <w:r>
        <w:t xml:space="preserve">to determine the days of year (DOY) when 25, 50, and 75% annual diameter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28,35</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85917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 ^\circC),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85917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w:r>
        <w:t xml:space="preserve"> </w:t>
      </w:r>
      <m:oMath>
        <m:sSup>
          <m:e>
            <m:r>
              <m:t>​</m:t>
            </m:r>
          </m:e>
          <m:sup>
            <m:r>
              <m:rPr>
                <m:sty m:val="p"/>
              </m:rPr>
              <m:t>∘</m:t>
            </m:r>
          </m:sup>
        </m:sSup>
      </m:oMath>
      <w:r>
        <w:t xml:space="preserve">C),</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assessing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(+0.003-0.008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radial stem growth increments have responded to spring temperatures at the centennial scale, we analyzed tree-ring chronologies of 12 species at SCBI</w:t>
      </w:r>
      <w:r>
        <w:rPr>
          <w:vertAlign w:val="superscript"/>
        </w:rPr>
        <w:t xml:space="preserve">33</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(95% confidence interval did not include 0)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36</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ites included are mapped in Extended Data Figur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Sites included are mapped in Extended Data Figure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diameter growth but have little effect on annual increments (Figs. 1-3).</w:t>
      </w:r>
      <w:r>
        <w:t xml:space="preserve"> </w:t>
      </w:r>
      <w:r>
        <w:t xml:space="preserve">The observed advance in stem growth under warmer springs parallels advances observed for canopy foliage phenology (Fig. 2a-b)</w:t>
      </w:r>
      <w:r>
        <w:rPr>
          <w:vertAlign w:val="superscript"/>
        </w:rPr>
        <w:t xml:space="preserve">1,3</w:t>
      </w:r>
      <w:r>
        <w:t xml:space="preserve"> </w:t>
      </w:r>
      <w:r>
        <w:t xml:space="preserve">and NEE</w:t>
      </w:r>
      <w:r>
        <w:rPr>
          <w:vertAlign w:val="superscript"/>
        </w:rPr>
        <w:t xml:space="preserve">1,3</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3,29</w:t>
      </w:r>
      <w:r>
        <w:t xml:space="preserve">, is driven by cues other than photosynthate limitation, such as water stress</w:t>
      </w:r>
      <w:r>
        <w:rPr>
          <w:vertAlign w:val="superscript"/>
        </w:rPr>
        <w:t xml:space="preserve">22,27,29</w:t>
      </w:r>
      <w:r>
        <w:t xml:space="preserve">, nutrient limitation</w:t>
      </w:r>
      <w:r>
        <w:rPr>
          <w:vertAlign w:val="superscript"/>
        </w:rPr>
        <w:t xml:space="preserve">37</w:t>
      </w:r>
      <w:r>
        <w:t xml:space="preserve">, daylength</w:t>
      </w:r>
      <w:r>
        <w:rPr>
          <w:vertAlign w:val="superscript"/>
        </w:rPr>
        <w:t xml:space="preserve">29</w:t>
      </w:r>
      <w:r>
        <w:t xml:space="preserve">, or sink saturation</w:t>
      </w:r>
      <w:r>
        <w:rPr>
          <w:vertAlign w:val="superscript"/>
        </w:rPr>
        <w:t xml:space="preserve">22,30</w:t>
      </w:r>
      <w:r>
        <w:t xml:space="preserve">.</w:t>
      </w:r>
      <w:r>
        <w:t xml:space="preserve"> </w:t>
      </w:r>
      <w:r>
        <w:t xml:space="preserve">This adds to a growing body of evidence for a sink limitation of stem growth</w:t>
      </w:r>
      <w:r>
        <w:rPr>
          <w:vertAlign w:val="superscript"/>
        </w:rPr>
        <w:t xml:space="preserve">18,22</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20,29</w:t>
      </w:r>
      <w:r>
        <w:t xml:space="preserve">.</w:t>
      </w:r>
    </w:p>
    <w:p>
      <w:pPr>
        <w:pStyle w:val="BodyText"/>
      </w:pPr>
      <w:r>
        <w:t xml:space="preserve">Combined with widespread observations that warming springs tend to lengthen the season of CO</w:t>
      </w:r>
      <w:r>
        <w:rPr>
          <w:vertAlign w:val="subscript"/>
        </w:rPr>
        <w:t xml:space="preserve">2</w:t>
      </w:r>
      <w:r>
        <w:t xml:space="preserve"> </w:t>
      </w:r>
      <w:r>
        <w:t xml:space="preserve">uptake</w:t>
      </w:r>
      <w:r>
        <w:rPr>
          <w:vertAlign w:val="superscript"/>
        </w:rPr>
        <w:t xml:space="preserve">3,19</w:t>
      </w:r>
      <w:r>
        <w:t xml:space="preserve"> </w:t>
      </w:r>
      <w:r>
        <w:t xml:space="preserve">and increase net annual CO</w:t>
      </w:r>
      <w:r>
        <w:rPr>
          <w:vertAlign w:val="subscript"/>
        </w:rPr>
        <w:t xml:space="preserve">2</w:t>
      </w:r>
      <w:r>
        <w:t xml:space="preserve"> </w:t>
      </w:r>
      <w:r>
        <w:t xml:space="preserve">uptake</w:t>
      </w:r>
      <w:r>
        <w:rPr>
          <w:vertAlign w:val="superscript"/>
        </w:rPr>
        <w:t xml:space="preserve">1,3–8</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22</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38</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39–41</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31</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20</w:t>
      </w:r>
      <w:r>
        <w:t xml:space="preserve">.</w:t>
      </w:r>
      <w:r>
        <w:t xml:space="preserve"> </w:t>
      </w:r>
      <w:r>
        <w:t xml:space="preserve">Consistent with this, it has been observed that C gains from an earlier spring can be offset through fall or winter respiration</w:t>
      </w:r>
      <w:r>
        <w:rPr>
          <w:vertAlign w:val="superscript"/>
        </w:rPr>
        <w:t xml:space="preserve">21</w:t>
      </w:r>
      <w:r>
        <w:t xml:space="preserve">, although even the C in shorter-lived pools would often be carried over into the following year</w:t>
      </w:r>
      <w:r>
        <w:rPr>
          <w:vertAlign w:val="superscript"/>
        </w:rPr>
        <w:t xml:space="preserve">42</w:t>
      </w:r>
      <w:r>
        <w:t xml:space="preserve">.</w:t>
      </w:r>
      <w:r>
        <w:t xml:space="preserve"> </w:t>
      </w:r>
      <w:r>
        <w:t xml:space="preserve">Thus, observed augmentation of NEE by warm springs</w:t>
      </w:r>
      <w:r>
        <w:rPr>
          <w:vertAlign w:val="superscript"/>
        </w:rPr>
        <w:t xml:space="preserve">1,7,8</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43</w:t>
      </w:r>
      <w:r>
        <w:t xml:space="preserve"> </w:t>
      </w:r>
      <w:r>
        <w:t xml:space="preserve">and longer growing seasons, which in turn are correlated with greater tree growth</w:t>
      </w:r>
      <w:r>
        <w:rPr>
          <w:vertAlign w:val="superscript"/>
        </w:rPr>
        <w:t xml:space="preserve">44</w:t>
      </w:r>
      <w:r>
        <w:t xml:space="preserve">, ANPP</w:t>
      </w:r>
      <w:r>
        <w:rPr>
          <w:vertAlign w:val="subscript"/>
        </w:rPr>
        <w:t xml:space="preserve">woody</w:t>
      </w:r>
      <w:r>
        <w:rPr>
          <w:vertAlign w:val="superscript"/>
        </w:rPr>
        <w:t xml:space="preserve">45</w:t>
      </w:r>
      <w:r>
        <w:t xml:space="preserve">, and NEE</w:t>
      </w:r>
      <w:r>
        <w:rPr>
          <w:vertAlign w:val="superscript"/>
        </w:rPr>
        <w:t xml:space="preserve">46</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31,47</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22,27,29,48</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25,32,33,44</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2,49,50</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26</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 sequestration in woody biomass and ensuant negative climate change feedback that is anticipated in most climate forecasting models</w:t>
      </w:r>
      <w:r>
        <w:rPr>
          <w:vertAlign w:val="superscript"/>
        </w:rPr>
        <w:t xml:space="preserve">1,2,13</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16</w:t>
      </w:r>
      <w:r>
        <w:t xml:space="preserve">, which constitutes a positive feedback to climate change.</w:t>
      </w:r>
    </w:p>
    <w:bookmarkEnd w:id="26"/>
    <w:bookmarkStart w:id="27" w:name="References"/>
    <w:p>
      <w:pPr>
        <w:pStyle w:val="Heading1"/>
      </w:pPr>
      <w:r>
        <w:t xml:space="preserve">References</w:t>
      </w:r>
    </w:p>
    <w:bookmarkEnd w:id="27"/>
    <w:bookmarkStart w:id="33" w:name="Methods"/>
    <w:p>
      <w:pPr>
        <w:pStyle w:val="Heading1"/>
      </w:pPr>
      <w:r>
        <w:t xml:space="preserve">Methods</w:t>
      </w:r>
    </w:p>
    <w:bookmarkStart w:id="30"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51</w:t>
      </w:r>
      <w:r>
        <w:t xml:space="preserve"> </w:t>
      </w:r>
      <w:r>
        <w:t xml:space="preserve">and Harvard Forest</w:t>
      </w:r>
      <w:r>
        <w:rPr>
          <w:vertAlign w:val="superscript"/>
        </w:rPr>
        <w:t xml:space="preserve">3,35</w:t>
      </w:r>
      <w:r>
        <w:t xml:space="preserve">, both part of the Forest Global Earth Observatory (ForestGEO)</w:t>
      </w:r>
      <w:r>
        <w:rPr>
          <w:vertAlign w:val="superscript"/>
        </w:rPr>
        <w:t xml:space="preserve">52,53</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51</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33</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44</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54</w:t>
      </w:r>
      <w:r>
        <w:t xml:space="preserve">) and summer Standardized Precipitation Evapotranspiration Index (SPEI)</w:t>
      </w:r>
      <w:r>
        <w:rPr>
          <w:vertAlign w:val="superscript"/>
        </w:rPr>
        <w:t xml:space="preserve">55</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44</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54</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35</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34</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34</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34,56</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57</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8">
        <w:r>
          <w:rPr>
            <w:rStyle w:val="Hyperlink"/>
          </w:rPr>
          <w:t xml:space="preserve">https://forestgeo.github.io/Climate/</w:t>
        </w:r>
      </w:hyperlink>
      <w:r>
        <w:t xml:space="preserve">)</w:t>
      </w:r>
      <w:r>
        <w:rPr>
          <w:vertAlign w:val="superscript"/>
        </w:rPr>
        <w:t xml:space="preserve">58</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59</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60,61</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55</w:t>
      </w:r>
      <w:r>
        <w:t xml:space="preserve"> </w:t>
      </w:r>
      <w:r>
        <w:t xml:space="preserve">values were obtained from the ForestGEO Climate Data Portal v1.0 (</w:t>
      </w:r>
      <w:hyperlink r:id="rId28">
        <w:r>
          <w:rPr>
            <w:rStyle w:val="Hyperlink"/>
          </w:rPr>
          <w:t xml:space="preserve">https://forestgeo.github.io/Climate/</w:t>
        </w:r>
      </w:hyperlink>
      <w:r>
        <w:t xml:space="preserve">)</w:t>
      </w:r>
      <w:r>
        <w:rPr>
          <w:vertAlign w:val="superscript"/>
        </w:rPr>
        <w:t xml:space="preserve">58,62,63</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64</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65,66</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30"/>
    <w:bookmarkStart w:id="31"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67,68</w:t>
      </w:r>
      <w:r>
        <w:t xml:space="preserve">.</w:t>
      </w:r>
    </w:p>
    <w:p>
      <w:pPr>
        <w:pStyle w:val="BodyText"/>
      </w:pPr>
      <w:r>
        <w:t xml:space="preserve">Dominant tree species were cored at both SCBI</w:t>
      </w:r>
      <w:r>
        <w:rPr>
          <w:vertAlign w:val="superscript"/>
        </w:rPr>
        <w:t xml:space="preserve">33,51</w:t>
      </w:r>
      <w:r>
        <w:t xml:space="preserve"> </w:t>
      </w:r>
      <w:r>
        <w:t xml:space="preserve">and Harvard Forest</w:t>
      </w:r>
      <w:r>
        <w:rPr>
          <w:vertAlign w:val="superscript"/>
        </w:rPr>
        <w:t xml:space="preserve">3,69,70</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32,71,72</w:t>
      </w:r>
      <w:r>
        <w:t xml:space="preserve">.</w:t>
      </w:r>
      <w:r>
        <w:t xml:space="preserve"> </w:t>
      </w:r>
      <w:r>
        <w:t xml:space="preserve">For the majority of sampled populations (i.e., site-species combinations), sampling focused on canopy trees (typically &gt;20 trees per population)</w:t>
      </w:r>
      <w:r>
        <w:rPr>
          <w:vertAlign w:val="superscript"/>
        </w:rPr>
        <w:t xml:space="preserve">32,71,72</w:t>
      </w:r>
      <w:r>
        <w:t xml:space="preserve">, while ~15% of the total 207 chronologies came from plot-level collections where trees above a certain diameter (typically 10 cm DBH) were censused and cored</w:t>
      </w:r>
      <w:r>
        <w:rPr>
          <w:vertAlign w:val="superscript"/>
        </w:rPr>
        <w:t xml:space="preserve">33,70</w:t>
      </w:r>
      <w:r>
        <w:t xml:space="preserve">.</w:t>
      </w:r>
      <w:r>
        <w:t xml:space="preserve"> </w:t>
      </w:r>
      <w:r>
        <w:t xml:space="preserve">Again, analyses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stabilizes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54</w:t>
      </w:r>
      <w:r>
        <w:t xml:space="preserve"> </w:t>
      </w:r>
      <w:r>
        <w:t xml:space="preserve">Correlations between monthly climate and RWI were assessed in R v 4.0</w:t>
      </w:r>
      <w:r>
        <w:rPr>
          <w:vertAlign w:val="superscript"/>
        </w:rPr>
        <w:t xml:space="preserve">77</w:t>
      </w:r>
      <w:r>
        <w:t xml:space="preserve"> </w:t>
      </w:r>
      <w:r>
        <w:t xml:space="preserve">using the packages</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1"/>
    <w:bookmarkStart w:id="32" w:name="Methods"/>
    <w:p>
      <w:pPr>
        <w:pStyle w:val="Heading2"/>
      </w:pPr>
      <w:r>
        <w:t xml:space="preserve">Methods References</w:t>
      </w:r>
    </w:p>
    <w:bookmarkEnd w:id="32"/>
    <w:bookmarkEnd w:id="33"/>
    <w:bookmarkStart w:id="34"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4"/>
    <w:bookmarkStart w:id="35"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5"/>
    <w:bookmarkStart w:id="48"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6">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7">
        <w:r>
          <w:rPr>
            <w:rStyle w:val="Hyperlink"/>
          </w:rPr>
          <w:t xml:space="preserve">https://github.com/SCBI-ForestGEO/Dendrobands</w:t>
        </w:r>
      </w:hyperlink>
      <w:r>
        <w:t xml:space="preserve">), which is archived in Zenodo (DOI 10.5281/zenodo.5551143), and for Harvard Forest via the Harvard Forest Data Archive (</w:t>
      </w:r>
      <w:hyperlink r:id="rId38">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9">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40">
        <w:r>
          <w:rPr>
            <w:rStyle w:val="Hyperlink"/>
          </w:rPr>
          <w:t xml:space="preserve">https://harvardforest1.fas.harvard.edu/exist/apps/datasets/showData.html?id=HF001</w:t>
        </w:r>
      </w:hyperlink>
      <w:r>
        <w:t xml:space="preserve"> </w:t>
      </w:r>
      <w:r>
        <w:t xml:space="preserve">AND</w:t>
      </w:r>
      <w:r>
        <w:t xml:space="preserve"> </w:t>
      </w:r>
      <w:hyperlink r:id="rId41">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2">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3">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4">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45">
        <w:r>
          <w:rPr>
            <w:rStyle w:val="Hyperlink"/>
          </w:rPr>
          <w:t xml:space="preserve">https://www.ncei.noaa.gov/products/paleoclimatology/tree-ring</w:t>
        </w:r>
      </w:hyperlink>
      <w:r>
        <w:t xml:space="preserve">), the DendroEcological Network (DEN;</w:t>
      </w:r>
      <w:r>
        <w:t xml:space="preserve"> </w:t>
      </w:r>
      <w:hyperlink r:id="rId46">
        <w:r>
          <w:rPr>
            <w:rStyle w:val="Hyperlink"/>
          </w:rPr>
          <w:t xml:space="preserve">https://www.uvm.edu/femc/dendro/</w:t>
        </w:r>
      </w:hyperlink>
      <w:r>
        <w:t xml:space="preserve">), and/or the Harvard Forest Data Archive (</w:t>
      </w:r>
      <w:hyperlink r:id="rId47">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48"/>
    <w:bookmarkStart w:id="51"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9">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50">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6">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51"/>
    <w:bookmarkStart w:id="140"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Start w:id="139" w:name="refs"/>
    <w:bookmarkStart w:id="52" w:name="ref-keenan_net_2014"/>
    <w:p>
      <w:pPr>
        <w:pStyle w:val="Bibliography"/>
      </w:pPr>
      <w:r>
        <w:t xml:space="preserve">1.</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2"/>
    <w:bookmarkStart w:id="53" w:name="ref-buermann_widespread_2018"/>
    <w:p>
      <w:pPr>
        <w:pStyle w:val="Bibliography"/>
      </w:pPr>
      <w:r>
        <w:t xml:space="preserve">2.</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3"/>
    <w:bookmarkStart w:id="54" w:name="ref-finzi_carbon_2020"/>
    <w:p>
      <w:pPr>
        <w:pStyle w:val="Bibliography"/>
      </w:pPr>
      <w:r>
        <w:t xml:space="preserve">3.</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4"/>
    <w:bookmarkStart w:id="55" w:name="ref-keeling_increased_1996"/>
    <w:p>
      <w:pPr>
        <w:pStyle w:val="Bibliography"/>
      </w:pPr>
      <w:r>
        <w:t xml:space="preserve">4.</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5.</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6.</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7.</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8.</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savage_coordination_2021"/>
    <w:p>
      <w:pPr>
        <w:pStyle w:val="Bibliography"/>
      </w:pPr>
      <w:r>
        <w:t xml:space="preserve">9.</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0"/>
    <w:bookmarkStart w:id="61" w:name="ref-delpierre_temperate_2016"/>
    <w:p>
      <w:pPr>
        <w:pStyle w:val="Bibliography"/>
      </w:pPr>
      <w:r>
        <w:t xml:space="preserve">10.</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1"/>
    <w:bookmarkStart w:id="62" w:name="ref-xue_global_2017"/>
    <w:p>
      <w:pPr>
        <w:pStyle w:val="Bibliography"/>
      </w:pPr>
      <w:r>
        <w:t xml:space="preserve">11.</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12.</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3"/>
    <w:bookmarkStart w:id="64" w:name="ref-richardson_terrestrial_2012"/>
    <w:p>
      <w:pPr>
        <w:pStyle w:val="Bibliography"/>
      </w:pPr>
      <w:r>
        <w:t xml:space="preserve">13.</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4"/>
    <w:bookmarkStart w:id="66" w:name="ref-harris_global_2021"/>
    <w:p>
      <w:pPr>
        <w:pStyle w:val="Bibliography"/>
      </w:pPr>
      <w:r>
        <w:t xml:space="preserve">14.</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5">
        <w:r>
          <w:rPr>
            <w:rStyle w:val="Hyperlink"/>
          </w:rPr>
          <w:t xml:space="preserve">10.1038/s41558-020-00976-6</w:t>
        </w:r>
      </w:hyperlink>
      <w:r>
        <w:t xml:space="preserve">.</w:t>
      </w:r>
    </w:p>
    <w:bookmarkEnd w:id="66"/>
    <w:bookmarkStart w:id="67" w:name="ref-pugh_role_2019"/>
    <w:p>
      <w:pPr>
        <w:pStyle w:val="Bibliography"/>
      </w:pPr>
      <w:r>
        <w:t xml:space="preserve">15.</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7"/>
    <w:bookmarkStart w:id="68" w:name="ref-ahlstrom_robustness_2012"/>
    <w:p>
      <w:pPr>
        <w:pStyle w:val="Bibliography"/>
      </w:pPr>
      <w:r>
        <w:t xml:space="preserve">16.</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69" w:name="ref-friedlingstein_global_2020"/>
    <w:p>
      <w:pPr>
        <w:pStyle w:val="Bibliography"/>
      </w:pPr>
      <w:r>
        <w:t xml:space="preserve">17.</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9"/>
    <w:bookmarkStart w:id="70" w:name="ref-fatichi_moving_2014"/>
    <w:p>
      <w:pPr>
        <w:pStyle w:val="Bibliography"/>
      </w:pPr>
      <w:r>
        <w:t xml:space="preserve">18.</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0"/>
    <w:bookmarkStart w:id="71" w:name="ref-lu_no_2022"/>
    <w:p>
      <w:pPr>
        <w:pStyle w:val="Bibliography"/>
      </w:pPr>
      <w:r>
        <w:t xml:space="preserve">19.</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28</w:t>
      </w:r>
      <w:r>
        <w:t xml:space="preserve">, 3083–3093 (2022).</w:t>
      </w:r>
    </w:p>
    <w:bookmarkEnd w:id="71"/>
    <w:bookmarkStart w:id="72" w:name="ref-jiang_fate_2020"/>
    <w:p>
      <w:pPr>
        <w:pStyle w:val="Bibliography"/>
      </w:pPr>
      <w:r>
        <w:t xml:space="preserve">20.</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2"/>
    <w:bookmarkStart w:id="73" w:name="ref-oishi_warmer_2018"/>
    <w:p>
      <w:pPr>
        <w:pStyle w:val="Bibliography"/>
      </w:pPr>
      <w:r>
        <w:t xml:space="preserve">21.</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3"/>
    <w:bookmarkStart w:id="74" w:name="ref-delpierre_wood_2016"/>
    <w:p>
      <w:pPr>
        <w:pStyle w:val="Bibliography"/>
      </w:pPr>
      <w:r>
        <w:t xml:space="preserve">22.</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23.</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24.</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babst_twentieth_2019"/>
    <w:p>
      <w:pPr>
        <w:pStyle w:val="Bibliography"/>
      </w:pPr>
      <w:r>
        <w:t xml:space="preserve">25.</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7"/>
    <w:bookmarkStart w:id="79" w:name="ref-gao_earlier_2022"/>
    <w:p>
      <w:pPr>
        <w:pStyle w:val="Bibliography"/>
      </w:pPr>
      <w:r>
        <w:t xml:space="preserve">26.</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8">
        <w:r>
          <w:rPr>
            <w:rStyle w:val="Hyperlink"/>
          </w:rPr>
          <w:t xml:space="preserve">10.1038/s41559-022-01668-4</w:t>
        </w:r>
      </w:hyperlink>
      <w:r>
        <w:t xml:space="preserve">.</w:t>
      </w:r>
    </w:p>
    <w:bookmarkEnd w:id="79"/>
    <w:bookmarkStart w:id="80" w:name="ref-zweifel_why_2021"/>
    <w:p>
      <w:pPr>
        <w:pStyle w:val="Bibliography"/>
      </w:pPr>
      <w:r>
        <w:t xml:space="preserve">27.</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0"/>
    <w:bookmarkStart w:id="81" w:name="ref-tumajer_limitation_2022"/>
    <w:p>
      <w:pPr>
        <w:pStyle w:val="Bibliography"/>
      </w:pPr>
      <w:r>
        <w:t xml:space="preserve">28.</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1"/>
    <w:bookmarkStart w:id="82" w:name="ref-etzold_number_2022"/>
    <w:p>
      <w:pPr>
        <w:pStyle w:val="Bibliography"/>
      </w:pPr>
      <w:r>
        <w:t xml:space="preserve">29.</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2"/>
    <w:bookmarkStart w:id="83" w:name="ref-zani_increased_2020"/>
    <w:p>
      <w:pPr>
        <w:pStyle w:val="Bibliography"/>
      </w:pPr>
      <w:r>
        <w:t xml:space="preserve">30.</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3"/>
    <w:bookmarkStart w:id="84" w:name="ref-zohner_how_2021"/>
    <w:p>
      <w:pPr>
        <w:pStyle w:val="Bibliography"/>
      </w:pPr>
      <w:r>
        <w:t xml:space="preserve">31.</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4"/>
    <w:bookmarkStart w:id="85" w:name="ref-dorangeville_drought_2018"/>
    <w:p>
      <w:pPr>
        <w:pStyle w:val="Bibliography"/>
      </w:pPr>
      <w:r>
        <w:t xml:space="preserve">32.</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5"/>
    <w:bookmarkStart w:id="86" w:name="ref-helcoski_growing_2019"/>
    <w:p>
      <w:pPr>
        <w:pStyle w:val="Bibliography"/>
      </w:pPr>
      <w:r>
        <w:t xml:space="preserve">33.</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6"/>
    <w:bookmarkStart w:id="87" w:name="ref-mcmahon_general_2015"/>
    <w:p>
      <w:pPr>
        <w:pStyle w:val="Bibliography"/>
      </w:pPr>
      <w:r>
        <w:t xml:space="preserve">34.</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7"/>
    <w:bookmarkStart w:id="88" w:name="ref-dorangeville_peak_2022"/>
    <w:p>
      <w:pPr>
        <w:pStyle w:val="Bibliography"/>
      </w:pPr>
      <w:r>
        <w:t xml:space="preserve">35.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8"/>
    <w:bookmarkStart w:id="89" w:name="ref-richardson_seasonal_2013"/>
    <w:p>
      <w:pPr>
        <w:pStyle w:val="Bibliography"/>
      </w:pPr>
      <w:r>
        <w:t xml:space="preserve">36.</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9"/>
    <w:bookmarkStart w:id="90" w:name="ref-elmore_earlier_2016"/>
    <w:p>
      <w:pPr>
        <w:pStyle w:val="Bibliography"/>
      </w:pPr>
      <w:r>
        <w:t xml:space="preserve">37.</w:t>
      </w:r>
      <w:r>
        <w:t xml:space="preserve"> </w:t>
      </w:r>
      <w:r>
        <w:t xml:space="preserve">	</w:t>
      </w:r>
      <w:r>
        <w:t xml:space="preserve">Elmore, A. J., Nelson, D. M. &amp; Craine, J. M. Earlier springs are causing reduced nitrogen availability in</w:t>
      </w:r>
      <w:r>
        <w:t xml:space="preserve"> </w:t>
      </w:r>
      <w:r>
        <w:t xml:space="preserve">North American</w:t>
      </w:r>
      <w:r>
        <w:t xml:space="preserve"> </w:t>
      </w:r>
      <w:r>
        <w:t xml:space="preserve">eastern deciduous forests.</w:t>
      </w:r>
      <w:r>
        <w:t xml:space="preserve"> </w:t>
      </w:r>
      <w:r>
        <w:rPr>
          <w:iCs/>
          <w:i/>
        </w:rPr>
        <w:t xml:space="preserve">Nature Plants</w:t>
      </w:r>
      <w:r>
        <w:t xml:space="preserve"> </w:t>
      </w:r>
      <w:r>
        <w:rPr>
          <w:bCs/>
          <w:b/>
        </w:rPr>
        <w:t xml:space="preserve">2</w:t>
      </w:r>
      <w:r>
        <w:t xml:space="preserve">, 16133 (2016).</w:t>
      </w:r>
    </w:p>
    <w:bookmarkEnd w:id="90"/>
    <w:bookmarkStart w:id="91" w:name="ref-cuny_woody_2015"/>
    <w:p>
      <w:pPr>
        <w:pStyle w:val="Bibliography"/>
      </w:pPr>
      <w:r>
        <w:t xml:space="preserve">38.</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1"/>
    <w:bookmarkStart w:id="92" w:name="ref-tardif_influence_2006"/>
    <w:p>
      <w:pPr>
        <w:pStyle w:val="Bibliography"/>
      </w:pPr>
      <w:r>
        <w:t xml:space="preserve">39.</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2"/>
    <w:bookmarkStart w:id="93" w:name="ref-roibu_climatic_2020"/>
    <w:p>
      <w:pPr>
        <w:pStyle w:val="Bibliography"/>
      </w:pPr>
      <w:r>
        <w:t xml:space="preserve">40.</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3"/>
    <w:bookmarkStart w:id="94" w:name="ref-kern_multiple_2013"/>
    <w:p>
      <w:pPr>
        <w:pStyle w:val="Bibliography"/>
      </w:pPr>
      <w:r>
        <w:t xml:space="preserve">41.</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4"/>
    <w:bookmarkStart w:id="95" w:name="ref-trumbore_quantifying_2002"/>
    <w:p>
      <w:pPr>
        <w:pStyle w:val="Bibliography"/>
      </w:pPr>
      <w:r>
        <w:t xml:space="preserve">42.</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5"/>
    <w:bookmarkStart w:id="97" w:name="ref-delgado_differences_2020"/>
    <w:p>
      <w:pPr>
        <w:pStyle w:val="Bibliography"/>
      </w:pPr>
      <w:r>
        <w:t xml:space="preserve">43.</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6">
        <w:r>
          <w:rPr>
            <w:rStyle w:val="Hyperlink"/>
          </w:rPr>
          <w:t xml:space="preserve">10.1073/pnas.2002713117</w:t>
        </w:r>
      </w:hyperlink>
      <w:r>
        <w:t xml:space="preserve">.</w:t>
      </w:r>
    </w:p>
    <w:bookmarkEnd w:id="97"/>
    <w:bookmarkStart w:id="98" w:name="ref-anderson-teixeira_joint_2022"/>
    <w:p>
      <w:pPr>
        <w:pStyle w:val="Bibliography"/>
      </w:pPr>
      <w:r>
        <w:t xml:space="preserve">44.</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8"/>
    <w:bookmarkStart w:id="99" w:name="ref-banburymorgan_global_2021"/>
    <w:p>
      <w:pPr>
        <w:pStyle w:val="Bibliography"/>
      </w:pPr>
      <w:r>
        <w:t xml:space="preserve">45.</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46.</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47.</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48.</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49.</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50.</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51.</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52.</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53.</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harris_version_2020"/>
    <w:p>
      <w:pPr>
        <w:pStyle w:val="Bibliography"/>
      </w:pPr>
      <w:r>
        <w:t xml:space="preserve">54.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8"/>
    <w:bookmarkStart w:id="109" w:name="ref-vicente-serrano_multiscalar_2010"/>
    <w:p>
      <w:pPr>
        <w:pStyle w:val="Bibliography"/>
      </w:pPr>
      <w:r>
        <w:t xml:space="preserve">55.</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9"/>
    <w:bookmarkStart w:id="110" w:name="ref-herrmann_tree_2016"/>
    <w:p>
      <w:pPr>
        <w:pStyle w:val="Bibliography"/>
      </w:pPr>
      <w:r>
        <w:t xml:space="preserve">56.</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0"/>
    <w:bookmarkStart w:id="112" w:name="ref-friedl_mcd12q2_2019"/>
    <w:p>
      <w:pPr>
        <w:pStyle w:val="Bibliography"/>
      </w:pPr>
      <w:r>
        <w:t xml:space="preserve">57.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1">
        <w:r>
          <w:rPr>
            <w:rStyle w:val="Hyperlink"/>
          </w:rPr>
          <w:t xml:space="preserve">10.5067/MODIS/MCD12Q2.006</w:t>
        </w:r>
      </w:hyperlink>
      <w:r>
        <w:t xml:space="preserve">.</w:t>
      </w:r>
    </w:p>
    <w:bookmarkEnd w:id="112"/>
    <w:bookmarkStart w:id="114" w:name="ref-anderson-teixeira_forestgeo_2020"/>
    <w:p>
      <w:pPr>
        <w:pStyle w:val="Bibliography"/>
      </w:pPr>
      <w:r>
        <w:t xml:space="preserve">58.</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3">
        <w:r>
          <w:rPr>
            <w:rStyle w:val="Hyperlink"/>
          </w:rPr>
          <w:t xml:space="preserve">10.5281/ZENODO.4041609</w:t>
        </w:r>
      </w:hyperlink>
      <w:r>
        <w:t xml:space="preserve">.</w:t>
      </w:r>
    </w:p>
    <w:bookmarkEnd w:id="114"/>
    <w:bookmarkStart w:id="115" w:name="ref-benestad_empiricalstatistical_2008"/>
    <w:p>
      <w:pPr>
        <w:pStyle w:val="Bibliography"/>
      </w:pPr>
      <w:r>
        <w:t xml:space="preserve">59.</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5"/>
    <w:bookmarkStart w:id="117" w:name="ref-boose_shaler_2021"/>
    <w:p>
      <w:pPr>
        <w:pStyle w:val="Bibliography"/>
      </w:pPr>
      <w:r>
        <w:t xml:space="preserve">60.</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6">
        <w:r>
          <w:rPr>
            <w:rStyle w:val="Hyperlink"/>
          </w:rPr>
          <w:t xml:space="preserve">10.6073/PASTA/213335F5DAA17222A738C105B9FA60C4</w:t>
        </w:r>
      </w:hyperlink>
      <w:r>
        <w:t xml:space="preserve">.</w:t>
      </w:r>
    </w:p>
    <w:bookmarkEnd w:id="117"/>
    <w:bookmarkStart w:id="119" w:name="ref-boose_fisher_2021"/>
    <w:p>
      <w:pPr>
        <w:pStyle w:val="Bibliography"/>
      </w:pPr>
      <w:r>
        <w:t xml:space="preserve">61.</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8">
        <w:r>
          <w:rPr>
            <w:rStyle w:val="Hyperlink"/>
          </w:rPr>
          <w:t xml:space="preserve">10.6073/PASTA/69E92642B512897032446CFE795CFFB8</w:t>
        </w:r>
      </w:hyperlink>
      <w:r>
        <w:t xml:space="preserve">.</w:t>
      </w:r>
    </w:p>
    <w:bookmarkEnd w:id="119"/>
    <w:bookmarkStart w:id="120" w:name="ref-begueria_standardized_2014"/>
    <w:p>
      <w:pPr>
        <w:pStyle w:val="Bibliography"/>
      </w:pPr>
      <w:r>
        <w:t xml:space="preserve">62.</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0"/>
    <w:bookmarkStart w:id="121" w:name="ref-vicente-serrano_multiscalar_2010a"/>
    <w:p>
      <w:pPr>
        <w:pStyle w:val="Bibliography"/>
      </w:pPr>
      <w:r>
        <w:t xml:space="preserve">63.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1"/>
    <w:bookmarkStart w:id="122" w:name="ref-vandepol_identifying_2016"/>
    <w:p>
      <w:pPr>
        <w:pStyle w:val="Bibliography"/>
      </w:pPr>
      <w:r>
        <w:t xml:space="preserve">64.</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65.</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developmentteam_stan_2019"/>
    <w:p>
      <w:pPr>
        <w:pStyle w:val="Bibliography"/>
      </w:pPr>
      <w:r>
        <w:t xml:space="preserve">66.</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stokes_introduction_1968"/>
    <w:p>
      <w:pPr>
        <w:pStyle w:val="Bibliography"/>
      </w:pPr>
      <w:r>
        <w:t xml:space="preserve">67.</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speer_fundamentals_2010"/>
    <w:p>
      <w:pPr>
        <w:pStyle w:val="Bibliography"/>
      </w:pPr>
      <w:r>
        <w:t xml:space="preserve">68.</w:t>
      </w:r>
      <w:r>
        <w:t xml:space="preserve"> </w:t>
      </w:r>
      <w:r>
        <w:t xml:space="preserve">	</w:t>
      </w:r>
      <w:r>
        <w:t xml:space="preserve">Speer, J. H.</w:t>
      </w:r>
      <w:r>
        <w:t xml:space="preserve"> </w:t>
      </w:r>
      <w:r>
        <w:rPr>
          <w:iCs/>
          <w:i/>
        </w:rPr>
        <w:t xml:space="preserve">Fundamentals of tree-ring research</w:t>
      </w:r>
      <w:r>
        <w:t xml:space="preserve">. (</w:t>
      </w:r>
      <w:r>
        <w:t xml:space="preserve">Univ. of Arizona Press</w:t>
      </w:r>
      <w:r>
        <w:t xml:space="preserve">, 2010).</w:t>
      </w:r>
    </w:p>
    <w:bookmarkEnd w:id="126"/>
    <w:bookmarkStart w:id="127" w:name="ref-alexander_potential_2019"/>
    <w:p>
      <w:pPr>
        <w:pStyle w:val="Bibliography"/>
      </w:pPr>
      <w:r>
        <w:t xml:space="preserve">69.</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7"/>
    <w:bookmarkStart w:id="128" w:name="ref-dye_comparing_2016"/>
    <w:p>
      <w:pPr>
        <w:pStyle w:val="Bibliography"/>
      </w:pPr>
      <w:r>
        <w:t xml:space="preserve">70.</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8"/>
    <w:bookmarkStart w:id="129" w:name="ref-pederson_climatic_2005"/>
    <w:p>
      <w:pPr>
        <w:pStyle w:val="Bibliography"/>
      </w:pPr>
      <w:r>
        <w:t xml:space="preserve">71.</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29"/>
    <w:bookmarkStart w:id="130"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0"/>
    <w:bookmarkStart w:id="132" w:name="ref-cook_methods_1990"/>
    <w:p>
      <w:pPr>
        <w:pStyle w:val="Bibliography"/>
      </w:pPr>
      <w:r>
        <w:t xml:space="preserve">73.</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1">
        <w:r>
          <w:rPr>
            <w:rStyle w:val="Hyperlink"/>
          </w:rPr>
          <w:t xml:space="preserve">10.1007/978-94-015-7879-0</w:t>
        </w:r>
      </w:hyperlink>
      <w:r>
        <w:t xml:space="preserve">.</w:t>
      </w:r>
    </w:p>
    <w:bookmarkEnd w:id="132"/>
    <w:bookmarkStart w:id="133"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3"/>
    <w:bookmarkStart w:id="134"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4"/>
    <w:bookmarkStart w:id="135"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5"/>
    <w:bookmarkStart w:id="136" w:name="ref-rcoreteam_language_2020"/>
    <w:p>
      <w:pPr>
        <w:pStyle w:val="Bibliography"/>
      </w:pPr>
      <w:r>
        <w:t xml:space="preserve">77.</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6"/>
    <w:bookmarkStart w:id="137"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7"/>
    <w:bookmarkStart w:id="138"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8"/>
    <w:bookmarkEnd w:id="139"/>
    <w:bookmarkEnd w:id="140"/>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9" Target="https://cran.r-project.org/web/packages/climwin/index.html" TargetMode="External" /><Relationship Type="http://schemas.openxmlformats.org/officeDocument/2006/relationships/hyperlink" Id="rId44" Target="https://developers.google.com/earth-engine/datasets/catalog/MODIS_006_MCD12Q2#description" TargetMode="External" /><Relationship Type="http://schemas.openxmlformats.org/officeDocument/2006/relationships/hyperlink" Id="rId131"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36" Target="https://github.com/EcoClimLab/growth_phenology" TargetMode="External" /><Relationship Type="http://schemas.openxmlformats.org/officeDocument/2006/relationships/hyperlink" Id="rId37" Target="https://github.com/SCBI-ForestGEO/Dendrobands" TargetMode="External" /><Relationship Type="http://schemas.openxmlformats.org/officeDocument/2006/relationships/hyperlink" Id="rId42" Target="https://github.com/forestgeo/Climate/tree/master/Climate_Data/CRU" TargetMode="External" /><Relationship Type="http://schemas.openxmlformats.org/officeDocument/2006/relationships/hyperlink" Id="rId39" Target="https://github.com/forestgeo/Climate/tree/master/Climate_Data/Met_Stations/SCBI" TargetMode="External" /><Relationship Type="http://schemas.openxmlformats.org/officeDocument/2006/relationships/hyperlink" Id="rId43" Target="https://github.com/forestgeo/Climate/tree/master/Climate_Data/SPEI" TargetMode="External" /><Relationship Type="http://schemas.openxmlformats.org/officeDocument/2006/relationships/hyperlink" Id="rId50" Target="https://github.com/seanmcm/RDendrom/" TargetMode="External" /><Relationship Type="http://schemas.openxmlformats.org/officeDocument/2006/relationships/hyperlink" Id="rId47" Target="https://harvardforest.fas.harvard.edu/harvard-forest-data-archive" TargetMode="External" /><Relationship Type="http://schemas.openxmlformats.org/officeDocument/2006/relationships/hyperlink" Id="rId41" Target="https://harvardforest1.fas.harvard.edu/exist/apps/datasets/showData.html?id=HF000" TargetMode="External" /><Relationship Type="http://schemas.openxmlformats.org/officeDocument/2006/relationships/hyperlink" Id="rId40" Target="https://harvardforest1.fas.harvard.edu/exist/apps/datasets/showData.html?id=HF001" TargetMode="External" /><Relationship Type="http://schemas.openxmlformats.org/officeDocument/2006/relationships/hyperlink" Id="rId38"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45" Target="https://www.ncei.noaa.gov/products/paleoclimatology/tree-ring" TargetMode="External" /><Relationship Type="http://schemas.openxmlformats.org/officeDocument/2006/relationships/hyperlink" Id="rId46" Target="https://www.uvm.edu/femc/dendro/"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web/packages/climwin/index.html" TargetMode="External" /><Relationship Type="http://schemas.openxmlformats.org/officeDocument/2006/relationships/hyperlink" Id="rId44" Target="https://developers.google.com/earth-engine/datasets/catalog/MODIS_006_MCD12Q2#description" TargetMode="External" /><Relationship Type="http://schemas.openxmlformats.org/officeDocument/2006/relationships/hyperlink" Id="rId131"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36" Target="https://github.com/EcoClimLab/growth_phenology" TargetMode="External" /><Relationship Type="http://schemas.openxmlformats.org/officeDocument/2006/relationships/hyperlink" Id="rId37" Target="https://github.com/SCBI-ForestGEO/Dendrobands" TargetMode="External" /><Relationship Type="http://schemas.openxmlformats.org/officeDocument/2006/relationships/hyperlink" Id="rId42" Target="https://github.com/forestgeo/Climate/tree/master/Climate_Data/CRU" TargetMode="External" /><Relationship Type="http://schemas.openxmlformats.org/officeDocument/2006/relationships/hyperlink" Id="rId39" Target="https://github.com/forestgeo/Climate/tree/master/Climate_Data/Met_Stations/SCBI" TargetMode="External" /><Relationship Type="http://schemas.openxmlformats.org/officeDocument/2006/relationships/hyperlink" Id="rId43" Target="https://github.com/forestgeo/Climate/tree/master/Climate_Data/SPEI" TargetMode="External" /><Relationship Type="http://schemas.openxmlformats.org/officeDocument/2006/relationships/hyperlink" Id="rId50" Target="https://github.com/seanmcm/RDendrom/" TargetMode="External" /><Relationship Type="http://schemas.openxmlformats.org/officeDocument/2006/relationships/hyperlink" Id="rId47" Target="https://harvardforest.fas.harvard.edu/harvard-forest-data-archive" TargetMode="External" /><Relationship Type="http://schemas.openxmlformats.org/officeDocument/2006/relationships/hyperlink" Id="rId41" Target="https://harvardforest1.fas.harvard.edu/exist/apps/datasets/showData.html?id=HF000" TargetMode="External" /><Relationship Type="http://schemas.openxmlformats.org/officeDocument/2006/relationships/hyperlink" Id="rId40" Target="https://harvardforest1.fas.harvard.edu/exist/apps/datasets/showData.html?id=HF001" TargetMode="External" /><Relationship Type="http://schemas.openxmlformats.org/officeDocument/2006/relationships/hyperlink" Id="rId38"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45" Target="https://www.ncei.noaa.gov/products/paleoclimatology/tree-ring" TargetMode="External" /><Relationship Type="http://schemas.openxmlformats.org/officeDocument/2006/relationships/hyperlink" Id="rId46" Target="https://www.uvm.edu/femc/dendro/"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2022-04-27T18:59:52Z</dcterms:created>
  <dcterms:modified xsi:type="dcterms:W3CDTF">2022-04-27T18:59:52Z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