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bCs/>
          <w:b/>
        </w:rPr>
        <w:t xml:space="preserve"> </w:t>
      </w:r>
      <w:r>
        <w:rPr>
          <w:bCs/>
          <w:b/>
        </w:rPr>
        <w:t xml:space="preserve">and commencement of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1,4,5,3,</w:t>
      </w:r>
      <w:r>
        <w:rPr>
          <w:vertAlign w:val="superscript"/>
          <w:bCs/>
          <w:b/>
        </w:rPr>
        <w:t xml:space="preserve"> </w:t>
      </w:r>
      <w:r>
        <w:rPr>
          <w:vertAlign w:val="superscript"/>
          <w:bCs/>
          <w:b/>
        </w:rPr>
        <w:t xml:space="preserve">6,7</w:t>
      </w:r>
      <w:r>
        <w:rPr>
          <w:bCs/>
          <w:b/>
        </w:rPr>
        <w:t xml:space="preserve">.</w:t>
      </w:r>
      <w:r>
        <w:t xml:space="preserve"> </w:t>
      </w:r>
      <w:r>
        <w:rPr>
          <w:bCs/>
          <w:b/>
        </w:rPr>
        <w:t xml:space="preserve">However, less is known about how spring temperatures affect tree stem growth</w:t>
      </w:r>
      <w:r>
        <w:rPr>
          <w:vertAlign w:val="superscript"/>
          <w:bCs/>
          <w:b/>
        </w:rPr>
        <w:t xml:space="preserve">8,9</w:t>
      </w:r>
      <w:r>
        <w:rPr>
          <w:bCs/>
          <w:b/>
        </w:rPr>
        <w:t xml:space="preserve">, which sequesters carbon (C) in wood that has a long residence time in the ecosystem</w:t>
      </w:r>
      <w:r>
        <w:rPr>
          <w:vertAlign w:val="superscript"/>
          <w:bCs/>
          <w:b/>
        </w:rPr>
        <w:t xml:space="preserve">10,11</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4,5</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1,12</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13</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13</w:t>
      </w:r>
      <w:r>
        <w:t xml:space="preserve">,</w:t>
      </w:r>
      <w:r>
        <w:t xml:space="preserve"> </w:t>
      </w:r>
      <w:r>
        <w:t xml:space="preserve"> </w:t>
      </w:r>
      <w:r>
        <w:t xml:space="preserve">with temperate deciduous forests sequestering &gt;0.3 Gt C yr</w:t>
      </w:r>
      <w:r>
        <w:rPr>
          <w:vertAlign w:val="superscript"/>
        </w:rPr>
        <w:t xml:space="preserve">-1</w:t>
      </w:r>
      <w:r>
        <w:t xml:space="preserve">.</w:t>
      </w:r>
      <w:r>
        <w:rPr>
          <w:vertAlign w:val="superscript"/>
        </w:rPr>
        <w:t xml:space="preserve">14</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15–17</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1,3,18</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1,18</w:t>
      </w:r>
      <w:r>
        <w:t xml:space="preserve">.</w:t>
      </w:r>
      <w:r>
        <w:t xml:space="preserve"> </w:t>
      </w:r>
      <w:r>
        <w:t xml:space="preserve">Based on these observations, current terrestrial ecosystem models represent warm springs and longer growing seasons as contributing positively to annual gross primary productivity (</w:t>
      </w:r>
      <w:r>
        <w:rPr>
          <w:iCs/>
          <w:i/>
        </w:rPr>
        <w:t xml:space="preserve">GPP</w:t>
      </w:r>
      <w:r>
        <w:t xml:space="preserve">) and net CO</w:t>
      </w:r>
      <w:r>
        <w:rPr>
          <w:vertAlign w:val="subscript"/>
        </w:rPr>
        <w:t xml:space="preserve">2</w:t>
      </w:r>
      <w:r>
        <w:t xml:space="preserve"> </w:t>
      </w:r>
      <w:r>
        <w:t xml:space="preserve">uptake (i.e., net ecosystem exchange,</w:t>
      </w:r>
      <w:r>
        <w:t xml:space="preserve"> </w:t>
      </w:r>
      <w:r>
        <w:rPr>
          <w:iCs/>
          <w:i/>
        </w:rPr>
        <w:t xml:space="preserve">NEE</w:t>
      </w:r>
      <w:r>
        <w:t xml:space="preserve">)</w:t>
      </w:r>
      <w:r>
        <w:rPr>
          <w:vertAlign w:val="superscript"/>
        </w:rPr>
        <w:t xml:space="preserve">2,12,15</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10,11</w:t>
      </w:r>
      <w:r>
        <w:t xml:space="preserve">, as opposed to being rapidly released back to the atmosphere through respiration</w:t>
      </w:r>
      <w:r>
        <w:rPr>
          <w:vertAlign w:val="superscript"/>
        </w:rPr>
        <w:t xml:space="preserve">19,20</w:t>
      </w:r>
      <w:r>
        <w:t xml:space="preserve">.</w:t>
      </w:r>
      <w:r>
        <w:t xml:space="preserve"> </w:t>
      </w:r>
      <w:r>
        <w:t xml:space="preserve">Model representation of C allocation to stem growth – or woody aboveground net primary productivity (</w:t>
      </w:r>
      <w:r>
        <w:rPr>
          <w:iCs/>
          <w:i/>
        </w:rPr>
        <w:t xml:space="preserve">ANPP</w:t>
      </w:r>
      <w:r>
        <w:rPr>
          <w:vertAlign w:val="subscript"/>
          <w:iCs/>
          <w:i/>
        </w:rPr>
        <w:t xml:space="preserve">woody</w:t>
      </w:r>
      <w:r>
        <w:t xml:space="preserve">) on the ecosystem level – does not capture known decoupling of stem growth from photosynthate production</w:t>
      </w:r>
      <w:r>
        <w:rPr>
          <w:vertAlign w:val="superscript"/>
        </w:rPr>
        <w:t xml:space="preserve">9,17,21</w:t>
      </w:r>
      <w:r>
        <w:t xml:space="preserve">.</w:t>
      </w:r>
      <w:r>
        <w:t xml:space="preserve"> </w:t>
      </w:r>
      <w:r>
        <w:t xml:space="preserve">As a result, the consequences of rising spring temperatures on stem growth may not be accurately represented in models</w:t>
      </w:r>
      <w:r>
        <w:rPr>
          <w:vertAlign w:val="superscript"/>
        </w:rPr>
        <w:t xml:space="preserve">9,17</w:t>
      </w:r>
      <w:r>
        <w:t xml:space="preserve">.</w:t>
      </w:r>
      <w:r>
        <w:t xml:space="preserve"> </w:t>
      </w:r>
      <w:r>
        <w:t xml:space="preserve">Understanding the sensitivity of</w:t>
      </w:r>
      <w:r>
        <w:t xml:space="preserve"> </w:t>
      </w:r>
      <w:r>
        <w:rPr>
          <w:iCs/>
          <w:i/>
        </w:rPr>
        <w:t xml:space="preserve">ANPP</w:t>
      </w:r>
      <w:r>
        <w:rPr>
          <w:vertAlign w:val="subscript"/>
          <w:iCs/>
          <w:i/>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22,</w:t>
      </w:r>
      <w:r>
        <w:rPr>
          <w:vertAlign w:val="superscript"/>
        </w:rPr>
        <w:t xml:space="preserve"> </w:t>
      </w:r>
      <w:r>
        <w:rPr>
          <w:vertAlign w:val="superscript"/>
        </w:rPr>
        <w:t xml:space="preserve">23</w:t>
      </w:r>
      <w:r>
        <w:t xml:space="preserve"> </w:t>
      </w:r>
      <w:r>
        <w:t xml:space="preserve">and increased annual growth in mesic climates</w:t>
      </w:r>
      <w:r>
        <w:rPr>
          <w:vertAlign w:val="superscript"/>
        </w:rPr>
        <w:t xml:space="preserve">24,</w:t>
      </w:r>
      <w:r>
        <w:rPr>
          <w:vertAlign w:val="superscript"/>
        </w:rPr>
        <w:t xml:space="preserve"> </w:t>
      </w:r>
      <w:r>
        <w:rPr>
          <w:vertAlign w:val="superscript"/>
        </w:rPr>
        <w:t xml:space="preserve">25</w:t>
      </w:r>
      <w:r>
        <w:t xml:space="preserve">.</w:t>
      </w:r>
      <w:r>
        <w:t xml:space="preserve"> </w:t>
      </w:r>
      <w:r>
        <w:t xml:space="preserve">In contrast, we have little evidence as to how stem growth and</w:t>
      </w:r>
      <w:r>
        <w:t xml:space="preserve"> </w:t>
      </w:r>
      <w:r>
        <w:rPr>
          <w:iCs/>
          <w:i/>
        </w:rPr>
        <w:t xml:space="preserve">ANPP</w:t>
      </w:r>
      <w:r>
        <w:rPr>
          <w:vertAlign w:val="subscript"/>
          <w:iCs/>
          <w:i/>
        </w:rPr>
        <w:t xml:space="preserve">woody</w:t>
      </w:r>
      <w:r>
        <w:t xml:space="preserve"> </w:t>
      </w:r>
      <w:r>
        <w:t xml:space="preserve">respond to warmer spring temperatures in deciduous forests</w:t>
      </w:r>
      <w:r>
        <w:rPr>
          <w:vertAlign w:val="superscript"/>
        </w:rPr>
        <w:t xml:space="preserve">8,9</w:t>
      </w:r>
      <w:r>
        <w:t xml:space="preserve">.</w:t>
      </w:r>
      <w:r>
        <w:t xml:space="preserve"> </w:t>
      </w:r>
      <w:r>
        <w:t xml:space="preserve">Close coordination of budburst and initiation of xylogenesis</w:t>
      </w:r>
      <w:r>
        <w:rPr>
          <w:vertAlign w:val="superscript"/>
        </w:rPr>
        <w:t xml:space="preserve">9</w:t>
      </w:r>
      <w:r>
        <w:t xml:space="preserve"> </w:t>
      </w:r>
      <w:r>
        <w:t xml:space="preserve">suggests that warm springs should shift the onset of growth earlier alongside observed advances in leaf phenology</w:t>
      </w:r>
      <w:r>
        <w:rPr>
          <w:vertAlign w:val="superscript"/>
        </w:rPr>
        <w:t xml:space="preserve">1,2,3</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26,27</w:t>
      </w:r>
      <w:r>
        <w:t xml:space="preserve">, and annual growth is more closely linked to conditions within the growing season than to growing season length</w:t>
      </w:r>
      <w:r>
        <w:rPr>
          <w:vertAlign w:val="superscript"/>
        </w:rPr>
        <w:t xml:space="preserve">28</w:t>
      </w:r>
      <w:r>
        <w:t xml:space="preserve">,</w:t>
      </w:r>
      <w:r>
        <w:t xml:space="preserve"> </w:t>
      </w:r>
      <w:r>
        <w:rPr>
          <w:iCs/>
          <w:i/>
        </w:rPr>
        <w:t xml:space="preserve">GPP</w:t>
      </w:r>
      <w:r>
        <w:rPr>
          <w:vertAlign w:val="superscript"/>
        </w:rPr>
        <w:t xml:space="preserve">21</w:t>
      </w:r>
      <w:r>
        <w:t xml:space="preserve">, or</w:t>
      </w:r>
      <w:r>
        <w:t xml:space="preserve"> </w:t>
      </w:r>
      <w:r>
        <w:rPr>
          <w:iCs/>
          <w:i/>
        </w:rPr>
        <w:t xml:space="preserve">NEE</w:t>
      </w:r>
      <w:r>
        <w:rPr>
          <w:vertAlign w:val="superscript"/>
        </w:rPr>
        <w:t xml:space="preserve">21</w:t>
      </w:r>
      <w:r>
        <w:t xml:space="preserve">.</w:t>
      </w:r>
      <w:r>
        <w:t xml:space="preserve"> </w:t>
      </w:r>
      <w:r>
        <w:t xml:space="preserve">Furthermore, growth of broadleaf deciduous trees may be sink-saturated</w:t>
      </w:r>
      <w:r>
        <w:rPr>
          <w:vertAlign w:val="superscript"/>
        </w:rPr>
        <w:t xml:space="preserve">17,29</w:t>
      </w:r>
      <w:r>
        <w:t xml:space="preserve">, such that longer growing seasons with more C fixation do not necessarily augment growth</w:t>
      </w:r>
      <w:r>
        <w:rPr>
          <w:vertAlign w:val="superscript"/>
        </w:rPr>
        <w:t xml:space="preserve">21,30,31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25,33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1,18</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w:r>
        <w:rPr>
          <w:iCs/>
          <w:i/>
        </w:rPr>
        <w:t xml:space="preserve">∆DBH</w:t>
      </w:r>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 Extended Data Figure 1)</w:t>
      </w:r>
      <w:r>
        <w:rPr>
          <w:vertAlign w:val="superscript"/>
        </w:rPr>
        <w:t xml:space="preserve">27,35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w:t>
      </w:r>
      <w:r>
        <w:rPr>
          <w:iCs/>
          <w:i/>
        </w:rPr>
        <w:t xml:space="preserve">CTW</w:t>
      </w:r>
      <w:r>
        <w:t xml:space="preserve">).</w:t>
      </w:r>
      <w:r>
        <w:t xml:space="preserve"> </w:t>
      </w:r>
      <w:r>
        <w:rPr>
          <w:iCs/>
          <w:i/>
        </w:rPr>
        <w:t xml:space="preserve">CTW</w:t>
      </w:r>
      <w:r>
        <w:t xml:space="preserve"> </w:t>
      </w:r>
      <w:r>
        <w:t xml:space="preserve">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2).</w:t>
      </w:r>
      <w:r>
        <w:t xml:space="preserve"> </w:t>
      </w:r>
      <w:r>
        <w:t xml:space="preserve">The</w:t>
      </w:r>
      <w:r>
        <w:t xml:space="preserve"> </w:t>
      </w:r>
      <w:r>
        <w:rPr>
          <w:iCs/>
          <w:i/>
        </w:rPr>
        <w:t xml:space="preserve">CTW</w:t>
      </w:r>
      <w:r>
        <w:t xml:space="preserve"> </w:t>
      </w:r>
      <w:r>
        <w:t xml:space="preserve">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w:t>
      </w:r>
      <w:r>
        <w:rPr>
          <w:iCs/>
          <w:i/>
        </w:rPr>
        <w:t xml:space="preserve">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days/°C at SCBI (p=0.016) and 2.4 days/ °C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(Figs. 1, 2c-d; Extended Data Figures 3-4).</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 °C for ring porous species and 2.8-2.9 days/ °C for diffuse porous species at SCBI, and 10.3-12.3 days/ °C for ring porous species and 0.9-4.2 days/°C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3-4).</w:t>
      </w:r>
    </w:p>
    <w:p>
      <w:pPr>
        <w:pStyle w:val="BodyText"/>
      </w:pPr>
      <w:r>
        <w:t xml:space="preserve">In contrast to the pronounced effects of</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w:r>
        <w:rPr>
          <w:iCs/>
          <w:i/>
        </w:rPr>
        <w:t xml:space="preserve">∆DBH</w:t>
      </w:r>
      <w:r>
        <w:t xml:space="preserve"> </w:t>
      </w:r>
      <w:r>
        <w:t xml:space="preserve">were inconsistent, and usually weak (Fig. 1, Extended Data Figures 3-4).</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w:r>
        <w:rPr>
          <w:iCs/>
          <w:i/>
        </w:rPr>
        <w:t xml:space="preserve">∆DBH</w:t>
      </w:r>
      <w:r>
        <w:t xml:space="preserve"> </w:t>
      </w:r>
      <w:r>
        <w:t xml:space="preserve">displayed a weak positive relationship (+0.003-0.008 cm/ °C)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SCBI and a weak negative relationship (-0.02-0.003 cm/ °C) at Harvard Forest (Extended Data Figure 3).</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5; Extended Data Table 3).</w:t>
      </w:r>
      <w:r>
        <w:t xml:space="preserve"> </w:t>
      </w:r>
      <w:r>
        <w:t xml:space="preserve">In total, our analysis included 207 chronologies representing 24 broadleaf species at 108 sites distributed from Alabama (34.35°N latitude) to Michigan (45.56°N latitude) and spanning a 15 °C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w:t>
      </w:r>
      <w:r>
        <w:rPr>
          <w:iCs/>
          <w:i/>
        </w:rPr>
        <w:t xml:space="preserve">RWI</w:t>
      </w:r>
      <w:r>
        <w:t xml:space="preserve">)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w:t>
      </w:r>
      <w:r>
        <w:t xml:space="preserve"> </w:t>
      </w:r>
      <w:r>
        <w:rPr>
          <w:iCs/>
          <w:i/>
        </w:rPr>
        <w:t xml:space="preserve">RWI</w:t>
      </w:r>
      <w:r>
        <w:t xml:space="preserve"> </w:t>
      </w:r>
      <w:r>
        <w:t xml:space="preserve">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w:t>
      </w:r>
      <w:r>
        <w:t xml:space="preserve"> </w:t>
      </w:r>
      <w:r>
        <w:rPr>
          <w:iCs/>
          <w:i/>
        </w:rPr>
        <w:t xml:space="preserve">RWI</w:t>
      </w:r>
      <w:r>
        <w:t xml:space="preserve"> </w:t>
      </w:r>
      <w:r>
        <w:t xml:space="preserve">(Extended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w:t>
      </w:r>
      <w:r>
        <w:t xml:space="preserve"> </w:t>
      </w:r>
      <w:r>
        <w:rPr>
          <w:iCs/>
          <w:i/>
        </w:rPr>
        <w:t xml:space="preserve">RWI</w:t>
      </w:r>
      <w:r>
        <w:t xml:space="preserve"> </w:t>
      </w:r>
      <w:r>
        <w:t xml:space="preserve">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w:t>
      </w:r>
      <w:r>
        <w:t xml:space="preserve"> </w:t>
      </w:r>
      <w:r>
        <w:rPr>
          <w:iCs/>
          <w:i/>
        </w:rPr>
        <w:t xml:space="preserve">RWI</w:t>
      </w:r>
      <w:r>
        <w:t xml:space="preserve"> </w:t>
      </w:r>
      <w:r>
        <w:t xml:space="preserve">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Results were qualitatively similar to the univariate correlations (Fig. 3), with significant (p ≤ 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t xml:space="preserve"> </w:t>
      </w:r>
      <w:r>
        <w:t xml:space="preserve">and</w:t>
      </w:r>
      <w:r>
        <w:t xml:space="preserve"> </w:t>
      </w:r>
      <w:r>
        <w:rPr>
          <w:iCs/>
          <w:i/>
        </w:rPr>
        <w:t xml:space="preserve">NEE</w:t>
      </w:r>
      <w:r>
        <w:rPr>
          <w:vertAlign w:val="superscript"/>
        </w:rPr>
        <w:t xml:space="preserve">1,3</w:t>
      </w:r>
      <w:r>
        <w:t xml:space="preserve">.</w:t>
      </w:r>
      <w:r>
        <w:t xml:space="preserve"> </w:t>
      </w:r>
      <w:r>
        <w:t xml:space="preserve">However, inconsistent with the concept that an earlier start to growth would increase</w:t>
      </w:r>
      <w:r>
        <w:t xml:space="preserve"> </w:t>
      </w:r>
      <w:r>
        <w:rPr>
          <w:iCs/>
          <w:i/>
        </w:rPr>
        <w:t xml:space="preserve">ANPP</w:t>
      </w:r>
      <w:r>
        <w:rPr>
          <w:vertAlign w:val="subscript"/>
          <w:iCs/>
          <w:i/>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1)</w:t>
      </w:r>
      <w:r>
        <w:rPr>
          <w:vertAlign w:val="superscript"/>
        </w:rPr>
        <w:t xml:space="preserve">3,28</w:t>
      </w:r>
      <w:r>
        <w:t xml:space="preserve">, is driven by cues other than photosynthate limitation, such as water stress</w:t>
      </w:r>
      <w:r>
        <w:rPr>
          <w:vertAlign w:val="superscript"/>
        </w:rPr>
        <w:t xml:space="preserve">21,26,28</w:t>
      </w:r>
      <w:r>
        <w:t xml:space="preserve">, nutrient limitation</w:t>
      </w:r>
      <w:r>
        <w:rPr>
          <w:vertAlign w:val="superscript"/>
        </w:rPr>
        <w:t xml:space="preserve">37</w:t>
      </w:r>
      <w:r>
        <w:t xml:space="preserve">, daylength</w:t>
      </w:r>
      <w:r>
        <w:rPr>
          <w:vertAlign w:val="superscript"/>
        </w:rPr>
        <w:t xml:space="preserve">28</w:t>
      </w:r>
      <w:r>
        <w:t xml:space="preserve">, or sink saturation</w:t>
      </w:r>
      <w:r>
        <w:rPr>
          <w:vertAlign w:val="superscript"/>
        </w:rPr>
        <w:t xml:space="preserve">21,29</w:t>
      </w:r>
      <w:r>
        <w:t xml:space="preserve">.</w:t>
      </w:r>
      <w:r>
        <w:t xml:space="preserve"> </w:t>
      </w:r>
      <w:r>
        <w:t xml:space="preserve">This adds to a growing body of evidence for a sink limitation of stem growth</w:t>
      </w:r>
      <w:r>
        <w:rPr>
          <w:vertAlign w:val="superscript"/>
        </w:rPr>
        <w:t xml:space="preserve">17,21,31</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19,28</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3,18</w:t>
      </w:r>
      <w:r>
        <w:t xml:space="preserve"> </w:t>
      </w:r>
      <w:r>
        <w:t xml:space="preserve">and increase net annual CO</w:t>
      </w:r>
      <w:r>
        <w:rPr>
          <w:vertAlign w:val="subscript"/>
        </w:rPr>
        <w:t xml:space="preserve">2</w:t>
      </w:r>
      <w:r>
        <w:t xml:space="preserve"> </w:t>
      </w:r>
      <w:r>
        <w:t xml:space="preserve">uptake</w:t>
      </w:r>
      <w:r>
        <w:rPr>
          <w:vertAlign w:val="superscript"/>
        </w:rPr>
        <w:t xml:space="preserve">1,4,5,3,</w:t>
      </w:r>
      <w:r>
        <w:rPr>
          <w:vertAlign w:val="superscript"/>
        </w:rPr>
        <w:t xml:space="preserve"> </w:t>
      </w:r>
      <w:r>
        <w:rPr>
          <w:vertAlign w:val="superscript"/>
        </w:rPr>
        <w:t xml:space="preserve">6,7</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w:t>
      </w:r>
      <w:r>
        <w:t xml:space="preserve"> </w:t>
      </w:r>
      <w:r>
        <w:rPr>
          <w:iCs/>
          <w:i/>
        </w:rPr>
        <w:t xml:space="preserve">ANPP</w:t>
      </w:r>
      <w:r>
        <w:rPr>
          <w:vertAlign w:val="subscript"/>
          <w:iCs/>
          <w:i/>
        </w:rPr>
        <w:t xml:space="preserve">woody</w:t>
      </w:r>
      <w:r>
        <w:t xml:space="preserve">, which, although routinely calculated based on stem growth, can be partially decoupled from it through differences in wood density or C content</w:t>
      </w:r>
      <w:r>
        <w:rPr>
          <w:vertAlign w:val="superscript"/>
        </w:rPr>
        <w:t xml:space="preserve">21</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w:t>
      </w:r>
      <w:r>
        <w:t xml:space="preserve"> </w:t>
      </w:r>
      <w:r>
        <w:rPr>
          <w:iCs/>
          <w:i/>
        </w:rPr>
        <w:t xml:space="preserve">ANPP</w:t>
      </w:r>
      <w:r>
        <w:rPr>
          <w:vertAlign w:val="subscript"/>
          <w:iCs/>
          <w:i/>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30</w:t>
      </w:r>
      <w:r>
        <w:t xml:space="preserve">, or root exudates – generally have shorter residence times than woody growth.</w:t>
      </w:r>
      <w:r>
        <w:t xml:space="preserve"> </w:t>
      </w:r>
      <w:r>
        <w:t xml:space="preserve">Indeed, when</w:t>
      </w:r>
      <w:r>
        <w:t xml:space="preserve"> </w:t>
      </w:r>
      <w:r>
        <w:rPr>
          <w:iCs/>
          <w:i/>
        </w:rPr>
        <w:t xml:space="preserve">GPP</w:t>
      </w:r>
      <w:r>
        <w:t xml:space="preserve"> </w:t>
      </w:r>
      <w:r>
        <w:t xml:space="preserve">of a mature forest was increased through experimental CO</w:t>
      </w:r>
      <w:r>
        <w:rPr>
          <w:vertAlign w:val="subscript"/>
        </w:rPr>
        <w:t xml:space="preserve">2</w:t>
      </w:r>
      <w:r>
        <w:t xml:space="preserve"> </w:t>
      </w:r>
      <w:r>
        <w:t xml:space="preserve">enrichment,</w:t>
      </w:r>
      <w:r>
        <w:t xml:space="preserve"> </w:t>
      </w:r>
      <w:r>
        <w:rPr>
          <w:iCs/>
          <w:i/>
        </w:rPr>
        <w:t xml:space="preserve">ANPP</w:t>
      </w:r>
      <w:r>
        <w:rPr>
          <w:vertAlign w:val="subscript"/>
          <w:iCs/>
          <w:i/>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19</w:t>
      </w:r>
      <w:r>
        <w:t xml:space="preserve">.</w:t>
      </w:r>
      <w:r>
        <w:t xml:space="preserve"> </w:t>
      </w:r>
      <w:r>
        <w:t xml:space="preserve">Consistent with this, it has been observed that C gains from an earlier spring can be offset through fall or winter respiration</w:t>
      </w:r>
      <w:r>
        <w:rPr>
          <w:vertAlign w:val="superscript"/>
        </w:rPr>
        <w:t xml:space="preserve">20</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w:t>
      </w:r>
      <w:r>
        <w:t xml:space="preserve"> </w:t>
      </w:r>
      <w:r>
        <w:rPr>
          <w:iCs/>
          <w:i/>
        </w:rPr>
        <w:t xml:space="preserve">NEE</w:t>
      </w:r>
      <w:r>
        <w:t xml:space="preserve"> </w:t>
      </w:r>
      <w:r>
        <w:t xml:space="preserve">by warm springs</w:t>
      </w:r>
      <w:r>
        <w:rPr>
          <w:vertAlign w:val="superscript"/>
        </w:rPr>
        <w:t xml:space="preserve">1,6,7</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w:t>
      </w:r>
      <w:r>
        <w:t xml:space="preserve"> </w:t>
      </w:r>
      <w:r>
        <w:rPr>
          <w:iCs/>
          <w:i/>
        </w:rPr>
        <w:t xml:space="preserve">ANPP</w:t>
      </w:r>
      <w:r>
        <w:rPr>
          <w:vertAlign w:val="subscript"/>
          <w:iCs/>
          <w:i/>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w:t>
      </w:r>
      <w:r>
        <w:t xml:space="preserve"> </w:t>
      </w:r>
      <w:r>
        <w:rPr>
          <w:iCs/>
          <w:i/>
        </w:rPr>
        <w:t xml:space="preserve">ANPP</w:t>
      </w:r>
      <w:r>
        <w:rPr>
          <w:vertAlign w:val="subscript"/>
          <w:iCs/>
          <w:i/>
        </w:rPr>
        <w:t xml:space="preserve">woody</w:t>
      </w:r>
      <w:r>
        <w:rPr>
          <w:vertAlign w:val="superscript"/>
        </w:rPr>
        <w:t xml:space="preserve">45</w:t>
      </w:r>
      <w:r>
        <w:t xml:space="preserve">, and</w:t>
      </w:r>
      <w:r>
        <w:t xml:space="preserve"> </w:t>
      </w:r>
      <w:r>
        <w:rPr>
          <w:iCs/>
          <w:i/>
        </w:rPr>
        <w:t xml:space="preserve">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w:t>
      </w:r>
      <w:r>
        <w:t xml:space="preserve"> </w:t>
      </w:r>
      <w:r>
        <w:rPr>
          <w:iCs/>
          <w:i/>
        </w:rPr>
        <w:t xml:space="preserve">GPP</w:t>
      </w:r>
      <w:r>
        <w:t xml:space="preserve"> </w:t>
      </w:r>
      <w:r>
        <w:t xml:space="preserve">and</w:t>
      </w:r>
      <w:r>
        <w:t xml:space="preserve"> </w:t>
      </w:r>
      <w:r>
        <w:rPr>
          <w:iCs/>
          <w:i/>
        </w:rPr>
        <w:t xml:space="preserve">ANPP</w:t>
      </w:r>
      <w:r>
        <w:rPr>
          <w:vertAlign w:val="subscript"/>
          <w:iCs/>
          <w:i/>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30,47</w:t>
      </w:r>
      <w:r>
        <w:t xml:space="preserve"> </w:t>
      </w:r>
      <w:r>
        <w:t xml:space="preserve">– it is possible that warming spring temperatures could ultimately increase</w:t>
      </w:r>
      <w:r>
        <w:t xml:space="preserve"> </w:t>
      </w:r>
      <w:r>
        <w:rPr>
          <w:iCs/>
          <w:i/>
        </w:rPr>
        <w:t xml:space="preserve">ANPP</w:t>
      </w:r>
      <w:r>
        <w:rPr>
          <w:vertAlign w:val="subscript"/>
          <w:iCs/>
          <w:i/>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21,26,28,48</w:t>
      </w:r>
      <w:r>
        <w:t xml:space="preserve">.</w:t>
      </w:r>
      <w:r>
        <w:t xml:space="preserve"> </w:t>
      </w:r>
      <w:r>
        <w:t xml:space="preserve">Indeed, the timing of peak growth in June and July (Extended Data Table 2, Extended Data Figure 1)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24,32,33,44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25</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1,2,12,31</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15</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 ±1.4°C (mean ± 1SD) prior to the study period (range: 14.1-19.9) and 17.6± 1.7°C (range: 15.6-20) during the study period, while summer SPEI was -0.06± 1.02 (range: -1.7-2.4) prior to the study period and 0.5± 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 1.5°C prior to the study period (range: 8.0-13.2) and 11.2± 1.0°C (range: 10.1-12.2) during the study period, while summer SPEI was 0.1± 0.9 (range: -1.8-1.7) prior to the study period and 0.2± 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w:r>
        <w:rPr>
          <w:iCs/>
          <w:i/>
        </w:rPr>
        <w:t xml:space="preserve">∆DBH</w:t>
      </w:r>
      <w:r>
        <w:t xml:space="preserve"> </w:t>
      </w:r>
      <w:r>
        <w:t xml:space="preserve">≤0.005 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2701</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r>
                <m:rPr>
                  <m:sty m:val="p"/>
                </m:rPr>
                <m:t>[</m:t>
              </m:r>
              <m:r>
                <m:rPr>
                  <m:sty m:val="p"/>
                </m:rPr>
                <m:t>−</m:t>
              </m:r>
              <m:r>
                <m:t>r</m:t>
              </m:r>
              <m:r>
                <m:rPr>
                  <m:sty m:val="p"/>
                </m:rPr>
                <m:t>(</m:t>
              </m:r>
              <m:r>
                <m:t>D</m:t>
              </m:r>
              <m:r>
                <m:t>O</m:t>
              </m:r>
              <m:r>
                <m:t>Y</m:t>
              </m:r>
              <m:r>
                <m:rPr>
                  <m:sty m:val="p"/>
                </m:rPr>
                <m:t>−</m:t>
              </m:r>
              <m:r>
                <m:t>D</m:t>
              </m:r>
              <m:r>
                <m:t>O</m:t>
              </m:r>
              <m:sSub>
                <m:e>
                  <m:r>
                    <m:t>Y</m:t>
                  </m:r>
                </m:e>
                <m:sub>
                  <m:r>
                    <m:t>i</m:t>
                  </m:r>
                  <m:r>
                    <m:t>p</m:t>
                  </m:r>
                </m:sub>
              </m:sSub>
              <m:r>
                <m:rPr>
                  <m:sty m:val="p"/>
                </m:rPr>
                <m:t>)</m:t>
              </m:r>
              <m:r>
                <m:rPr>
                  <m:sty m:val="p"/>
                </m:rPr>
                <m:t>/</m:t>
              </m:r>
              <m:r>
                <m:t>θ</m:t>
              </m:r>
              <m:r>
                <m:rPr>
                  <m:sty m:val="p"/>
                </m:rPr>
                <m:t>)</m:t>
              </m:r>
              <m:sSup>
                <m:e>
                  <m:r>
                    <m:rPr>
                      <m:sty m:val="p"/>
                    </m:rPr>
                    <m:t>]</m:t>
                  </m:r>
                </m:e>
                <m:sup>
                  <m:r>
                    <m:t>θ</m:t>
                  </m:r>
                </m:sup>
              </m:sSup>
            </m:den>
          </m:f>
        </m:oMath>
      </m:oMathPara>
    </w:p>
    <w:p>
      <w:pPr>
        <w:pStyle w:val="FirstParagraph"/>
      </w:pPr>
      <w:r>
        <w:t xml:space="preserve">Here,</w:t>
      </w:r>
      <w:r>
        <w:t xml:space="preserve"> </w:t>
      </w:r>
      <w:r>
        <w:rPr>
          <w:iCs/>
          <w:i/>
        </w:rPr>
        <w:t xml:space="preserve">L</w:t>
      </w:r>
      <w:r>
        <w:t xml:space="preserve"> </w:t>
      </w:r>
      <w:r>
        <w:t xml:space="preserve">and</w:t>
      </w:r>
      <w:r>
        <w:t xml:space="preserve"> </w:t>
      </w:r>
      <w:r>
        <w:rPr>
          <w:iCs/>
          <w:i/>
        </w:rPr>
        <w:t xml:space="preserve">K</w:t>
      </w:r>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w:r>
        <w:rPr>
          <w:iCs/>
          <w:i/>
        </w:rPr>
        <w:t xml:space="preserve">r</w:t>
      </w:r>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w:r>
        <w:rPr>
          <w:iCs/>
          <w:i/>
        </w:rPr>
        <w:t xml:space="preserve">a</w:t>
      </w:r>
      <w:r>
        <w:t xml:space="preserve"> </w:t>
      </w:r>
      <w:r>
        <w:t xml:space="preserve">and</w:t>
      </w:r>
      <w:r>
        <w:t xml:space="preserve"> </w:t>
      </w:r>
      <w:r>
        <w:rPr>
          <w:iCs/>
          <w:i/>
        </w:rPr>
        <w:t xml:space="preserve">b</w:t>
      </w:r>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 ≥2.5 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 ≥2.5 standard deviations away from the means for their site, xylem architecture group, and year (SCBI = 74, Harvard Forest = 101).</w:t>
      </w:r>
      <w:r>
        <w:t xml:space="preserve"> </w:t>
      </w:r>
      <w:r>
        <w:t xml:space="preserve">In total, this process removed 189 of the 2392 tree-year records deemed appropriate for analysis, leaving a total of 2203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w:t>
      </w:r>
      <w:r>
        <w:rPr>
          <w:iCs/>
          <w:i/>
        </w:rPr>
        <w:t xml:space="preserve">CTW</w:t>
      </w:r>
      <w:r>
        <w:t xml:space="preserve">,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w:r>
        <w:rPr>
          <w:iCs/>
          <w:i/>
        </w:rPr>
        <w:t xml:space="preserve">∆AICc</w:t>
      </w:r>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w:r>
        <w:rPr>
          <w:iCs/>
          <w:i/>
        </w:rPr>
        <w:t xml:space="preserve">∆AICc</w:t>
      </w:r>
      <w:r>
        <w:t xml:space="preserve"> </w:t>
      </w:r>
      <w:r>
        <w:t xml:space="preserve">was selected as the</w:t>
      </w:r>
      <w:r>
        <w:t xml:space="preserve"> </w:t>
      </w:r>
      <w:r>
        <w:rPr>
          <w:iCs/>
          <w:i/>
        </w:rPr>
        <w:t xml:space="preserve">CTW</w:t>
      </w:r>
      <w:r>
        <w:t xml:space="preserve">.</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w:t>
      </w:r>
      <w:r>
        <w:t xml:space="preserve"> </w:t>
      </w:r>
      <w:r>
        <w:rPr>
          <w:iCs/>
          <w:i/>
        </w:rPr>
        <w:t xml:space="preserve">CTW</w:t>
      </w:r>
      <w:r>
        <w:t xml:space="preserve"> </w:t>
      </w:r>
      <w:r>
        <w:t xml:space="preserve">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w:t>
      </w:r>
      <w:r>
        <w:t xml:space="preserve"> </w:t>
      </w:r>
      <w:r>
        <w:rPr>
          <w:iCs/>
          <w:i/>
        </w:rPr>
        <w:t xml:space="preserve">CTW</w:t>
      </w:r>
      <w:r>
        <w:t xml:space="preserve">, and to parallel the monthly time windows used in our tree-ring analysis (detailed below; Fig. 3, Extended Data Figure 6-7), we also ran analyses where we fixed the</w:t>
      </w:r>
      <w:r>
        <w:t xml:space="preserve"> </w:t>
      </w:r>
      <w:r>
        <w:rPr>
          <w:iCs/>
          <w:i/>
        </w:rPr>
        <w:t xml:space="preserve">CTW</w:t>
      </w:r>
      <w:r>
        <w:t xml:space="preserve"> </w:t>
      </w:r>
      <w:r>
        <w:t xml:space="preserve">identified by</w:t>
      </w:r>
      <w:r>
        <w:t xml:space="preserve"> </w:t>
      </w:r>
      <w:r>
        <w:rPr>
          <w:iCs/>
          <w:i/>
        </w:rPr>
        <w:t xml:space="preserve">climwin</w:t>
      </w:r>
      <w:r>
        <w:t xml:space="preserve"> </w:t>
      </w:r>
      <w:r>
        <w:t xml:space="preserve">to be the month with the most days in the</w:t>
      </w:r>
      <w:r>
        <w:t xml:space="preserve"> </w:t>
      </w:r>
      <w:r>
        <w:rPr>
          <w:iCs/>
          <w:i/>
        </w:rPr>
        <w:t xml:space="preserve">CTW</w:t>
      </w:r>
      <w:r>
        <w:t xml:space="preserve"> </w:t>
      </w:r>
      <w:r>
        <w:t xml:space="preserve">(Extended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w:r>
        <w:rPr>
          <w:iCs/>
          <w:i/>
        </w:rPr>
        <w:t xml:space="preserve">∆DBH</w:t>
      </w:r>
      <w:r>
        <w:t xml:space="preserve">, Fig. 1) and</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w:t>
      </w:r>
      <w:r>
        <w:t xml:space="preserve"> </w:t>
      </w:r>
      <w:r>
        <w:rPr>
          <w:iCs/>
          <w:i/>
        </w:rPr>
        <w:t xml:space="preserve">CTW</w:t>
      </w:r>
      <w:r>
        <w:t xml:space="preserve">,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R interface to the Stan programming language</w:t>
      </w:r>
      <w:r>
        <w:rPr>
          <w:vertAlign w:val="superscript"/>
        </w:rPr>
        <w:t xml:space="preserve">65,66</w:t>
      </w:r>
      <w:r>
        <w:t xml:space="preserve">.</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w:t>
      </w:r>
      <w:r>
        <w:t xml:space="preserve"> </w:t>
      </w:r>
      <w:r>
        <w:rPr>
          <w:iCs/>
          <w:i/>
        </w:rPr>
        <w:t xml:space="preserve">RWI</w:t>
      </w:r>
      <w:r>
        <w:t xml:space="preserve"> </w:t>
      </w:r>
      <w:r>
        <w:t xml:space="preserve">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w:t>
      </w:r>
      <w:r>
        <w:rPr>
          <w:iCs/>
          <w:i/>
        </w:rPr>
        <w:t xml:space="preserve">RWI</w:t>
      </w:r>
      <w:r>
        <w:t xml:space="preserve">)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 ≥80% of the population signal was captured in the chronology.</w:t>
      </w:r>
    </w:p>
    <w:p>
      <w:pPr>
        <w:pStyle w:val="BodyText"/>
      </w:pPr>
      <w:r>
        <w:t xml:space="preserve">For the analysis of correlation between</w:t>
      </w:r>
      <w:r>
        <w:t xml:space="preserve"> </w:t>
      </w:r>
      <w:r>
        <w:rPr>
          <w:iCs/>
          <w:i/>
        </w:rPr>
        <w:t xml:space="preserve">RWI</w:t>
      </w:r>
      <w:r>
        <w:t xml:space="preserve"> </w:t>
      </w:r>
      <w:r>
        <w:t xml:space="preserve">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 </w:t>
      </w:r>
      <w:r>
        <w:t xml:space="preserve">Correlations between monthly climate and</w:t>
      </w:r>
      <w:r>
        <w:t xml:space="preserve"> </w:t>
      </w:r>
      <w:r>
        <w:rPr>
          <w:iCs/>
          <w:i/>
        </w:rPr>
        <w:t xml:space="preserve">RWI</w:t>
      </w:r>
      <w:r>
        <w:t xml:space="preserve"> </w:t>
      </w:r>
      <w:r>
        <w:t xml:space="preserve">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Reported correlations and significance were determined using bootstrapped confidence intervals. Summary figures were created using the package</w:t>
      </w:r>
      <w:r>
        <w:t xml:space="preserve"> </w:t>
      </w:r>
      <w:r>
        <w:rPr>
          <w:iCs/>
          <w:i/>
        </w:rPr>
        <w:t xml:space="preserve">dplR</w:t>
      </w:r>
      <w:r>
        <w:rPr>
          <w:vertAlign w:val="superscript"/>
        </w:rPr>
        <w:t xml:space="preserve">78</w:t>
      </w:r>
      <w:r>
        <w:t xml:space="preserve"> </w:t>
      </w:r>
      <w:r>
        <w:t xml:space="preserve">(Fig. 3, Extended Data Figures 6-7).</w:t>
      </w:r>
      <w:r>
        <w:br/>
      </w:r>
      <w:r>
        <w:t xml:space="preserve">Our analysis focused on assessing correlations of</w:t>
      </w:r>
      <w:r>
        <w:t xml:space="preserve"> </w:t>
      </w:r>
      <w:r>
        <w:rPr>
          <w:iCs/>
          <w:i/>
        </w:rPr>
        <w:t xml:space="preserve">RWI</w:t>
      </w:r>
      <w:r>
        <w:t xml:space="preserve"> </w:t>
      </w:r>
      <w:r>
        <w:t xml:space="preserve">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We focused on April to represent spring temperatures because it was the month with greatest overall alignment with the</w:t>
      </w:r>
      <w:r>
        <w:t xml:space="preserve"> </w:t>
      </w:r>
      <w:r>
        <w:rPr>
          <w:iCs/>
          <w:i/>
        </w:rPr>
        <w:t xml:space="preserve">CTW</w:t>
      </w:r>
      <w:r>
        <w:t xml:space="preserve">’s identified in the dendrometer band analysis and had the highest rate of positive correlations with</w:t>
      </w:r>
      <w:r>
        <w:t xml:space="preserve"> </w:t>
      </w:r>
      <w:r>
        <w:rPr>
          <w:iCs/>
          <w:i/>
        </w:rPr>
        <w:t xml:space="preserve">RWI</w:t>
      </w:r>
      <w:r>
        <w:t xml:space="preserve"> </w:t>
      </w:r>
      <w:r>
        <w:t xml:space="preserve">(Extended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 </w:t>
      </w:r>
      <w:r>
        <w:t xml:space="preserve">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Roman Zweifel, members of the ForestGEO Ecosystems &amp; Climate Lab at SCBI, and three anonymous reviewers for helpful feedback.</w:t>
      </w:r>
      <w:r>
        <w:t xml:space="preserve"> </w:t>
      </w:r>
      <w:r>
        <w:t xml:space="preserve">The research was funded by ForestGEO (Smithsonian).</w:t>
      </w:r>
      <w:r>
        <w:t xml:space="preserve"> </w:t>
      </w:r>
      <w:r>
        <w:t xml:space="preserve">Collection of tree-ring samples was funded by a USDA Agriculture and Food Research Initiative grant 2017-67013-26191 and from the Indiana University Vice Provost for Research Faculty Research Program.</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3"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v.0.1.0 (</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p>
    <w:bookmarkEnd w:id="53"/>
    <w:bookmarkStart w:id="54"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4"/>
    <w:bookmarkStart w:id="55"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 °C),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3.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w:t>
      </w:r>
      <w:r>
        <w:rPr>
          <w:iCs/>
          <w:i/>
        </w:rPr>
        <w:t xml:space="preserve">CTW</w:t>
      </w:r>
      <w:r>
        <w:t xml:space="preserve">), then turned into a ratio and assigned a color on a gradient where the coldest year in the sample is blue and the warmest is red. Leaf phenology years are colored according to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5,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End w:id="55"/>
    <w:bookmarkStart w:id="144" w:name="legends-for-extended-data-figures"/>
    <w:p>
      <w:pPr>
        <w:pStyle w:val="Heading1"/>
      </w:pPr>
      <w:r>
        <w:t xml:space="preserve">Legends for Extended Data Figures</w:t>
      </w:r>
    </w:p>
    <w:p>
      <w:pPr>
        <w:pStyle w:val="FirstParagraph"/>
      </w:pPr>
      <w:r>
        <w:rPr>
          <w:bCs/>
          <w:b/>
        </w:rPr>
        <w:t xml:space="preserve">Extended Data Figure 1 | Phenological patterns of forest canopy greenness (top row) and stem growth of ring- and diffuse-porous trees, represented as both relative and cumulative fractions of total annual growth (middle and bottom rows, respectively), at the Smithsonian Conservation Biology Institute (SCBI) and Harvard Forest.</w:t>
      </w:r>
      <w:r>
        <w:t xml:space="preserve"> </w:t>
      </w:r>
      <w:r>
        <w:t xml:space="preserve">In the top row, canopy greenness is characterized using the two band Enhanced Vegetation Index (EVI2), with each line representing a year between 2000 and 2018. For stem growth, each line represents the average growth over one year, as modeled based on a five-parameter logistic growth model to dendrometer band data. Dashed lines represent modeled DBH change which fell outside of the median DOY where predicted starting DBH (a) and predicted ending DBH (b) were reached. Solid lines represent DBH change attributable to stem growth.</w:t>
      </w:r>
    </w:p>
    <w:p>
      <w:pPr>
        <w:pStyle w:val="BodyText"/>
      </w:pPr>
      <w:r>
        <w:rPr>
          <w:bCs/>
          <w:b/>
        </w:rPr>
        <w:t xml:space="preserve">Extended Data Figure 2 | Landscapes of relationships between the day of year on which 25% of annual growth is achieved (</w:t>
      </w:r>
      <m:oMath>
        <m:r>
          <m:t>D</m:t>
        </m:r>
        <m:r>
          <m:t>O</m:t>
        </m:r>
        <m:sSub>
          <m:e>
            <m:r>
              <m:t>Y</m:t>
            </m:r>
          </m:e>
          <m:sub>
            <m:r>
              <m:t>25</m:t>
            </m:r>
          </m:sub>
        </m:sSub>
      </m:oMath>
      <w:r>
        <w:rPr>
          <w:bCs/>
          <w:b/>
        </w:rPr>
        <w:t xml:space="preserve">) and temperature in prior weeks for ring- and diffuse-porous trees at the Smithsonian Conservation Biology Institute (SCBI) and Harvard Forest.</w:t>
      </w:r>
      <w:r>
        <w:t xml:space="preserve"> </w:t>
      </w:r>
      <w:r>
        <w:t xml:space="preserve">Shown are matrices of</w:t>
      </w:r>
      <w:r>
        <w:t xml:space="preserve"> </w:t>
      </w:r>
      <m:oMath>
        <m:r>
          <m:t>β</m:t>
        </m:r>
      </m:oMath>
      <w:r>
        <w:t xml:space="preserve"> </w:t>
      </w:r>
      <w:r>
        <w:t xml:space="preserve">coefficients from first-order linear regressions between mean maximum temperature (</w:t>
      </w:r>
      <m:oMath>
        <m:sSub>
          <m:e>
            <m:r>
              <m:t>T</m:t>
            </m:r>
          </m:e>
          <m:sub>
            <m:r>
              <m:t>m</m:t>
            </m:r>
            <m:r>
              <m:t>a</m:t>
            </m:r>
            <m:r>
              <m:t>x</m:t>
            </m:r>
          </m:sub>
        </m:sSub>
      </m:oMath>
      <w:r>
        <w:t xml:space="preserve">) and</w:t>
      </w:r>
      <w:r>
        <w:t xml:space="preserve"> </w:t>
      </w:r>
      <m:oMath>
        <m:r>
          <m:t>D</m:t>
        </m:r>
        <m:r>
          <m:t>O</m:t>
        </m:r>
        <m:sSub>
          <m:e>
            <m:r>
              <m:t>Y</m:t>
            </m:r>
          </m:e>
          <m:sub>
            <m:r>
              <m:t>25</m:t>
            </m:r>
          </m:sub>
        </m:sSub>
      </m:oMath>
      <w:r>
        <w:t xml:space="preserve">. Window Open and Window Close indicate number of weeks prior to</w:t>
      </w:r>
      <w:r>
        <w:t xml:space="preserve"> </w:t>
      </w:r>
      <m:oMath>
        <m:r>
          <m:t>D</m:t>
        </m:r>
        <m:r>
          <m:t>O</m:t>
        </m:r>
        <m:sSub>
          <m:e>
            <m:r>
              <m:t>Y</m:t>
            </m:r>
          </m:e>
          <m:sub>
            <m:r>
              <m:t>25</m:t>
            </m:r>
          </m:sub>
        </m:sSub>
      </m:oMath>
      <w:r>
        <w:t xml:space="preserve"> </w:t>
      </w:r>
      <w:r>
        <w:t xml:space="preserve">(listed in Extended Data Table 2). Yellow shading indicates neutral relationships, while orange or red shading indicates that</w:t>
      </w:r>
      <w:r>
        <w:t xml:space="preserve"> </w:t>
      </w:r>
      <m:oMath>
        <m:r>
          <m:t>D</m:t>
        </m:r>
        <m:r>
          <m:t>O</m:t>
        </m:r>
        <m:sSub>
          <m:e>
            <m:r>
              <m:t>Y</m:t>
            </m:r>
          </m:e>
          <m:sub>
            <m:r>
              <m:t>25</m:t>
            </m:r>
          </m:sub>
        </m:sSub>
      </m:oMath>
      <w:r>
        <w:t xml:space="preserve"> </w:t>
      </w:r>
      <w:r>
        <w:t xml:space="preserve">advances with increased</w:t>
      </w:r>
      <w:r>
        <w:t xml:space="preserve"> </w:t>
      </w:r>
      <m:oMath>
        <m:sSub>
          <m:e>
            <m:r>
              <m:t>T</m:t>
            </m:r>
          </m:e>
          <m:sub>
            <m:r>
              <m:t>m</m:t>
            </m:r>
            <m:r>
              <m:t>a</m:t>
            </m:r>
            <m:r>
              <m:t>x</m:t>
            </m:r>
          </m:sub>
        </m:sSub>
      </m:oMath>
      <w:r>
        <w:t xml:space="preserve"> </w:t>
      </w:r>
      <w:r>
        <w:t xml:space="preserve">over the given time window (negative</w:t>
      </w:r>
      <w:r>
        <w:t xml:space="preserve"> </w:t>
      </w:r>
      <m:oMath>
        <m:r>
          <m:t>β</m:t>
        </m:r>
      </m:oMath>
      <w:r>
        <w:t xml:space="preserve">). Black circles indicate the critical temperature window selected based on minimization of</w:t>
      </w:r>
      <w:r>
        <w:t xml:space="preserve"> </w:t>
      </w:r>
      <m:oMath>
        <m:r>
          <m:t>Δ</m:t>
        </m:r>
        <m:r>
          <m:t>A</m:t>
        </m:r>
        <m:r>
          <m:t>I</m:t>
        </m:r>
        <m:r>
          <m:t>C</m:t>
        </m:r>
        <m:r>
          <m:t>c</m:t>
        </m:r>
      </m:oMath>
      <w:r>
        <w:t xml:space="preserve">, the difference in Akaike Information Criterion corrected for small sample size relative to a null model. Critical temperature windows are listed in Extended Data Table 2.</w:t>
      </w:r>
    </w:p>
    <w:p>
      <w:pPr>
        <w:pStyle w:val="BodyText"/>
      </w:pPr>
      <w:r>
        <w:rPr>
          <w:bCs/>
          <w:b/>
        </w:rPr>
        <w:t xml:space="preserve">Extended Data Figure 3 | Response of stem growth timing and rates to mean maximum temperatures (</w:t>
      </w:r>
      <m:oMath>
        <m:sSub>
          <m:e>
            <m:r>
              <m:t>T</m:t>
            </m:r>
          </m:e>
          <m:sub>
            <m:r>
              <m:t>m</m:t>
            </m:r>
            <m:r>
              <m:t>a</m:t>
            </m:r>
            <m:r>
              <m:t>x</m:t>
            </m:r>
          </m:sub>
        </m:sSub>
      </m:oMath>
      <w:r>
        <w:rPr>
          <w:bCs/>
          <w:b/>
        </w:rPr>
        <w:t xml:space="preserve">) during the spring critial temperature window (</w:t>
      </w:r>
      <w:r>
        <w:rPr>
          <w:iCs/>
          <w:i/>
          <w:bCs/>
          <w:b/>
        </w:rPr>
        <w:t xml:space="preserve">CTW</w:t>
      </w:r>
      <w:r>
        <w:rPr>
          <w:bCs/>
          <w:b/>
        </w:rPr>
        <w:t xml:space="preserve">) for ring- and diffuse-porous speces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m:oMath>
        <m:sSub>
          <m:e>
            <m:r>
              <m:t>T</m:t>
            </m:r>
          </m:e>
          <m:sub>
            <m:r>
              <m:t>m</m:t>
            </m:r>
            <m:r>
              <m:t>a</m:t>
            </m:r>
            <m:r>
              <m:t>x</m:t>
            </m:r>
          </m:sub>
        </m:sSub>
      </m:oMath>
      <w:r>
        <w:t xml:space="preserve"> </w:t>
      </w:r>
      <w:r>
        <w:t xml:space="preserve">was most strongly correlated with the day of year on which 25% of annual growth was achieved (</w:t>
      </w:r>
      <m:oMath>
        <m:r>
          <m:t>D</m:t>
        </m:r>
        <m:r>
          <m:t>O</m:t>
        </m:r>
        <m:sSub>
          <m:e>
            <m:r>
              <m:t>Y</m:t>
            </m:r>
          </m:e>
          <m:sub>
            <m:r>
              <m:t>25</m:t>
            </m:r>
          </m:sub>
        </m:sSub>
      </m:oMath>
      <w:r>
        <w:t xml:space="preserve">; Extended Data Table 2, Extended Data Figure 2). Shown are relationships between mean</w:t>
      </w:r>
      <w:r>
        <w:t xml:space="preserve"> </w:t>
      </w:r>
      <m:oMath>
        <m:sSub>
          <m:e>
            <m:r>
              <m:t>T</m:t>
            </m:r>
          </m:e>
          <m:sub>
            <m:r>
              <m:t>m</m:t>
            </m:r>
            <m:r>
              <m:t>a</m:t>
            </m:r>
            <m:r>
              <m:t>x</m:t>
            </m:r>
          </m:sub>
        </m:sSub>
      </m:oMath>
      <w:r>
        <w:t xml:space="preserve"> </w:t>
      </w:r>
      <w:r>
        <w:t xml:space="preserve">over the</w:t>
      </w:r>
      <w:r>
        <w:t xml:space="preserve"> </w:t>
      </w:r>
      <w:r>
        <w:rPr>
          <w:iCs/>
          <w:i/>
        </w:rPr>
        <w:t xml:space="preserve">CTW</w:t>
      </w:r>
      <w:r>
        <w:t xml:space="preserve"> </w:t>
      </w:r>
      <w:r>
        <w:t xml:space="preserve">and days of the year on which 25%, 50%, and 75% total stem growth were achieved (</w:t>
      </w:r>
      <m:oMath>
        <m:r>
          <m:t>D</m:t>
        </m:r>
        <m:r>
          <m:t>O</m:t>
        </m:r>
        <m:sSub>
          <m:e>
            <m:r>
              <m:t>Y</m:t>
            </m:r>
          </m:e>
          <m:sub>
            <m:r>
              <m:t>25</m:t>
            </m:r>
          </m:sub>
        </m:sSub>
      </m:oMath>
      <w:r>
        <w:t xml:space="preserve">,</w:t>
      </w:r>
      <w:r>
        <w:t xml:space="preserve"> </w:t>
      </w:r>
      <m:oMath>
        <m:r>
          <m:t>D</m:t>
        </m:r>
        <m:r>
          <m:t>O</m:t>
        </m:r>
        <m:sSub>
          <m:e>
            <m:r>
              <m:t>Y</m:t>
            </m:r>
          </m:e>
          <m:sub>
            <m:r>
              <m:t>50</m:t>
            </m:r>
          </m:sub>
        </m:sSub>
      </m:oMath>
      <w:r>
        <w:t xml:space="preserve">,</w:t>
      </w:r>
      <w:r>
        <w:t xml:space="preserve"> </w:t>
      </w:r>
      <m:oMath>
        <m:r>
          <m:t>D</m:t>
        </m:r>
        <m:r>
          <m:t>O</m:t>
        </m:r>
        <m:sSub>
          <m:e>
            <m:r>
              <m:t>Y</m:t>
            </m:r>
          </m:e>
          <m:sub>
            <m:r>
              <m:t>75</m:t>
            </m:r>
          </m:sub>
        </m:sSub>
      </m:oMath>
      <w:r>
        <w:t xml:space="preserve">, respectively; first row); the length of the peak growing season (</w:t>
      </w:r>
      <m:oMath>
        <m:sSub>
          <m:e>
            <m:r>
              <m:t>L</m:t>
            </m:r>
          </m:e>
          <m:sub>
            <m:r>
              <m:t>p</m:t>
            </m:r>
            <m:r>
              <m:t>g</m:t>
            </m:r>
            <m:r>
              <m:t>s</m:t>
            </m:r>
          </m:sub>
        </m:sSub>
      </m:oMath>
      <w:r>
        <w:t xml:space="preserve">; second row); maximum growth rate (</w:t>
      </w:r>
      <m:oMath>
        <m:sSub>
          <m:e>
            <m:r>
              <m:t>g</m:t>
            </m:r>
          </m:e>
          <m:sub>
            <m:r>
              <m:t>m</m:t>
            </m:r>
            <m:r>
              <m:t>a</m:t>
            </m:r>
            <m:r>
              <m:t>x</m:t>
            </m:r>
          </m:sub>
        </m:sSub>
      </m:oMath>
      <w:r>
        <w:t xml:space="preserve">; third row); and total seasonal radial stem growth (</w:t>
      </w:r>
      <m:oMath>
        <m:r>
          <m:t>Δ</m:t>
        </m:r>
        <m:r>
          <m:t>D</m:t>
        </m:r>
        <m:r>
          <m:t>B</m:t>
        </m:r>
        <m:r>
          <m:t>H</m:t>
        </m:r>
      </m:oMath>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m:oMath>
        <m:r>
          <m:t>D</m:t>
        </m:r>
        <m:r>
          <m:t>O</m:t>
        </m:r>
        <m:sSub>
          <m:e>
            <m:r>
              <m:t>Y</m:t>
            </m:r>
          </m:e>
          <m:sub>
            <m:r>
              <m:t>25</m:t>
            </m:r>
          </m:sub>
        </m:sSub>
      </m:oMath>
      <w:r>
        <w:t xml:space="preserve">,</w:t>
      </w:r>
      <w:r>
        <w:t xml:space="preserve"> </w:t>
      </w:r>
      <m:oMath>
        <m:r>
          <m:t>D</m:t>
        </m:r>
        <m:r>
          <m:t>O</m:t>
        </m:r>
        <m:sSub>
          <m:e>
            <m:r>
              <m:t>Y</m:t>
            </m:r>
          </m:e>
          <m:sub>
            <m:r>
              <m:t>50</m:t>
            </m:r>
          </m:sub>
        </m:sSub>
      </m:oMath>
      <w:r>
        <w:t xml:space="preserve">, and</w:t>
      </w:r>
      <w:r>
        <w:t xml:space="preserve"> </w:t>
      </w:r>
      <m:oMath>
        <m:r>
          <m:t>D</m:t>
        </m:r>
        <m:r>
          <m:t>O</m:t>
        </m:r>
        <m:sSub>
          <m:e>
            <m:r>
              <m:t>Y</m:t>
            </m:r>
          </m:e>
          <m:sub>
            <m:r>
              <m:t>75</m:t>
            </m:r>
          </m:sub>
        </m:sSub>
      </m:oMath>
      <w:r>
        <w:t xml:space="preserve"> </w:t>
      </w:r>
      <w:r>
        <w:t xml:space="preserve">all declined significantly with mean</w:t>
      </w:r>
      <w:r>
        <w:t xml:space="preserve"> </w:t>
      </w:r>
      <m:oMath>
        <m:sSub>
          <m:e>
            <m:r>
              <m:t>T</m:t>
            </m:r>
          </m:e>
          <m:sub>
            <m:r>
              <m:t>m</m:t>
            </m:r>
            <m:r>
              <m:t>a</m:t>
            </m:r>
            <m:r>
              <m:t>x</m:t>
            </m:r>
          </m:sub>
        </m:sSub>
      </m:oMath>
      <w:r>
        <w:t xml:space="preserve"> </w:t>
      </w:r>
      <w:r>
        <w:t xml:space="preserve">during their respective</w:t>
      </w:r>
      <w:r>
        <w:t xml:space="preserve"> </w:t>
      </w:r>
      <w:r>
        <w:rPr>
          <w:iCs/>
          <w:i/>
        </w:rPr>
        <w:t xml:space="preserve">CTW</w:t>
      </w:r>
      <w:r>
        <w:t xml:space="preserve">. Dots represent growth parameter values for individual tree-year combinations, which were derived by fitting a five-parameter logistic growth model to dendrometer band data.</w:t>
      </w:r>
    </w:p>
    <w:p>
      <w:pPr>
        <w:pStyle w:val="BodyText"/>
      </w:pPr>
      <w:r>
        <w:rPr>
          <w:bCs/>
          <w:b/>
        </w:rPr>
        <w:t xml:space="preserve">Extended Data Figure 4 | Response of stem growth timing and rates to mean maximum temperatures (</w:t>
      </w:r>
      <m:oMath>
        <m:sSub>
          <m:e>
            <m:r>
              <m:t>T</m:t>
            </m:r>
          </m:e>
          <m:sub>
            <m:r>
              <m:t>m</m:t>
            </m:r>
            <m:r>
              <m:t>a</m:t>
            </m:r>
            <m:r>
              <m:t>x</m:t>
            </m:r>
          </m:sub>
        </m:sSub>
      </m:oMath>
      <w:r>
        <w:rPr>
          <w:bCs/>
          <w:b/>
        </w:rPr>
        <w:t xml:space="preserve">) for the month most closely corresponding to the spring critial temperature window (</w:t>
      </w:r>
      <w:r>
        <w:rPr>
          <w:iCs/>
          <w:i/>
          <w:bCs/>
          <w:b/>
        </w:rPr>
        <w:t xml:space="preserve">CTW</w:t>
      </w:r>
      <w:r>
        <w:rPr>
          <w:bCs/>
          <w:b/>
        </w:rPr>
        <w:t xml:space="preserve">) for ring- and diffuse-porous speces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m:oMath>
        <m:sSub>
          <m:e>
            <m:r>
              <m:t>T</m:t>
            </m:r>
          </m:e>
          <m:sub>
            <m:r>
              <m:t>m</m:t>
            </m:r>
            <m:r>
              <m:t>a</m:t>
            </m:r>
            <m:r>
              <m:t>x</m:t>
            </m:r>
          </m:sub>
        </m:sSub>
      </m:oMath>
      <w:r>
        <w:t xml:space="preserve"> </w:t>
      </w:r>
      <w:r>
        <w:t xml:space="preserve">was most strongly correlated with the day of year on which 25% of annual growth was achieved (</w:t>
      </w:r>
      <m:oMath>
        <m:r>
          <m:t>D</m:t>
        </m:r>
        <m:r>
          <m:t>O</m:t>
        </m:r>
        <m:sSub>
          <m:e>
            <m:r>
              <m:t>Y</m:t>
            </m:r>
          </m:e>
          <m:sub>
            <m:r>
              <m:t>25</m:t>
            </m:r>
          </m:sub>
        </m:sSub>
      </m:oMath>
      <w:r>
        <w:t xml:space="preserve">; Extended Data Table 2, Extended Data Figure 2), and the most closely corresponding month was determined as that with the greatest number of days within the</w:t>
      </w:r>
      <w:r>
        <w:t xml:space="preserve"> </w:t>
      </w:r>
      <w:r>
        <w:rPr>
          <w:iCs/>
          <w:i/>
        </w:rPr>
        <w:t xml:space="preserve">CTW</w:t>
      </w:r>
      <w:r>
        <w:t xml:space="preserve">. Shown are relationships between montlhy</w:t>
      </w:r>
      <w:r>
        <w:t xml:space="preserve"> </w:t>
      </w:r>
      <m:oMath>
        <m:sSub>
          <m:e>
            <m:r>
              <m:t>T</m:t>
            </m:r>
          </m:e>
          <m:sub>
            <m:r>
              <m:t>m</m:t>
            </m:r>
            <m:r>
              <m:t>a</m:t>
            </m:r>
            <m:r>
              <m:t>x</m:t>
            </m:r>
          </m:sub>
        </m:sSub>
      </m:oMath>
      <w:r>
        <w:t xml:space="preserve"> </w:t>
      </w:r>
      <w:r>
        <w:t xml:space="preserve">and days of the year on which 25%, 50%, and 75% total stem growth were achieved (</w:t>
      </w:r>
      <m:oMath>
        <m:r>
          <m:t>D</m:t>
        </m:r>
        <m:r>
          <m:t>O</m:t>
        </m:r>
        <m:sSub>
          <m:e>
            <m:r>
              <m:t>Y</m:t>
            </m:r>
          </m:e>
          <m:sub>
            <m:r>
              <m:t>25</m:t>
            </m:r>
          </m:sub>
        </m:sSub>
      </m:oMath>
      <w:r>
        <w:t xml:space="preserve">,</w:t>
      </w:r>
      <w:r>
        <w:t xml:space="preserve"> </w:t>
      </w:r>
      <m:oMath>
        <m:r>
          <m:t>D</m:t>
        </m:r>
        <m:r>
          <m:t>O</m:t>
        </m:r>
        <m:sSub>
          <m:e>
            <m:r>
              <m:t>Y</m:t>
            </m:r>
          </m:e>
          <m:sub>
            <m:r>
              <m:t>50</m:t>
            </m:r>
          </m:sub>
        </m:sSub>
      </m:oMath>
      <w:r>
        <w:t xml:space="preserve">,</w:t>
      </w:r>
      <w:r>
        <w:t xml:space="preserve"> </w:t>
      </w:r>
      <m:oMath>
        <m:r>
          <m:t>D</m:t>
        </m:r>
        <m:r>
          <m:t>O</m:t>
        </m:r>
        <m:sSub>
          <m:e>
            <m:r>
              <m:t>Y</m:t>
            </m:r>
          </m:e>
          <m:sub>
            <m:r>
              <m:t>75</m:t>
            </m:r>
          </m:sub>
        </m:sSub>
      </m:oMath>
      <w:r>
        <w:t xml:space="preserve">, respectively; first row); the length of the peak growing season (</w:t>
      </w:r>
      <m:oMath>
        <m:sSub>
          <m:e>
            <m:r>
              <m:t>L</m:t>
            </m:r>
          </m:e>
          <m:sub>
            <m:r>
              <m:t>p</m:t>
            </m:r>
            <m:r>
              <m:t>g</m:t>
            </m:r>
            <m:r>
              <m:t>s</m:t>
            </m:r>
          </m:sub>
        </m:sSub>
      </m:oMath>
      <w:r>
        <w:t xml:space="preserve">; second row); maximum growth rate (</w:t>
      </w:r>
      <m:oMath>
        <m:sSub>
          <m:e>
            <m:r>
              <m:t>g</m:t>
            </m:r>
          </m:e>
          <m:sub>
            <m:r>
              <m:t>m</m:t>
            </m:r>
            <m:r>
              <m:t>a</m:t>
            </m:r>
            <m:r>
              <m:t>x</m:t>
            </m:r>
          </m:sub>
        </m:sSub>
      </m:oMath>
      <w:r>
        <w:t xml:space="preserve">; third row); and total seasonal radial stem growth (</w:t>
      </w:r>
      <m:oMath>
        <m:r>
          <m:t>Δ</m:t>
        </m:r>
        <m:r>
          <m:t>D</m:t>
        </m:r>
        <m:r>
          <m:t>B</m:t>
        </m:r>
        <m:r>
          <m:t>H</m:t>
        </m:r>
      </m:oMath>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m:oMath>
        <m:r>
          <m:t>D</m:t>
        </m:r>
        <m:r>
          <m:t>O</m:t>
        </m:r>
        <m:sSub>
          <m:e>
            <m:r>
              <m:t>Y</m:t>
            </m:r>
          </m:e>
          <m:sub>
            <m:r>
              <m:t>25</m:t>
            </m:r>
          </m:sub>
        </m:sSub>
      </m:oMath>
      <w:r>
        <w:t xml:space="preserve">,</w:t>
      </w:r>
      <w:r>
        <w:t xml:space="preserve"> </w:t>
      </w:r>
      <m:oMath>
        <m:r>
          <m:t>D</m:t>
        </m:r>
        <m:r>
          <m:t>O</m:t>
        </m:r>
        <m:sSub>
          <m:e>
            <m:r>
              <m:t>Y</m:t>
            </m:r>
          </m:e>
          <m:sub>
            <m:r>
              <m:t>50</m:t>
            </m:r>
          </m:sub>
        </m:sSub>
      </m:oMath>
      <w:r>
        <w:t xml:space="preserve">, and</w:t>
      </w:r>
      <w:r>
        <w:t xml:space="preserve"> </w:t>
      </w:r>
      <m:oMath>
        <m:r>
          <m:t>D</m:t>
        </m:r>
        <m:r>
          <m:t>O</m:t>
        </m:r>
        <m:sSub>
          <m:e>
            <m:r>
              <m:t>Y</m:t>
            </m:r>
          </m:e>
          <m:sub>
            <m:r>
              <m:t>75</m:t>
            </m:r>
          </m:sub>
        </m:sSub>
      </m:oMath>
      <w:r>
        <w:t xml:space="preserve"> </w:t>
      </w:r>
      <w:r>
        <w:t xml:space="preserve">declined significantly with April</w:t>
      </w:r>
      <w:r>
        <w:t xml:space="preserve"> </w:t>
      </w:r>
      <m:oMath>
        <m:sSub>
          <m:e>
            <m:r>
              <m:t>T</m:t>
            </m:r>
          </m:e>
          <m:sub>
            <m:r>
              <m:t>m</m:t>
            </m:r>
            <m:r>
              <m:t>a</m:t>
            </m:r>
            <m:r>
              <m:t>x</m:t>
            </m:r>
          </m:sub>
        </m:sSub>
      </m:oMath>
      <w:r>
        <w:t xml:space="preserve">, with the exception of</w:t>
      </w:r>
      <w:r>
        <w:t xml:space="preserve"> </w:t>
      </w:r>
      <m:oMath>
        <m:r>
          <m:t>D</m:t>
        </m:r>
        <m:r>
          <m:t>O</m:t>
        </m:r>
        <m:sSub>
          <m:e>
            <m:r>
              <m:t>Y</m:t>
            </m:r>
          </m:e>
          <m:sub>
            <m:r>
              <m:t>25</m:t>
            </m:r>
          </m:sub>
        </m:sSub>
      </m:oMath>
      <w:r>
        <w:t xml:space="preserve"> </w:t>
      </w:r>
      <w:r>
        <w:t xml:space="preserve">for ring-porous species at SCBI. Dots represent growth parameter values for individual tree-year combinations, which were derived by fitting a five-parameter logistic growth model to dendrometer band data.</w:t>
      </w:r>
    </w:p>
    <w:p>
      <w:pPr>
        <w:pStyle w:val="BodyText"/>
      </w:pPr>
      <w:r>
        <w:rPr>
          <w:bCs/>
          <w:b/>
        </w:rPr>
        <w:t xml:space="preserve">Extended Data Figure 5 | Map of sampling locations of tree-ring chronologies analyzed in this study.</w:t>
      </w:r>
      <w:r>
        <w:t xml:space="preserve"> </w:t>
      </w:r>
      <w:r>
        <w:t xml:space="preserve">Sites are colored by the xylem porosity type of species sampled: ring poroous (RP), diffuse porous (DP), or both. Sampling details are provided in SI Table 1. Base map source is ggplot2.</w:t>
      </w:r>
    </w:p>
    <w:p>
      <w:pPr>
        <w:pStyle w:val="BodyText"/>
      </w:pPr>
      <w:r>
        <w:rPr>
          <w:bCs/>
          <w:b/>
        </w:rPr>
        <w:t xml:space="preserve">Extended Data Figure 6 | Sensitivity of annual growth, as derived from tree-rings, to monthly mean minimum temperatures (</w:t>
      </w:r>
      <m:oMath>
        <m:sSub>
          <m:e>
            <m:r>
              <m:t>T</m:t>
            </m:r>
          </m:e>
          <m:sub>
            <m:r>
              <m:t>m</m:t>
            </m:r>
            <m:r>
              <m:t>i</m:t>
            </m:r>
            <m:r>
              <m:t>n</m:t>
            </m:r>
          </m:sub>
        </m:sSub>
      </m:oMath>
      <w:r>
        <w:rPr>
          <w:bCs/>
          <w:b/>
        </w:rPr>
        <w:t xml:space="preserve">), for 207 chronologies from 108 sites across eastern North America</w:t>
      </w:r>
      <w:r>
        <w:t xml:space="preserve"> </w:t>
      </w:r>
      <w:r>
        <w:t xml:space="preserve">(Extended Data Figure 5). Colors indicate the bootstrapped correlation between monthly</w:t>
      </w:r>
      <w:r>
        <w:t xml:space="preserve"> </w:t>
      </w:r>
      <m:oMath>
        <m:sSub>
          <m:e>
            <m:r>
              <m:t>T</m:t>
            </m:r>
          </m:e>
          <m:sub>
            <m:r>
              <m:t>m</m:t>
            </m:r>
            <m:r>
              <m:t>i</m:t>
            </m:r>
            <m:r>
              <m:t>n</m:t>
            </m:r>
          </m:sub>
        </m:sSub>
      </m:oMath>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m:oMath>
        <m:sSub>
          <m:e>
            <m:r>
              <m:t>T</m:t>
            </m:r>
          </m:e>
          <m:sub>
            <m:r>
              <m:t>m</m:t>
            </m:r>
            <m:r>
              <m:t>i</m:t>
            </m:r>
            <m:r>
              <m:t>n</m:t>
            </m:r>
          </m:sub>
        </m:sSub>
      </m:oMath>
      <w:r>
        <w:t xml:space="preserve">. Plots are annotated to highlight records from our two focal sites, the Smithsonian Conservation Biology Institute (SCBI) and Harvard Forest (HF) (Extended Data Table 1). Species analyzed and numbers of significant correlations to</w:t>
      </w:r>
      <w:r>
        <w:t xml:space="preserve"> </w:t>
      </w:r>
      <m:oMath>
        <m:sSub>
          <m:e>
            <m:r>
              <m:t>T</m:t>
            </m:r>
          </m:e>
          <m:sub>
            <m:r>
              <m:t>m</m:t>
            </m:r>
            <m:r>
              <m:t>i</m:t>
            </m:r>
            <m:r>
              <m:t>n</m:t>
            </m:r>
          </m:sub>
        </m:sSub>
      </m:oMath>
      <w:r>
        <w:t xml:space="preserve"> </w:t>
      </w:r>
      <w:r>
        <w:t xml:space="preserve">are summarized in Extended Data Table 3, and chronology details are given in SI Table 1.</w:t>
      </w:r>
    </w:p>
    <w:p>
      <w:pPr>
        <w:pStyle w:val="BodyText"/>
      </w:pPr>
      <w:r>
        <w:rPr>
          <w:bCs/>
          <w:b/>
        </w:rPr>
        <w:t xml:space="preserve">Extended Data Figure 7 | Sensitivity of annual growth, as derived from tree-rings, to monthly mean maximum temperatures (</w:t>
      </w:r>
      <m:oMath>
        <m:sSub>
          <m:e>
            <m:r>
              <m:t>T</m:t>
            </m:r>
          </m:e>
          <m:sub>
            <m:r>
              <m:t>m</m:t>
            </m:r>
            <m:r>
              <m:t>a</m:t>
            </m:r>
            <m:r>
              <m:t>x</m:t>
            </m:r>
          </m:sub>
        </m:sSub>
      </m:oMath>
      <w:r>
        <w:rPr>
          <w:bCs/>
          <w:b/>
        </w:rPr>
        <w:t xml:space="preserve">) of the current and past year, for 207 chronologies from 108 sites across eastern North America</w:t>
      </w:r>
      <w:r>
        <w:t xml:space="preserve"> </w:t>
      </w:r>
      <w:r>
        <w:t xml:space="preserve">(Extended Data Figure 5). Colors indicate the bootstrapped correlation between monthly</w:t>
      </w:r>
      <w:r>
        <w:t xml:space="preserve"> </w:t>
      </w:r>
      <m:oMath>
        <m:sSub>
          <m:e>
            <m:r>
              <m:t>T</m:t>
            </m:r>
          </m:e>
          <m:sub>
            <m:r>
              <m:t>m</m:t>
            </m:r>
            <m:r>
              <m:t>a</m:t>
            </m:r>
            <m:r>
              <m:t>x</m:t>
            </m:r>
          </m:sub>
        </m:sSub>
      </m:oMath>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m:oMath>
        <m:sSub>
          <m:e>
            <m:r>
              <m:t>T</m:t>
            </m:r>
          </m:e>
          <m:sub>
            <m:r>
              <m:t>m</m:t>
            </m:r>
            <m:r>
              <m:t>a</m:t>
            </m:r>
            <m:r>
              <m:t>x</m:t>
            </m:r>
          </m:sub>
        </m:sSub>
      </m:oMath>
      <w:r>
        <w:t xml:space="preserve">. Plots are annotated to highlight records from our two focal sites, the Smithsonian Conservation Biology Institute (SCBI) and Harvard Forest (HF) (Extended Data Table 1). Figure presents the same results as main manuscript Fig. 3 but extends back to include the previous year. Species analyzed and numbers of significant correlations to</w:t>
      </w:r>
      <w:r>
        <w:t xml:space="preserve"> </w:t>
      </w:r>
      <m:oMath>
        <m:sSub>
          <m:e>
            <m:r>
              <m:t>T</m:t>
            </m:r>
          </m:e>
          <m:sub>
            <m:r>
              <m:t>m</m:t>
            </m:r>
            <m:r>
              <m:t>a</m:t>
            </m:r>
            <m:r>
              <m:t>x</m:t>
            </m:r>
          </m:sub>
        </m:sSub>
      </m:oMath>
      <w:r>
        <w:t xml:space="preserve"> </w:t>
      </w:r>
      <w:r>
        <w:t xml:space="preserve">are summarized in Extended Data Table 3, and chronology details are given in SI Table 1.</w:t>
      </w:r>
    </w:p>
    <w:p>
      <w:r>
        <w:br w:type="page"/>
      </w:r>
    </w:p>
    <w:bookmarkStart w:id="143" w:name="refs"/>
    <w:bookmarkStart w:id="56"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Net carbon uptake has increased through warming-induced changes in temperate forest phenology.</w:t>
      </w:r>
      <w:r>
        <w:t xml:space="preserve"> </w:t>
      </w:r>
      <w:r>
        <w:rPr>
          <w:iCs/>
          <w:i/>
        </w:rPr>
        <w:t xml:space="preserve">Nature Climate Change</w:t>
      </w:r>
      <w:r>
        <w:t xml:space="preserve"> </w:t>
      </w:r>
      <w:r>
        <w:rPr>
          <w:bCs/>
          <w:b/>
        </w:rPr>
        <w:t xml:space="preserve">4</w:t>
      </w:r>
      <w:r>
        <w:t xml:space="preserve">, 598–604 (2014).</w:t>
      </w:r>
    </w:p>
    <w:bookmarkEnd w:id="56"/>
    <w:bookmarkStart w:id="57"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Widespread seasonal compensation effects of spring warming on northern plant productivity.</w:t>
      </w:r>
      <w:r>
        <w:t xml:space="preserve"> </w:t>
      </w:r>
      <w:r>
        <w:rPr>
          <w:iCs/>
          <w:i/>
        </w:rPr>
        <w:t xml:space="preserve">Nature</w:t>
      </w:r>
      <w:r>
        <w:t xml:space="preserve"> </w:t>
      </w:r>
      <w:r>
        <w:rPr>
          <w:bCs/>
          <w:b/>
        </w:rPr>
        <w:t xml:space="preserve">562</w:t>
      </w:r>
      <w:r>
        <w:t xml:space="preserve">, 110–114 (2018).</w:t>
      </w:r>
    </w:p>
    <w:bookmarkEnd w:id="57"/>
    <w:bookmarkStart w:id="58"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Carbon budget of the</w:t>
      </w:r>
      <w:r>
        <w:t xml:space="preserve"> </w:t>
      </w:r>
      <w:r>
        <w:t xml:space="preserve">Harvard Forest Long-Term Ecological Research</w:t>
      </w:r>
      <w:r>
        <w:t xml:space="preserve"> </w:t>
      </w:r>
      <w:r>
        <w:t xml:space="preserve">site: Pattern, process, and response to global change.</w:t>
      </w:r>
      <w:r>
        <w:t xml:space="preserve"> </w:t>
      </w:r>
      <w:r>
        <w:rPr>
          <w:iCs/>
          <w:i/>
        </w:rPr>
        <w:t xml:space="preserve">Ecological Monographs</w:t>
      </w:r>
      <w:r>
        <w:t xml:space="preserve"> </w:t>
      </w:r>
      <w:r>
        <w:rPr>
          <w:bCs/>
          <w:b/>
        </w:rPr>
        <w:t xml:space="preserve">90</w:t>
      </w:r>
      <w:r>
        <w:t xml:space="preserve">, e01423 (2020).</w:t>
      </w:r>
    </w:p>
    <w:bookmarkEnd w:id="58"/>
    <w:bookmarkStart w:id="59" w:name="ref-keeling_increased_1996"/>
    <w:p>
      <w:pPr>
        <w:pStyle w:val="Bibliography"/>
      </w:pPr>
      <w:r>
        <w:t xml:space="preserve">4.</w:t>
      </w:r>
      <w:r>
        <w:t xml:space="preserve"> </w:t>
      </w:r>
      <w:r>
        <w:t xml:space="preserve">	</w:t>
      </w:r>
      <w:r>
        <w:t xml:space="preserve">Keeling, C. D., Chin, J. F. S. &amp; Whorf, T. P. Increased activity of northern vegetation inferred from atmospheric</w:t>
      </w:r>
      <w:r>
        <w:t xml:space="preserve"> </w:t>
      </w:r>
      <w:r>
        <w:t xml:space="preserve">CO</w:t>
      </w:r>
      <w:r>
        <w:t xml:space="preserve"> </w:t>
      </w:r>
      <w:r>
        <w:t xml:space="preserve">2 measurements.</w:t>
      </w:r>
      <w:r>
        <w:t xml:space="preserve"> </w:t>
      </w:r>
      <w:r>
        <w:rPr>
          <w:iCs/>
          <w:i/>
        </w:rPr>
        <w:t xml:space="preserve">Nature</w:t>
      </w:r>
      <w:r>
        <w:t xml:space="preserve"> </w:t>
      </w:r>
      <w:r>
        <w:rPr>
          <w:bCs/>
          <w:b/>
        </w:rPr>
        <w:t xml:space="preserve">382</w:t>
      </w:r>
      <w:r>
        <w:t xml:space="preserve">, 146–149 (1996).</w:t>
      </w:r>
    </w:p>
    <w:bookmarkEnd w:id="59"/>
    <w:bookmarkStart w:id="60"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Evidence of increased net ecosystem productivity associated with a longer vegetated season in a deciduous forest in south-central</w:t>
      </w:r>
      <w:r>
        <w:t xml:space="preserve"> </w:t>
      </w:r>
      <w:r>
        <w:t xml:space="preserve">Indiana</w:t>
      </w:r>
      <w:r>
        <w:t xml:space="preserve">,</w:t>
      </w:r>
      <w:r>
        <w:t xml:space="preserve"> </w:t>
      </w:r>
      <w:r>
        <w:t xml:space="preserve">USA</w:t>
      </w:r>
      <w:r>
        <w:t xml:space="preserve">.</w:t>
      </w:r>
      <w:r>
        <w:t xml:space="preserve"> </w:t>
      </w:r>
      <w:r>
        <w:rPr>
          <w:iCs/>
          <w:i/>
        </w:rPr>
        <w:t xml:space="preserve">Global Change Biology</w:t>
      </w:r>
      <w:r>
        <w:t xml:space="preserve"> </w:t>
      </w:r>
      <w:r>
        <w:rPr>
          <w:bCs/>
          <w:b/>
        </w:rPr>
        <w:t xml:space="preserve">17</w:t>
      </w:r>
      <w:r>
        <w:t xml:space="preserve">, 886–897 (2011).</w:t>
      </w:r>
    </w:p>
    <w:bookmarkEnd w:id="60"/>
    <w:bookmarkStart w:id="61" w:name="ref-zhou_explaining_2016"/>
    <w:p>
      <w:pPr>
        <w:pStyle w:val="Bibliography"/>
      </w:pPr>
      <w:r>
        <w:t xml:space="preserve">6.</w:t>
      </w:r>
      <w:r>
        <w:t xml:space="preserve"> </w:t>
      </w:r>
      <w:r>
        <w:t xml:space="preserve">	</w:t>
      </w:r>
      <w:r>
        <w:t xml:space="preserve">Zhou, S.</w:t>
      </w:r>
      <w:r>
        <w:t xml:space="preserve"> </w:t>
      </w:r>
      <w:r>
        <w:rPr>
          <w:iCs/>
          <w:i/>
        </w:rPr>
        <w:t xml:space="preserve">et al.</w:t>
      </w:r>
      <w:r>
        <w:t xml:space="preserve"> Explaining inter-annual variability of gross primary productivity from plant phenology and physiology.</w:t>
      </w:r>
      <w:r>
        <w:t xml:space="preserve"> </w:t>
      </w:r>
      <w:r>
        <w:rPr>
          <w:iCs/>
          <w:i/>
        </w:rPr>
        <w:t xml:space="preserve">Agricultural and Forest Meteorology</w:t>
      </w:r>
      <w:r>
        <w:t xml:space="preserve"> </w:t>
      </w:r>
      <w:r>
        <w:rPr>
          <w:bCs/>
          <w:b/>
        </w:rPr>
        <w:t xml:space="preserve">226–227</w:t>
      </w:r>
      <w:r>
        <w:t xml:space="preserve">, 246–256 (2016).</w:t>
      </w:r>
    </w:p>
    <w:bookmarkEnd w:id="61"/>
    <w:bookmarkStart w:id="62" w:name="ref-fu_maximum_2019"/>
    <w:p>
      <w:pPr>
        <w:pStyle w:val="Bibliography"/>
      </w:pPr>
      <w:r>
        <w:t xml:space="preserve">7.</w:t>
      </w:r>
      <w:r>
        <w:t xml:space="preserve"> </w:t>
      </w:r>
      <w:r>
        <w:t xml:space="preserve">	</w:t>
      </w:r>
      <w:r>
        <w:t xml:space="preserve">Fu, Z.</w:t>
      </w:r>
      <w:r>
        <w:t xml:space="preserve"> </w:t>
      </w:r>
      <w:r>
        <w:rPr>
          <w:iCs/>
          <w:i/>
        </w:rPr>
        <w:t xml:space="preserve">et al.</w:t>
      </w:r>
      <w:r>
        <w:t xml:space="preserve"> Maximum carbon uptake rate dominates the interannual variability of global net ecosystem exchange.</w:t>
      </w:r>
      <w:r>
        <w:t xml:space="preserve"> </w:t>
      </w:r>
      <w:r>
        <w:rPr>
          <w:iCs/>
          <w:i/>
        </w:rPr>
        <w:t xml:space="preserve">Global Change Biology</w:t>
      </w:r>
      <w:r>
        <w:t xml:space="preserve"> </w:t>
      </w:r>
      <w:r>
        <w:rPr>
          <w:bCs/>
          <w:b/>
        </w:rPr>
        <w:t xml:space="preserve">25</w:t>
      </w:r>
      <w:r>
        <w:t xml:space="preserve">, 3381–3394 (2019).</w:t>
      </w:r>
    </w:p>
    <w:bookmarkEnd w:id="62"/>
    <w:bookmarkStart w:id="63" w:name="ref-savage_coordination_2021"/>
    <w:p>
      <w:pPr>
        <w:pStyle w:val="Bibliography"/>
      </w:pPr>
      <w:r>
        <w:t xml:space="preserve">8.</w:t>
      </w:r>
      <w:r>
        <w:t xml:space="preserve"> </w:t>
      </w:r>
      <w:r>
        <w:t xml:space="preserve">	</w:t>
      </w:r>
      <w:r>
        <w:t xml:space="preserve">Savage, J. A. &amp; Chuine, I. Coordination of spring vascular and organ phenology in deciduous angiosperms growing in seasonally cold climates.</w:t>
      </w:r>
      <w:r>
        <w:t xml:space="preserve"> </w:t>
      </w:r>
      <w:r>
        <w:rPr>
          <w:iCs/>
          <w:i/>
        </w:rPr>
        <w:t xml:space="preserve">New Phytologist</w:t>
      </w:r>
      <w:r>
        <w:t xml:space="preserve"> </w:t>
      </w:r>
      <w:r>
        <w:rPr>
          <w:bCs/>
          <w:b/>
        </w:rPr>
        <w:t xml:space="preserve">230</w:t>
      </w:r>
      <w:r>
        <w:t xml:space="preserve">, 1700–1715 (2021).</w:t>
      </w:r>
    </w:p>
    <w:bookmarkEnd w:id="63"/>
    <w:bookmarkStart w:id="64" w:name="ref-delpierre_temperate_2016"/>
    <w:p>
      <w:pPr>
        <w:pStyle w:val="Bibliography"/>
      </w:pPr>
      <w:r>
        <w:t xml:space="preserve">9.</w:t>
      </w:r>
      <w:r>
        <w:t xml:space="preserve"> </w:t>
      </w:r>
      <w:r>
        <w:t xml:space="preserve">	</w:t>
      </w:r>
      <w:r>
        <w:t xml:space="preserve">Delpierre, N.</w:t>
      </w:r>
      <w:r>
        <w:t xml:space="preserve"> </w:t>
      </w:r>
      <w:r>
        <w:rPr>
          <w:iCs/>
          <w:i/>
        </w:rPr>
        <w:t xml:space="preserve">et al.</w:t>
      </w:r>
      <w:r>
        <w:t xml:space="preserve"> Temperate and boreal forest tree phenology: From organ-scale processes to terrestrial ecosystem models.</w:t>
      </w:r>
      <w:r>
        <w:t xml:space="preserve"> </w:t>
      </w:r>
      <w:r>
        <w:rPr>
          <w:iCs/>
          <w:i/>
        </w:rPr>
        <w:t xml:space="preserve">Annals of Forest Science</w:t>
      </w:r>
      <w:r>
        <w:t xml:space="preserve"> </w:t>
      </w:r>
      <w:r>
        <w:rPr>
          <w:bCs/>
          <w:b/>
        </w:rPr>
        <w:t xml:space="preserve">73</w:t>
      </w:r>
      <w:r>
        <w:t xml:space="preserve">, 5–25 (2016).</w:t>
      </w:r>
    </w:p>
    <w:bookmarkEnd w:id="64"/>
    <w:bookmarkStart w:id="65" w:name="ref-xue_global_2017"/>
    <w:p>
      <w:pPr>
        <w:pStyle w:val="Bibliography"/>
      </w:pPr>
      <w:r>
        <w:t xml:space="preserve">10.</w:t>
      </w:r>
      <w:r>
        <w:t xml:space="preserve"> </w:t>
      </w:r>
      <w:r>
        <w:t xml:space="preserve">	</w:t>
      </w:r>
      <w:r>
        <w:t xml:space="preserve">Xue, B.-L.</w:t>
      </w:r>
      <w:r>
        <w:t xml:space="preserve"> </w:t>
      </w:r>
      <w:r>
        <w:rPr>
          <w:iCs/>
          <w:i/>
        </w:rPr>
        <w:t xml:space="preserve">et al.</w:t>
      </w:r>
      <w:r>
        <w:t xml:space="preserve"> Global patterns of woody residence time and its influence on model simulation of aboveground biomass.</w:t>
      </w:r>
      <w:r>
        <w:t xml:space="preserve"> </w:t>
      </w:r>
      <w:r>
        <w:rPr>
          <w:iCs/>
          <w:i/>
        </w:rPr>
        <w:t xml:space="preserve">Global Biogeochemical Cycles</w:t>
      </w:r>
      <w:r>
        <w:t xml:space="preserve"> </w:t>
      </w:r>
      <w:r>
        <w:rPr>
          <w:bCs/>
          <w:b/>
        </w:rPr>
        <w:t xml:space="preserve">31</w:t>
      </w:r>
      <w:r>
        <w:t xml:space="preserve">, 821–835 (2017).</w:t>
      </w:r>
    </w:p>
    <w:bookmarkEnd w:id="65"/>
    <w:bookmarkStart w:id="66" w:name="ref-russell_residence_2014"/>
    <w:p>
      <w:pPr>
        <w:pStyle w:val="Bibliography"/>
      </w:pPr>
      <w:r>
        <w:t xml:space="preserve">11.</w:t>
      </w:r>
      <w:r>
        <w:t xml:space="preserve"> </w:t>
      </w:r>
      <w:r>
        <w:t xml:space="preserve">	</w:t>
      </w:r>
      <w:r>
        <w:t xml:space="preserve">Russell, M. B.</w:t>
      </w:r>
      <w:r>
        <w:t xml:space="preserve"> </w:t>
      </w:r>
      <w:r>
        <w:rPr>
          <w:iCs/>
          <w:i/>
        </w:rPr>
        <w:t xml:space="preserve">et al.</w:t>
      </w:r>
      <w:r>
        <w:t xml:space="preserve"> Residence times and decay rates of downed woody debris biomass/carbon in eastern</w:t>
      </w:r>
      <w:r>
        <w:t xml:space="preserve"> </w:t>
      </w:r>
      <w:r>
        <w:t xml:space="preserve">US</w:t>
      </w:r>
      <w:r>
        <w:t xml:space="preserve"> </w:t>
      </w:r>
      <w:r>
        <w:t xml:space="preserve">forests.</w:t>
      </w:r>
      <w:r>
        <w:t xml:space="preserve"> </w:t>
      </w:r>
      <w:r>
        <w:rPr>
          <w:iCs/>
          <w:i/>
        </w:rPr>
        <w:t xml:space="preserve">Ecosystems</w:t>
      </w:r>
      <w:r>
        <w:t xml:space="preserve"> </w:t>
      </w:r>
      <w:r>
        <w:rPr>
          <w:bCs/>
          <w:b/>
        </w:rPr>
        <w:t xml:space="preserve">17</w:t>
      </w:r>
      <w:r>
        <w:t xml:space="preserve">, 765–777 (2014).</w:t>
      </w:r>
    </w:p>
    <w:bookmarkEnd w:id="66"/>
    <w:bookmarkStart w:id="67" w:name="ref-richardson_terrestrial_2012"/>
    <w:p>
      <w:pPr>
        <w:pStyle w:val="Bibliography"/>
      </w:pPr>
      <w:r>
        <w:t xml:space="preserve">12.</w:t>
      </w:r>
      <w:r>
        <w:t xml:space="preserve"> </w:t>
      </w:r>
      <w:r>
        <w:t xml:space="preserve">	</w:t>
      </w:r>
      <w:r>
        <w:t xml:space="preserve">Richardson, A. D.</w:t>
      </w:r>
      <w:r>
        <w:t xml:space="preserve"> </w:t>
      </w:r>
      <w:r>
        <w:rPr>
          <w:iCs/>
          <w:i/>
        </w:rPr>
        <w:t xml:space="preserve">et al.</w:t>
      </w:r>
      <w:r>
        <w:t xml:space="preserve"> Terrestrial biosphere models need better representation of vegetation phenology: Results from the</w:t>
      </w:r>
      <w:r>
        <w:t xml:space="preserve"> </w:t>
      </w:r>
      <w:r>
        <w:t xml:space="preserve">North American Carbon Program Site Synthesis</w:t>
      </w:r>
      <w:r>
        <w:t xml:space="preserve">.</w:t>
      </w:r>
      <w:r>
        <w:t xml:space="preserve"> </w:t>
      </w:r>
      <w:r>
        <w:rPr>
          <w:iCs/>
          <w:i/>
        </w:rPr>
        <w:t xml:space="preserve">Global Change Biology</w:t>
      </w:r>
      <w:r>
        <w:t xml:space="preserve"> </w:t>
      </w:r>
      <w:r>
        <w:rPr>
          <w:bCs/>
          <w:b/>
        </w:rPr>
        <w:t xml:space="preserve">18</w:t>
      </w:r>
      <w:r>
        <w:t xml:space="preserve">, 566–584 (2012).</w:t>
      </w:r>
    </w:p>
    <w:bookmarkEnd w:id="67"/>
    <w:bookmarkStart w:id="69" w:name="ref-harris_global_2021"/>
    <w:p>
      <w:pPr>
        <w:pStyle w:val="Bibliography"/>
      </w:pPr>
      <w:r>
        <w:t xml:space="preserve">13.</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68">
        <w:r>
          <w:rPr>
            <w:rStyle w:val="Hyperlink"/>
          </w:rPr>
          <w:t xml:space="preserve">10.1038/s41558-020-00976-6</w:t>
        </w:r>
      </w:hyperlink>
      <w:r>
        <w:t xml:space="preserve">.</w:t>
      </w:r>
    </w:p>
    <w:bookmarkEnd w:id="69"/>
    <w:bookmarkStart w:id="70" w:name="ref-pugh_role_2019"/>
    <w:p>
      <w:pPr>
        <w:pStyle w:val="Bibliography"/>
      </w:pPr>
      <w:r>
        <w:t xml:space="preserve">14.</w:t>
      </w:r>
      <w:r>
        <w:t xml:space="preserve"> </w:t>
      </w:r>
      <w:r>
        <w:t xml:space="preserve">	</w:t>
      </w:r>
      <w:r>
        <w:t xml:space="preserve">Pugh, T. A. M.</w:t>
      </w:r>
      <w:r>
        <w:t xml:space="preserve"> </w:t>
      </w:r>
      <w:r>
        <w:rPr>
          <w:iCs/>
          <w:i/>
        </w:rPr>
        <w:t xml:space="preserve">et al.</w:t>
      </w:r>
      <w:r>
        <w:t xml:space="preserve"> Role of forest regrowth in global carbon sink dynamics.</w:t>
      </w:r>
      <w:r>
        <w:t xml:space="preserve"> </w:t>
      </w:r>
      <w:r>
        <w:rPr>
          <w:iCs/>
          <w:i/>
        </w:rPr>
        <w:t xml:space="preserve">Proceedings of the National Academy of Sciences</w:t>
      </w:r>
      <w:r>
        <w:t xml:space="preserve"> </w:t>
      </w:r>
      <w:r>
        <w:rPr>
          <w:bCs/>
          <w:b/>
        </w:rPr>
        <w:t xml:space="preserve">116</w:t>
      </w:r>
      <w:r>
        <w:t xml:space="preserve">, 4382–4387 (2019).</w:t>
      </w:r>
    </w:p>
    <w:bookmarkEnd w:id="70"/>
    <w:bookmarkStart w:id="71" w:name="ref-ahlstrom_robustness_2012"/>
    <w:p>
      <w:pPr>
        <w:pStyle w:val="Bibliography"/>
      </w:pPr>
      <w:r>
        <w:t xml:space="preserve">15.</w:t>
      </w:r>
      <w:r>
        <w:t xml:space="preserve"> </w:t>
      </w:r>
      <w:r>
        <w:t xml:space="preserve">	</w:t>
      </w:r>
      <w:r>
        <w:t xml:space="preserve">Ahlström, A., Schurgers, G., Arneth, A. &amp; Smith, B. Robustness and uncertainty in terrestrial ecosystem carbon response to</w:t>
      </w:r>
      <w:r>
        <w:t xml:space="preserve"> </w:t>
      </w:r>
      <w:r>
        <w:t xml:space="preserve">CMIP5</w:t>
      </w:r>
      <w:r>
        <w:t xml:space="preserve"> </w:t>
      </w:r>
      <w:r>
        <w:t xml:space="preserve">climate change projections.</w:t>
      </w:r>
      <w:r>
        <w:t xml:space="preserve"> </w:t>
      </w:r>
      <w:r>
        <w:rPr>
          <w:iCs/>
          <w:i/>
        </w:rPr>
        <w:t xml:space="preserve">Environmental Research Letters</w:t>
      </w:r>
      <w:r>
        <w:t xml:space="preserve"> </w:t>
      </w:r>
      <w:r>
        <w:rPr>
          <w:bCs/>
          <w:b/>
        </w:rPr>
        <w:t xml:space="preserve">7</w:t>
      </w:r>
      <w:r>
        <w:t xml:space="preserve">, 044008 (2012).</w:t>
      </w:r>
    </w:p>
    <w:bookmarkEnd w:id="71"/>
    <w:bookmarkStart w:id="72" w:name="ref-friedlingstein_global_2020"/>
    <w:p>
      <w:pPr>
        <w:pStyle w:val="Bibliography"/>
      </w:pPr>
      <w:r>
        <w:t xml:space="preserve">16.</w:t>
      </w:r>
      <w:r>
        <w:t xml:space="preserve"> </w:t>
      </w:r>
      <w:r>
        <w:t xml:space="preserve">	</w:t>
      </w:r>
      <w:r>
        <w:t xml:space="preserve">Friedlingstein, P.</w:t>
      </w:r>
      <w:r>
        <w:t xml:space="preserve"> </w:t>
      </w:r>
      <w:r>
        <w:rPr>
          <w:iCs/>
          <w:i/>
        </w:rPr>
        <w:t xml:space="preserve">et al.</w:t>
      </w:r>
      <w:r>
        <w:t xml:space="preserve"> Global</w:t>
      </w:r>
      <w:r>
        <w:t xml:space="preserve"> </w:t>
      </w:r>
      <w:r>
        <w:t xml:space="preserve">Carbon Budget</w:t>
      </w:r>
      <w:r>
        <w:t xml:space="preserve"> </w:t>
      </w:r>
      <w:r>
        <w:t xml:space="preserve">2020.</w:t>
      </w:r>
      <w:r>
        <w:t xml:space="preserve"> </w:t>
      </w:r>
      <w:r>
        <w:rPr>
          <w:iCs/>
          <w:i/>
        </w:rPr>
        <w:t xml:space="preserve">Earth System Science Data</w:t>
      </w:r>
      <w:r>
        <w:t xml:space="preserve"> </w:t>
      </w:r>
      <w:r>
        <w:rPr>
          <w:bCs/>
          <w:b/>
        </w:rPr>
        <w:t xml:space="preserve">12</w:t>
      </w:r>
      <w:r>
        <w:t xml:space="preserve">, 3269–3340 (2020).</w:t>
      </w:r>
    </w:p>
    <w:bookmarkEnd w:id="72"/>
    <w:bookmarkStart w:id="73" w:name="ref-fatichi_moving_2014"/>
    <w:p>
      <w:pPr>
        <w:pStyle w:val="Bibliography"/>
      </w:pPr>
      <w:r>
        <w:t xml:space="preserve">17.</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73"/>
    <w:bookmarkStart w:id="74" w:name="ref-lu_no_2022"/>
    <w:p>
      <w:pPr>
        <w:pStyle w:val="Bibliography"/>
      </w:pPr>
      <w:r>
        <w:t xml:space="preserve">18.</w:t>
      </w:r>
      <w:r>
        <w:t xml:space="preserve"> </w:t>
      </w:r>
      <w:r>
        <w:t xml:space="preserve">	</w:t>
      </w:r>
      <w:r>
        <w:t xml:space="preserve">Lu, X. &amp; Keenan, T. F. No evidence for a negative effect of growing season photosynthesis on leaf senescence timing.</w:t>
      </w:r>
      <w:r>
        <w:t xml:space="preserve"> </w:t>
      </w:r>
      <w:r>
        <w:rPr>
          <w:iCs/>
          <w:i/>
        </w:rPr>
        <w:t xml:space="preserve">Global Change Biology</w:t>
      </w:r>
      <w:r>
        <w:t xml:space="preserve"> </w:t>
      </w:r>
      <w:r>
        <w:rPr>
          <w:bCs/>
          <w:b/>
        </w:rPr>
        <w:t xml:space="preserve">28</w:t>
      </w:r>
      <w:r>
        <w:t xml:space="preserve">, 3083–3093 (2022).</w:t>
      </w:r>
    </w:p>
    <w:bookmarkEnd w:id="74"/>
    <w:bookmarkStart w:id="75" w:name="ref-jiang_fate_2020"/>
    <w:p>
      <w:pPr>
        <w:pStyle w:val="Bibliography"/>
      </w:pPr>
      <w:r>
        <w:t xml:space="preserve">19.</w:t>
      </w:r>
      <w:r>
        <w:t xml:space="preserve"> </w:t>
      </w:r>
      <w:r>
        <w:t xml:space="preserve">	</w:t>
      </w:r>
      <w:r>
        <w:t xml:space="preserve">Jiang, M.</w:t>
      </w:r>
      <w:r>
        <w:t xml:space="preserve"> </w:t>
      </w:r>
      <w:r>
        <w:rPr>
          <w:iCs/>
          <w:i/>
        </w:rPr>
        <w:t xml:space="preserve">et al.</w:t>
      </w:r>
      <w:r>
        <w:t xml:space="preserve"> The fate of carbon in a mature forest under carbon dioxide enrichment.</w:t>
      </w:r>
      <w:r>
        <w:t xml:space="preserve"> </w:t>
      </w:r>
      <w:r>
        <w:rPr>
          <w:iCs/>
          <w:i/>
        </w:rPr>
        <w:t xml:space="preserve">Nature</w:t>
      </w:r>
      <w:r>
        <w:t xml:space="preserve"> </w:t>
      </w:r>
      <w:r>
        <w:rPr>
          <w:bCs/>
          <w:b/>
        </w:rPr>
        <w:t xml:space="preserve">580</w:t>
      </w:r>
      <w:r>
        <w:t xml:space="preserve">, 227–231 (2020).</w:t>
      </w:r>
    </w:p>
    <w:bookmarkEnd w:id="75"/>
    <w:bookmarkStart w:id="76" w:name="ref-oishi_warmer_2018"/>
    <w:p>
      <w:pPr>
        <w:pStyle w:val="Bibliography"/>
      </w:pPr>
      <w:r>
        <w:t xml:space="preserve">20.</w:t>
      </w:r>
      <w:r>
        <w:t xml:space="preserve"> </w:t>
      </w:r>
      <w:r>
        <w:t xml:space="preserve">	</w:t>
      </w:r>
      <w:r>
        <w:t xml:space="preserve">Oishi, A. C.</w:t>
      </w:r>
      <w:r>
        <w:t xml:space="preserve"> </w:t>
      </w:r>
      <w:r>
        <w:rPr>
          <w:iCs/>
          <w:i/>
        </w:rPr>
        <w:t xml:space="preserve">et al.</w:t>
      </w:r>
      <w:r>
        <w:t xml:space="preserve"> Warmer temperatures reduce net carbon uptake, but do not affect water use, in a mature southern</w:t>
      </w:r>
      <w:r>
        <w:t xml:space="preserve"> </w:t>
      </w:r>
      <w:r>
        <w:t xml:space="preserve">Appalachian</w:t>
      </w:r>
      <w:r>
        <w:t xml:space="preserve"> </w:t>
      </w:r>
      <w:r>
        <w:t xml:space="preserve">forest.</w:t>
      </w:r>
      <w:r>
        <w:t xml:space="preserve"> </w:t>
      </w:r>
      <w:r>
        <w:rPr>
          <w:iCs/>
          <w:i/>
        </w:rPr>
        <w:t xml:space="preserve">Agricultural and Forest Meteorology</w:t>
      </w:r>
      <w:r>
        <w:t xml:space="preserve"> </w:t>
      </w:r>
      <w:r>
        <w:rPr>
          <w:bCs/>
          <w:b/>
        </w:rPr>
        <w:t xml:space="preserve">252</w:t>
      </w:r>
      <w:r>
        <w:t xml:space="preserve">, 269–282 (2018).</w:t>
      </w:r>
    </w:p>
    <w:bookmarkEnd w:id="76"/>
    <w:bookmarkStart w:id="77" w:name="ref-delpierre_wood_2016"/>
    <w:p>
      <w:pPr>
        <w:pStyle w:val="Bibliography"/>
      </w:pPr>
      <w:r>
        <w:t xml:space="preserve">21.</w:t>
      </w:r>
      <w:r>
        <w:t xml:space="preserve"> </w:t>
      </w:r>
      <w:r>
        <w:t xml:space="preserve">	</w:t>
      </w:r>
      <w:r>
        <w:t xml:space="preserve">Delpierre, N., Berveiller, D., Granda, E. &amp; Dufrêne, E. Wood phenology, not carbon input, controls the interannual variability of wood growth in a temperate oak forest.</w:t>
      </w:r>
      <w:r>
        <w:t xml:space="preserve"> </w:t>
      </w:r>
      <w:r>
        <w:rPr>
          <w:iCs/>
          <w:i/>
        </w:rPr>
        <w:t xml:space="preserve">New Phytologist</w:t>
      </w:r>
      <w:r>
        <w:t xml:space="preserve"> </w:t>
      </w:r>
      <w:r>
        <w:rPr>
          <w:bCs/>
          <w:b/>
        </w:rPr>
        <w:t xml:space="preserve">210</w:t>
      </w:r>
      <w:r>
        <w:t xml:space="preserve">, 459–470 (2016).</w:t>
      </w:r>
    </w:p>
    <w:bookmarkEnd w:id="77"/>
    <w:bookmarkStart w:id="78" w:name="ref-huang_photoperiod_2020"/>
    <w:p>
      <w:pPr>
        <w:pStyle w:val="Bibliography"/>
      </w:pPr>
      <w:r>
        <w:t xml:space="preserve">22.</w:t>
      </w:r>
      <w:r>
        <w:t xml:space="preserve"> </w:t>
      </w:r>
      <w:r>
        <w:t xml:space="preserve">	</w:t>
      </w:r>
      <w:r>
        <w:t xml:space="preserve">Huang, J.-G.</w:t>
      </w:r>
      <w:r>
        <w:t xml:space="preserve"> </w:t>
      </w:r>
      <w:r>
        <w:rPr>
          <w:iCs/>
          <w:i/>
        </w:rPr>
        <w:t xml:space="preserve">et al.</w:t>
      </w:r>
      <w:r>
        <w:t xml:space="preserve"> Photoperiod and temperature as dominant environmental drivers triggering secondary growth resumption in</w:t>
      </w:r>
      <w:r>
        <w:t xml:space="preserve"> </w:t>
      </w:r>
      <w:r>
        <w:t xml:space="preserve">Northern Hemisphere</w:t>
      </w:r>
      <w:r>
        <w:t xml:space="preserve"> </w:t>
      </w:r>
      <w:r>
        <w:t xml:space="preserve">conifers.</w:t>
      </w:r>
      <w:r>
        <w:t xml:space="preserve"> </w:t>
      </w:r>
      <w:r>
        <w:rPr>
          <w:iCs/>
          <w:i/>
        </w:rPr>
        <w:t xml:space="preserve">Proceedings of the National Academy of Sciences</w:t>
      </w:r>
      <w:r>
        <w:t xml:space="preserve"> </w:t>
      </w:r>
      <w:r>
        <w:rPr>
          <w:bCs/>
          <w:b/>
        </w:rPr>
        <w:t xml:space="preserve">117</w:t>
      </w:r>
      <w:r>
        <w:t xml:space="preserve">, 20645–20652 (2020).</w:t>
      </w:r>
    </w:p>
    <w:bookmarkEnd w:id="78"/>
    <w:bookmarkStart w:id="79" w:name="ref-rossi_critical_2008"/>
    <w:p>
      <w:pPr>
        <w:pStyle w:val="Bibliography"/>
      </w:pPr>
      <w:r>
        <w:t xml:space="preserve">23.</w:t>
      </w:r>
      <w:r>
        <w:t xml:space="preserve"> </w:t>
      </w:r>
      <w:r>
        <w:t xml:space="preserve">	</w:t>
      </w:r>
      <w:r>
        <w:t xml:space="preserve">Rossi, S.</w:t>
      </w:r>
      <w:r>
        <w:t xml:space="preserve"> </w:t>
      </w:r>
      <w:r>
        <w:rPr>
          <w:iCs/>
          <w:i/>
        </w:rPr>
        <w:t xml:space="preserve">et al.</w:t>
      </w:r>
      <w:r>
        <w:t xml:space="preserve"> Critical temperatures for xylogenesis in conifers of cold climates.</w:t>
      </w:r>
      <w:r>
        <w:t xml:space="preserve"> </w:t>
      </w:r>
      <w:r>
        <w:rPr>
          <w:iCs/>
          <w:i/>
        </w:rPr>
        <w:t xml:space="preserve">Global Ecology and Biogeography</w:t>
      </w:r>
      <w:r>
        <w:t xml:space="preserve"> </w:t>
      </w:r>
      <w:r>
        <w:rPr>
          <w:bCs/>
          <w:b/>
        </w:rPr>
        <w:t xml:space="preserve">17</w:t>
      </w:r>
      <w:r>
        <w:t xml:space="preserve">, 696–707 (2008).</w:t>
      </w:r>
    </w:p>
    <w:bookmarkEnd w:id="79"/>
    <w:bookmarkStart w:id="80" w:name="ref-babst_twentieth_2019"/>
    <w:p>
      <w:pPr>
        <w:pStyle w:val="Bibliography"/>
      </w:pPr>
      <w:r>
        <w:t xml:space="preserve">24.</w:t>
      </w:r>
      <w:r>
        <w:t xml:space="preserve"> </w:t>
      </w:r>
      <w:r>
        <w:t xml:space="preserve">	</w:t>
      </w:r>
      <w:r>
        <w:t xml:space="preserve">Babst, F.</w:t>
      </w:r>
      <w:r>
        <w:t xml:space="preserve"> </w:t>
      </w:r>
      <w:r>
        <w:rPr>
          <w:iCs/>
          <w:i/>
        </w:rPr>
        <w:t xml:space="preserve">et al.</w:t>
      </w:r>
      <w:r>
        <w:t xml:space="preserve"> Twentieth century redistribution in climatic drivers of global tree growth.</w:t>
      </w:r>
      <w:r>
        <w:t xml:space="preserve"> </w:t>
      </w:r>
      <w:r>
        <w:rPr>
          <w:iCs/>
          <w:i/>
        </w:rPr>
        <w:t xml:space="preserve">Science Advances</w:t>
      </w:r>
      <w:r>
        <w:t xml:space="preserve"> </w:t>
      </w:r>
      <w:r>
        <w:rPr>
          <w:bCs/>
          <w:b/>
        </w:rPr>
        <w:t xml:space="preserve">5</w:t>
      </w:r>
      <w:r>
        <w:t xml:space="preserve">, eaat4313 (2019).</w:t>
      </w:r>
    </w:p>
    <w:bookmarkEnd w:id="80"/>
    <w:bookmarkStart w:id="82" w:name="ref-gao_earlier_2022"/>
    <w:p>
      <w:pPr>
        <w:pStyle w:val="Bibliography"/>
      </w:pPr>
      <w:r>
        <w:t xml:space="preserve">25.</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81">
        <w:r>
          <w:rPr>
            <w:rStyle w:val="Hyperlink"/>
          </w:rPr>
          <w:t xml:space="preserve">10.1038/s41559-022-01668-4</w:t>
        </w:r>
      </w:hyperlink>
      <w:r>
        <w:t xml:space="preserve">.</w:t>
      </w:r>
    </w:p>
    <w:bookmarkEnd w:id="82"/>
    <w:bookmarkStart w:id="83" w:name="ref-zweifel_why_2021"/>
    <w:p>
      <w:pPr>
        <w:pStyle w:val="Bibliography"/>
      </w:pPr>
      <w:r>
        <w:t xml:space="preserve">26.</w:t>
      </w:r>
      <w:r>
        <w:t xml:space="preserve"> </w:t>
      </w:r>
      <w:r>
        <w:t xml:space="preserve">	</w:t>
      </w:r>
      <w:r>
        <w:t xml:space="preserve">Zweifel, R.</w:t>
      </w:r>
      <w:r>
        <w:t xml:space="preserve"> </w:t>
      </w:r>
      <w:r>
        <w:rPr>
          <w:iCs/>
          <w:i/>
        </w:rPr>
        <w:t xml:space="preserve">et al.</w:t>
      </w:r>
      <w:r>
        <w:t xml:space="preserve"> Why trees grow at night.</w:t>
      </w:r>
      <w:r>
        <w:t xml:space="preserve"> </w:t>
      </w:r>
      <w:r>
        <w:rPr>
          <w:iCs/>
          <w:i/>
        </w:rPr>
        <w:t xml:space="preserve">New Phytologist</w:t>
      </w:r>
      <w:r>
        <w:t xml:space="preserve"> </w:t>
      </w:r>
      <w:r>
        <w:rPr>
          <w:bCs/>
          <w:b/>
        </w:rPr>
        <w:t xml:space="preserve">231</w:t>
      </w:r>
      <w:r>
        <w:t xml:space="preserve">, 2174–2185 (2021).</w:t>
      </w:r>
    </w:p>
    <w:bookmarkEnd w:id="83"/>
    <w:bookmarkStart w:id="84" w:name="ref-tumajer_limitation_2022"/>
    <w:p>
      <w:pPr>
        <w:pStyle w:val="Bibliography"/>
      </w:pPr>
      <w:r>
        <w:t xml:space="preserve">27.</w:t>
      </w:r>
      <w:r>
        <w:t xml:space="preserve"> </w:t>
      </w:r>
      <w:r>
        <w:t xml:space="preserve">	</w:t>
      </w:r>
      <w:r>
        <w:t xml:space="preserve">Tumajer, J., Scharnweber, T., Smiljanic, M. &amp; Wilmking, M. Limitation by vapour pressure deficit shapes different intra-annual growth patterns of diffuse- and ring-porous temperate broadleaves.</w:t>
      </w:r>
      <w:r>
        <w:t xml:space="preserve"> </w:t>
      </w:r>
      <w:r>
        <w:rPr>
          <w:iCs/>
          <w:i/>
        </w:rPr>
        <w:t xml:space="preserve">New Phytologist</w:t>
      </w:r>
      <w:r>
        <w:t xml:space="preserve"> </w:t>
      </w:r>
      <w:r>
        <w:rPr>
          <w:bCs/>
          <w:b/>
        </w:rPr>
        <w:t xml:space="preserve">233</w:t>
      </w:r>
      <w:r>
        <w:t xml:space="preserve">, 2429–2441 (2022).</w:t>
      </w:r>
    </w:p>
    <w:bookmarkEnd w:id="84"/>
    <w:bookmarkStart w:id="85" w:name="ref-etzold_number_2022"/>
    <w:p>
      <w:pPr>
        <w:pStyle w:val="Bibliography"/>
      </w:pPr>
      <w:r>
        <w:t xml:space="preserve">28.</w:t>
      </w:r>
      <w:r>
        <w:t xml:space="preserve"> </w:t>
      </w:r>
      <w:r>
        <w:t xml:space="preserve">	</w:t>
      </w:r>
      <w:r>
        <w:t xml:space="preserve">Etzold, S.</w:t>
      </w:r>
      <w:r>
        <w:t xml:space="preserve"> </w:t>
      </w:r>
      <w:r>
        <w:rPr>
          <w:iCs/>
          <w:i/>
        </w:rPr>
        <w:t xml:space="preserve">et al.</w:t>
      </w:r>
      <w:r>
        <w:t xml:space="preserve"> Number of growth days and not length of the growth period determines radial stem growth of temperate trees.</w:t>
      </w:r>
      <w:r>
        <w:t xml:space="preserve"> </w:t>
      </w:r>
      <w:r>
        <w:rPr>
          <w:iCs/>
          <w:i/>
        </w:rPr>
        <w:t xml:space="preserve">Ecology Letters</w:t>
      </w:r>
      <w:r>
        <w:t xml:space="preserve"> </w:t>
      </w:r>
      <w:r>
        <w:rPr>
          <w:bCs/>
          <w:b/>
        </w:rPr>
        <w:t xml:space="preserve">25</w:t>
      </w:r>
      <w:r>
        <w:t xml:space="preserve">, 427–439 (2022).</w:t>
      </w:r>
    </w:p>
    <w:bookmarkEnd w:id="85"/>
    <w:bookmarkStart w:id="86" w:name="ref-zani_increased_2020"/>
    <w:p>
      <w:pPr>
        <w:pStyle w:val="Bibliography"/>
      </w:pPr>
      <w:r>
        <w:t xml:space="preserve">29.</w:t>
      </w:r>
      <w:r>
        <w:t xml:space="preserve"> </w:t>
      </w:r>
      <w:r>
        <w:t xml:space="preserve">	</w:t>
      </w:r>
      <w:r>
        <w:t xml:space="preserve">Zani, D., Crowther, T. W., Mo, L., Renner, S. S. &amp; Zohner, C. M. Increased growing-season productivity drives earlier autumn leaf senescence in temperate trees.</w:t>
      </w:r>
      <w:r>
        <w:t xml:space="preserve"> </w:t>
      </w:r>
      <w:r>
        <w:rPr>
          <w:iCs/>
          <w:i/>
        </w:rPr>
        <w:t xml:space="preserve">Science</w:t>
      </w:r>
      <w:r>
        <w:t xml:space="preserve"> </w:t>
      </w:r>
      <w:r>
        <w:rPr>
          <w:bCs/>
          <w:b/>
        </w:rPr>
        <w:t xml:space="preserve">370</w:t>
      </w:r>
      <w:r>
        <w:t xml:space="preserve">, 1066–1071 (2020).</w:t>
      </w:r>
    </w:p>
    <w:bookmarkEnd w:id="86"/>
    <w:bookmarkStart w:id="87" w:name="ref-zohner_how_2021"/>
    <w:p>
      <w:pPr>
        <w:pStyle w:val="Bibliography"/>
      </w:pPr>
      <w:r>
        <w:t xml:space="preserve">30.</w:t>
      </w:r>
      <w:r>
        <w:t xml:space="preserve"> </w:t>
      </w:r>
      <w:r>
        <w:t xml:space="preserve">	</w:t>
      </w:r>
      <w:r>
        <w:t xml:space="preserve">Zohner, C. M., Renner, S. S., Sebald, V. &amp; Crowther, T. W. How changes in spring and autumn phenology translate into growth-experimental evidence of asymmetric effects.</w:t>
      </w:r>
      <w:r>
        <w:t xml:space="preserve"> </w:t>
      </w:r>
      <w:r>
        <w:rPr>
          <w:iCs/>
          <w:i/>
        </w:rPr>
        <w:t xml:space="preserve">Journal of Ecology</w:t>
      </w:r>
      <w:r>
        <w:t xml:space="preserve"> </w:t>
      </w:r>
      <w:r>
        <w:rPr>
          <w:bCs/>
          <w:b/>
        </w:rPr>
        <w:t xml:space="preserve">109</w:t>
      </w:r>
      <w:r>
        <w:t xml:space="preserve">, 2717–2728 (2021).</w:t>
      </w:r>
    </w:p>
    <w:bookmarkEnd w:id="87"/>
    <w:bookmarkStart w:id="88" w:name="ref-cabon_crossbiome_2022"/>
    <w:p>
      <w:pPr>
        <w:pStyle w:val="Bibliography"/>
      </w:pPr>
      <w:r>
        <w:t xml:space="preserve">31.</w:t>
      </w:r>
      <w:r>
        <w:t xml:space="preserve"> </w:t>
      </w:r>
      <w:r>
        <w:t xml:space="preserve">	</w:t>
      </w:r>
      <w:r>
        <w:t xml:space="preserve">Cabon, A.</w:t>
      </w:r>
      <w:r>
        <w:t xml:space="preserve"> </w:t>
      </w:r>
      <w:r>
        <w:rPr>
          <w:iCs/>
          <w:i/>
        </w:rPr>
        <w:t xml:space="preserve">et al.</w:t>
      </w:r>
      <w:r>
        <w:t xml:space="preserve"> Cross-biome synthesis of source versus sink limits to tree growth.</w:t>
      </w:r>
      <w:r>
        <w:t xml:space="preserve"> </w:t>
      </w:r>
      <w:r>
        <w:rPr>
          <w:iCs/>
          <w:i/>
        </w:rPr>
        <w:t xml:space="preserve">Science</w:t>
      </w:r>
      <w:r>
        <w:t xml:space="preserve"> </w:t>
      </w:r>
      <w:r>
        <w:rPr>
          <w:bCs/>
          <w:b/>
        </w:rPr>
        <w:t xml:space="preserve">376</w:t>
      </w:r>
      <w:r>
        <w:t xml:space="preserve">, 758–761 (2022).</w:t>
      </w:r>
    </w:p>
    <w:bookmarkEnd w:id="88"/>
    <w:bookmarkStart w:id="89"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Drought timing and local climate determine the sensitivity of eastern temperate forests to drought.</w:t>
      </w:r>
      <w:r>
        <w:t xml:space="preserve"> </w:t>
      </w:r>
      <w:r>
        <w:rPr>
          <w:iCs/>
          <w:i/>
        </w:rPr>
        <w:t xml:space="preserve">Global Change Biology</w:t>
      </w:r>
      <w:r>
        <w:t xml:space="preserve"> </w:t>
      </w:r>
      <w:r>
        <w:rPr>
          <w:bCs/>
          <w:b/>
        </w:rPr>
        <w:t xml:space="preserve">24</w:t>
      </w:r>
      <w:r>
        <w:t xml:space="preserve">, 2339–2351 (2018).</w:t>
      </w:r>
    </w:p>
    <w:bookmarkEnd w:id="89"/>
    <w:bookmarkStart w:id="90"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Growing season moisture drives interannual variation in woody productivity of a temperate deciduous forest.</w:t>
      </w:r>
      <w:r>
        <w:t xml:space="preserve"> </w:t>
      </w:r>
      <w:r>
        <w:rPr>
          <w:iCs/>
          <w:i/>
        </w:rPr>
        <w:t xml:space="preserve">New Phytologist</w:t>
      </w:r>
      <w:r>
        <w:t xml:space="preserve"> </w:t>
      </w:r>
      <w:r>
        <w:rPr>
          <w:bCs/>
          <w:b/>
        </w:rPr>
        <w:t xml:space="preserve">223</w:t>
      </w:r>
      <w:r>
        <w:t xml:space="preserve">, 1204–1216 (2019).</w:t>
      </w:r>
    </w:p>
    <w:bookmarkEnd w:id="90"/>
    <w:bookmarkStart w:id="91" w:name="ref-mcmahon_general_2015"/>
    <w:p>
      <w:pPr>
        <w:pStyle w:val="Bibliography"/>
      </w:pPr>
      <w:r>
        <w:t xml:space="preserve">34.</w:t>
      </w:r>
      <w:r>
        <w:t xml:space="preserve"> </w:t>
      </w:r>
      <w:r>
        <w:t xml:space="preserve">	</w:t>
      </w:r>
      <w:r>
        <w:t xml:space="preserve">McMahon, S. M. &amp; Parker, G. G. A general model of intra-annual tree growth using dendrometer bands.</w:t>
      </w:r>
      <w:r>
        <w:t xml:space="preserve"> </w:t>
      </w:r>
      <w:r>
        <w:rPr>
          <w:iCs/>
          <w:i/>
        </w:rPr>
        <w:t xml:space="preserve">Ecology and Evolution</w:t>
      </w:r>
      <w:r>
        <w:t xml:space="preserve"> </w:t>
      </w:r>
      <w:r>
        <w:rPr>
          <w:bCs/>
          <w:b/>
        </w:rPr>
        <w:t xml:space="preserve">5</w:t>
      </w:r>
      <w:r>
        <w:t xml:space="preserve">, 243–254 (2015).</w:t>
      </w:r>
    </w:p>
    <w:bookmarkEnd w:id="91"/>
    <w:bookmarkStart w:id="92"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Peak radial growth of diffuse-porous species occurs during periods of lower water availability than for ring-porous and coniferous trees.</w:t>
      </w:r>
      <w:r>
        <w:t xml:space="preserve"> </w:t>
      </w:r>
      <w:r>
        <w:rPr>
          <w:iCs/>
          <w:i/>
        </w:rPr>
        <w:t xml:space="preserve">Tree Physiology</w:t>
      </w:r>
      <w:r>
        <w:t xml:space="preserve"> </w:t>
      </w:r>
      <w:r>
        <w:rPr>
          <w:bCs/>
          <w:b/>
        </w:rPr>
        <w:t xml:space="preserve">42</w:t>
      </w:r>
      <w:r>
        <w:t xml:space="preserve">, 304–316 (2022).</w:t>
      </w:r>
    </w:p>
    <w:bookmarkEnd w:id="92"/>
    <w:bookmarkStart w:id="93"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Seasonal dynamics and age of stemwood nonstructural carbohydrates in temperate forest trees.</w:t>
      </w:r>
      <w:r>
        <w:t xml:space="preserve"> </w:t>
      </w:r>
      <w:r>
        <w:rPr>
          <w:iCs/>
          <w:i/>
        </w:rPr>
        <w:t xml:space="preserve">New Phytologist</w:t>
      </w:r>
      <w:r>
        <w:t xml:space="preserve"> </w:t>
      </w:r>
      <w:r>
        <w:rPr>
          <w:bCs/>
          <w:b/>
        </w:rPr>
        <w:t xml:space="preserve">197</w:t>
      </w:r>
      <w:r>
        <w:t xml:space="preserve">, 850–861 (2013).</w:t>
      </w:r>
    </w:p>
    <w:bookmarkEnd w:id="93"/>
    <w:bookmarkStart w:id="94" w:name="ref-elmore_earlier_2016"/>
    <w:p>
      <w:pPr>
        <w:pStyle w:val="Bibliography"/>
      </w:pPr>
      <w:r>
        <w:t xml:space="preserve">37.</w:t>
      </w:r>
      <w:r>
        <w:t xml:space="preserve"> </w:t>
      </w:r>
      <w:r>
        <w:t xml:space="preserve">	</w:t>
      </w:r>
      <w:r>
        <w:t xml:space="preserve">Elmore, A. J., Nelson, D. M. &amp; Craine, J. M. Earlier springs are causing reduced nitrogen availability in</w:t>
      </w:r>
      <w:r>
        <w:t xml:space="preserve"> </w:t>
      </w:r>
      <w:r>
        <w:t xml:space="preserve">North American</w:t>
      </w:r>
      <w:r>
        <w:t xml:space="preserve"> </w:t>
      </w:r>
      <w:r>
        <w:t xml:space="preserve">eastern deciduous forests.</w:t>
      </w:r>
      <w:r>
        <w:t xml:space="preserve"> </w:t>
      </w:r>
      <w:r>
        <w:rPr>
          <w:iCs/>
          <w:i/>
        </w:rPr>
        <w:t xml:space="preserve">Nature Plants</w:t>
      </w:r>
      <w:r>
        <w:t xml:space="preserve"> </w:t>
      </w:r>
      <w:r>
        <w:rPr>
          <w:bCs/>
          <w:b/>
        </w:rPr>
        <w:t xml:space="preserve">2</w:t>
      </w:r>
      <w:r>
        <w:t xml:space="preserve">, 16133 (2016).</w:t>
      </w:r>
    </w:p>
    <w:bookmarkEnd w:id="94"/>
    <w:bookmarkStart w:id="95"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Woody biomass production lags stem-girth increase by over one month in coniferous forests.</w:t>
      </w:r>
      <w:r>
        <w:t xml:space="preserve"> </w:t>
      </w:r>
      <w:r>
        <w:rPr>
          <w:iCs/>
          <w:i/>
        </w:rPr>
        <w:t xml:space="preserve">Nature Plants</w:t>
      </w:r>
      <w:r>
        <w:t xml:space="preserve"> </w:t>
      </w:r>
      <w:r>
        <w:rPr>
          <w:bCs/>
          <w:b/>
        </w:rPr>
        <w:t xml:space="preserve">1</w:t>
      </w:r>
      <w:r>
        <w:t xml:space="preserve">, 15160 (2015).</w:t>
      </w:r>
    </w:p>
    <w:bookmarkEnd w:id="95"/>
    <w:bookmarkStart w:id="96" w:name="ref-tardif_influence_2006"/>
    <w:p>
      <w:pPr>
        <w:pStyle w:val="Bibliography"/>
      </w:pPr>
      <w:r>
        <w:t xml:space="preserve">39.</w:t>
      </w:r>
      <w:r>
        <w:t xml:space="preserve"> </w:t>
      </w:r>
      <w:r>
        <w:t xml:space="preserve">	</w:t>
      </w:r>
      <w:r>
        <w:t xml:space="preserve">Tardif, J. C. &amp; Conciatori, F. Influence of climate on tree rings and vessel features in red oak and white oak growing near their northern distribution limit, southwestern</w:t>
      </w:r>
      <w:r>
        <w:t xml:space="preserve"> </w:t>
      </w:r>
      <w:r>
        <w:t xml:space="preserve">Quebec</w:t>
      </w:r>
      <w:r>
        <w:t xml:space="preserve">,</w:t>
      </w:r>
      <w:r>
        <w:t xml:space="preserve"> </w:t>
      </w:r>
      <w:r>
        <w:t xml:space="preserve">Canada</w:t>
      </w:r>
      <w:r>
        <w:t xml:space="preserve">.</w:t>
      </w:r>
      <w:r>
        <w:t xml:space="preserve"> </w:t>
      </w:r>
      <w:r>
        <w:rPr>
          <w:iCs/>
          <w:i/>
        </w:rPr>
        <w:t xml:space="preserve">Canadian Journal of Forest Research</w:t>
      </w:r>
      <w:r>
        <w:t xml:space="preserve"> </w:t>
      </w:r>
      <w:r>
        <w:rPr>
          <w:bCs/>
          <w:b/>
        </w:rPr>
        <w:t xml:space="preserve">36</w:t>
      </w:r>
      <w:r>
        <w:t xml:space="preserve">, 2317–2330 (2006).</w:t>
      </w:r>
    </w:p>
    <w:bookmarkEnd w:id="96"/>
    <w:bookmarkStart w:id="97"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The climatic response of tree ring width components of ash (</w:t>
      </w:r>
      <w:r>
        <w:t xml:space="preserve">Fraxinus</w:t>
      </w:r>
      <w:r>
        <w:t xml:space="preserve"> </w:t>
      </w:r>
      <w:r>
        <w:t xml:space="preserve">excelsior</w:t>
      </w:r>
      <w:r>
        <w:t xml:space="preserve"> </w:t>
      </w:r>
      <w:r>
        <w:t xml:space="preserve">L</w:t>
      </w:r>
      <w:r>
        <w:t xml:space="preserve">.) And common oak (</w:t>
      </w:r>
      <w:r>
        <w:t xml:space="preserve">Quercus</w:t>
      </w:r>
      <w:r>
        <w:t xml:space="preserve"> </w:t>
      </w:r>
      <w:r>
        <w:t xml:space="preserve">robur</w:t>
      </w:r>
      <w:r>
        <w:t xml:space="preserve"> </w:t>
      </w:r>
      <w:r>
        <w:t xml:space="preserve">L</w:t>
      </w:r>
      <w:r>
        <w:t xml:space="preserve">.) From eastern</w:t>
      </w:r>
      <w:r>
        <w:t xml:space="preserve"> </w:t>
      </w:r>
      <w:r>
        <w:t xml:space="preserve">Europe</w:t>
      </w:r>
      <w:r>
        <w:t xml:space="preserve">.</w:t>
      </w:r>
      <w:r>
        <w:t xml:space="preserve"> </w:t>
      </w:r>
      <w:r>
        <w:rPr>
          <w:iCs/>
          <w:i/>
        </w:rPr>
        <w:t xml:space="preserve">Forests</w:t>
      </w:r>
      <w:r>
        <w:t xml:space="preserve"> </w:t>
      </w:r>
      <w:r>
        <w:rPr>
          <w:bCs/>
          <w:b/>
        </w:rPr>
        <w:t xml:space="preserve">11</w:t>
      </w:r>
      <w:r>
        <w:t xml:space="preserve">, 600 (2020).</w:t>
      </w:r>
    </w:p>
    <w:bookmarkEnd w:id="97"/>
    <w:bookmarkStart w:id="98"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Multiple tree-ring proxies (earlywood width, latewood width and</w:t>
      </w:r>
      <w:r>
        <w:t xml:space="preserve"> </w:t>
      </w:r>
      <m:oMath>
        <m:r>
          <m:t>δ</m:t>
        </m:r>
      </m:oMath>
      <w:r>
        <w:t xml:space="preserve">13C</w:t>
      </w:r>
      <w:r>
        <w:t xml:space="preserve">) from pedunculate oak (</w:t>
      </w:r>
      <w:r>
        <w:t xml:space="preserve">Quercus</w:t>
      </w:r>
      <w:r>
        <w:t xml:space="preserve"> </w:t>
      </w:r>
      <w:r>
        <w:t xml:space="preserve">robur</w:t>
      </w:r>
      <w:r>
        <w:t xml:space="preserve"> </w:t>
      </w:r>
      <w:r>
        <w:t xml:space="preserve">L</w:t>
      </w:r>
      <w:r>
        <w:t xml:space="preserve">.),</w:t>
      </w:r>
      <w:r>
        <w:t xml:space="preserve"> </w:t>
      </w:r>
      <w:r>
        <w:t xml:space="preserve">Hungary</w:t>
      </w:r>
      <w:r>
        <w:t xml:space="preserve">.</w:t>
      </w:r>
      <w:r>
        <w:t xml:space="preserve"> </w:t>
      </w:r>
      <w:r>
        <w:rPr>
          <w:iCs/>
          <w:i/>
        </w:rPr>
        <w:t xml:space="preserve">Quaternary International</w:t>
      </w:r>
      <w:r>
        <w:t xml:space="preserve"> </w:t>
      </w:r>
      <w:r>
        <w:rPr>
          <w:bCs/>
          <w:b/>
        </w:rPr>
        <w:t xml:space="preserve">293</w:t>
      </w:r>
      <w:r>
        <w:t xml:space="preserve">, 257–267 (2013).</w:t>
      </w:r>
    </w:p>
    <w:bookmarkEnd w:id="98"/>
    <w:bookmarkStart w:id="99" w:name="ref-trumbore_quantifying_2002"/>
    <w:p>
      <w:pPr>
        <w:pStyle w:val="Bibliography"/>
      </w:pPr>
      <w:r>
        <w:t xml:space="preserve">42.</w:t>
      </w:r>
      <w:r>
        <w:t xml:space="preserve"> </w:t>
      </w:r>
      <w:r>
        <w:t xml:space="preserve">	</w:t>
      </w:r>
      <w:r>
        <w:t xml:space="preserve">Trumbore, S., Gaudinski, J. B., Hanson, P. J. &amp; Southon, J. R. Quantifying ecosystem-atmosphere carbon exchange with a</w:t>
      </w:r>
      <w:r>
        <w:t xml:space="preserve"> </w:t>
      </w:r>
      <w:r>
        <w:t xml:space="preserve">14C</w:t>
      </w:r>
      <w:r>
        <w:t xml:space="preserve"> </w:t>
      </w:r>
      <w:r>
        <w:t xml:space="preserve">label.</w:t>
      </w:r>
      <w:r>
        <w:t xml:space="preserve"> </w:t>
      </w:r>
      <w:r>
        <w:rPr>
          <w:iCs/>
          <w:i/>
        </w:rPr>
        <w:t xml:space="preserve">Eos, Transactions American Geophysical Union</w:t>
      </w:r>
      <w:r>
        <w:t xml:space="preserve"> </w:t>
      </w:r>
      <w:r>
        <w:rPr>
          <w:bCs/>
          <w:b/>
        </w:rPr>
        <w:t xml:space="preserve">83</w:t>
      </w:r>
      <w:r>
        <w:t xml:space="preserve">, 265–268 (2002).</w:t>
      </w:r>
    </w:p>
    <w:bookmarkEnd w:id="99"/>
    <w:bookmarkStart w:id="101"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100">
        <w:r>
          <w:rPr>
            <w:rStyle w:val="Hyperlink"/>
          </w:rPr>
          <w:t xml:space="preserve">10.1073/pnas.2002713117</w:t>
        </w:r>
      </w:hyperlink>
      <w:r>
        <w:t xml:space="preserve">.</w:t>
      </w:r>
    </w:p>
    <w:bookmarkEnd w:id="101"/>
    <w:bookmarkStart w:id="102"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 (2022).</w:t>
      </w:r>
    </w:p>
    <w:bookmarkEnd w:id="102"/>
    <w:bookmarkStart w:id="103"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Global patterns of forest autotrophic carbon fluxes.</w:t>
      </w:r>
      <w:r>
        <w:t xml:space="preserve"> </w:t>
      </w:r>
      <w:r>
        <w:rPr>
          <w:iCs/>
          <w:i/>
        </w:rPr>
        <w:t xml:space="preserve">Global Change Biology</w:t>
      </w:r>
      <w:r>
        <w:t xml:space="preserve"> </w:t>
      </w:r>
      <w:r>
        <w:rPr>
          <w:bCs/>
          <w:b/>
        </w:rPr>
        <w:t xml:space="preserve">27</w:t>
      </w:r>
      <w:r>
        <w:t xml:space="preserve">, 2840–2855 (2021).</w:t>
      </w:r>
    </w:p>
    <w:bookmarkEnd w:id="103"/>
    <w:bookmarkStart w:id="104" w:name="ref-churkina_spatial_2005"/>
    <w:p>
      <w:pPr>
        <w:pStyle w:val="Bibliography"/>
      </w:pPr>
      <w:r>
        <w:t xml:space="preserve">46.</w:t>
      </w:r>
      <w:r>
        <w:t xml:space="preserve"> </w:t>
      </w:r>
      <w:r>
        <w:t xml:space="preserve">	</w:t>
      </w:r>
      <w:r>
        <w:t xml:space="preserve">Churkina, G., Schimel, D., Braswell, B. H. &amp; Xiao, X. Spatial analysis of growing season length control over net ecosystem exchange.</w:t>
      </w:r>
      <w:r>
        <w:t xml:space="preserve"> </w:t>
      </w:r>
      <w:r>
        <w:rPr>
          <w:iCs/>
          <w:i/>
        </w:rPr>
        <w:t xml:space="preserve">Global Change Biology</w:t>
      </w:r>
      <w:r>
        <w:t xml:space="preserve"> </w:t>
      </w:r>
      <w:r>
        <w:rPr>
          <w:bCs/>
          <w:b/>
        </w:rPr>
        <w:t xml:space="preserve">11</w:t>
      </w:r>
      <w:r>
        <w:t xml:space="preserve">, 1777–1787 (2005).</w:t>
      </w:r>
    </w:p>
    <w:bookmarkEnd w:id="104"/>
    <w:bookmarkStart w:id="105"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Phenological mismatches between above- and belowground plant responses to climate warming.</w:t>
      </w:r>
      <w:r>
        <w:t xml:space="preserve"> </w:t>
      </w:r>
      <w:r>
        <w:rPr>
          <w:iCs/>
          <w:i/>
        </w:rPr>
        <w:t xml:space="preserve">Nature Climate Change</w:t>
      </w:r>
      <w:r>
        <w:t xml:space="preserve"> </w:t>
      </w:r>
      <w:r>
        <w:rPr>
          <w:bCs/>
          <w:b/>
        </w:rPr>
        <w:t xml:space="preserve">12</w:t>
      </w:r>
      <w:r>
        <w:t xml:space="preserve">, 97–102 (2022).</w:t>
      </w:r>
    </w:p>
    <w:bookmarkEnd w:id="105"/>
    <w:bookmarkStart w:id="106"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The increasing importance of atmospheric demand for ecosystem water and carbon fluxes.</w:t>
      </w:r>
      <w:r>
        <w:t xml:space="preserve"> </w:t>
      </w:r>
      <w:r>
        <w:rPr>
          <w:iCs/>
          <w:i/>
        </w:rPr>
        <w:t xml:space="preserve">Nature Climate Change</w:t>
      </w:r>
      <w:r>
        <w:t xml:space="preserve"> </w:t>
      </w:r>
      <w:r>
        <w:rPr>
          <w:bCs/>
          <w:b/>
        </w:rPr>
        <w:t xml:space="preserve">6</w:t>
      </w:r>
      <w:r>
        <w:t xml:space="preserve">, 1023–1027 (2016).</w:t>
      </w:r>
    </w:p>
    <w:bookmarkEnd w:id="106"/>
    <w:bookmarkStart w:id="107"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Drought limits wood production of</w:t>
      </w:r>
      <w:r>
        <w:t xml:space="preserve"> </w:t>
      </w:r>
      <w:r>
        <w:t xml:space="preserve">Juniperus</w:t>
      </w:r>
      <w:r>
        <w:t xml:space="preserve"> </w:t>
      </w:r>
      <w:r>
        <w:t xml:space="preserve">przewalskii even as growing seasons lengthens in a cold and arid environment.</w:t>
      </w:r>
      <w:r>
        <w:t xml:space="preserve"> </w:t>
      </w:r>
      <w:r>
        <w:rPr>
          <w:iCs/>
          <w:i/>
        </w:rPr>
        <w:t xml:space="preserve">CATENA</w:t>
      </w:r>
      <w:r>
        <w:t xml:space="preserve"> </w:t>
      </w:r>
      <w:r>
        <w:rPr>
          <w:bCs/>
          <w:b/>
        </w:rPr>
        <w:t xml:space="preserve">196</w:t>
      </w:r>
      <w:r>
        <w:t xml:space="preserve">, 104936 (2021).</w:t>
      </w:r>
    </w:p>
    <w:bookmarkEnd w:id="107"/>
    <w:bookmarkStart w:id="108"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Summer soil drying exacerbated by earlier spring greening of northern vegetation.</w:t>
      </w:r>
      <w:r>
        <w:t xml:space="preserve"> </w:t>
      </w:r>
      <w:r>
        <w:rPr>
          <w:iCs/>
          <w:i/>
        </w:rPr>
        <w:t xml:space="preserve">Science Advances</w:t>
      </w:r>
      <w:r>
        <w:t xml:space="preserve"> </w:t>
      </w:r>
      <w:r>
        <w:rPr>
          <w:bCs/>
          <w:b/>
        </w:rPr>
        <w:t xml:space="preserve">6</w:t>
      </w:r>
      <w:r>
        <w:t xml:space="preserve">, eaax0255 (2022).</w:t>
      </w:r>
    </w:p>
    <w:bookmarkEnd w:id="108"/>
    <w:bookmarkStart w:id="109" w:name="ref-bourg_initial_2013"/>
    <w:p>
      <w:pPr>
        <w:pStyle w:val="Bibliography"/>
      </w:pPr>
      <w:r>
        <w:t xml:space="preserve">51.</w:t>
      </w:r>
      <w:r>
        <w:t xml:space="preserve"> </w:t>
      </w:r>
      <w:r>
        <w:t xml:space="preserve">	</w:t>
      </w:r>
      <w:r>
        <w:t xml:space="preserve">Bourg, N. A., McShea, W. J., Thompson, J. R., McGarvey, J. C. &amp; Shen, X. Initial census, woody seedling, seed rain, and stand structure data for the</w:t>
      </w:r>
      <w:r>
        <w:t xml:space="preserve"> </w:t>
      </w:r>
      <w:r>
        <w:t xml:space="preserve">SCBI SIGEO Large Forest Dynamics Plot</w:t>
      </w:r>
      <w:r>
        <w:t xml:space="preserve">:</w:t>
      </w:r>
      <w:r>
        <w:t xml:space="preserve"> </w:t>
      </w:r>
      <w:r>
        <w:rPr>
          <w:iCs/>
          <w:i/>
        </w:rPr>
        <w:t xml:space="preserve">Ecological Archives</w:t>
      </w:r>
      <w:r>
        <w:t xml:space="preserve"> </w:t>
      </w:r>
      <w:r>
        <w:t xml:space="preserve">E094-195</w:t>
      </w:r>
      <w:r>
        <w:t xml:space="preserve">.</w:t>
      </w:r>
      <w:r>
        <w:t xml:space="preserve"> </w:t>
      </w:r>
      <w:r>
        <w:rPr>
          <w:iCs/>
          <w:i/>
        </w:rPr>
        <w:t xml:space="preserve">Ecology</w:t>
      </w:r>
      <w:r>
        <w:t xml:space="preserve"> </w:t>
      </w:r>
      <w:r>
        <w:rPr>
          <w:bCs/>
          <w:b/>
        </w:rPr>
        <w:t xml:space="preserve">94</w:t>
      </w:r>
      <w:r>
        <w:t xml:space="preserve">, 2111–2112 (2013).</w:t>
      </w:r>
    </w:p>
    <w:bookmarkEnd w:id="109"/>
    <w:bookmarkStart w:id="110"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 </w:t>
      </w:r>
      <w:r>
        <w:rPr>
          <w:bCs/>
          <w:b/>
        </w:rPr>
        <w:t xml:space="preserve">21</w:t>
      </w:r>
      <w:r>
        <w:t xml:space="preserve">, 528–549 (2015).</w:t>
      </w:r>
    </w:p>
    <w:bookmarkEnd w:id="110"/>
    <w:bookmarkStart w:id="111"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 </w:t>
      </w:r>
      <w:r>
        <w:rPr>
          <w:bCs/>
          <w:b/>
        </w:rPr>
        <w:t xml:space="preserve">253</w:t>
      </w:r>
      <w:r>
        <w:t xml:space="preserve">, 108907 (2021).</w:t>
      </w:r>
    </w:p>
    <w:bookmarkEnd w:id="111"/>
    <w:bookmarkStart w:id="112" w:name="ref-harris_version_2020"/>
    <w:p>
      <w:pPr>
        <w:pStyle w:val="Bibliography"/>
      </w:pPr>
      <w:r>
        <w:t xml:space="preserve">54.</w:t>
      </w:r>
      <w:r>
        <w:t xml:space="preserve"> </w:t>
      </w:r>
      <w:r>
        <w:t xml:space="preserve">	</w:t>
      </w:r>
      <w:r>
        <w:t xml:space="preserve">Harris, I., Osborn, T. J., Jones, P. &amp; Lister, D. Version 4 of the</w:t>
      </w:r>
      <w:r>
        <w:t xml:space="preserve"> </w:t>
      </w:r>
      <w:r>
        <w:t xml:space="preserve">CRU TS</w:t>
      </w:r>
      <w:r>
        <w:t xml:space="preserve"> </w:t>
      </w:r>
      <w:r>
        <w:t xml:space="preserve">monthly high-resolution gridded multivariate climate dataset.</w:t>
      </w:r>
      <w:r>
        <w:t xml:space="preserve"> </w:t>
      </w:r>
      <w:r>
        <w:rPr>
          <w:iCs/>
          <w:i/>
        </w:rPr>
        <w:t xml:space="preserve">Scientific Data</w:t>
      </w:r>
      <w:r>
        <w:t xml:space="preserve"> </w:t>
      </w:r>
      <w:r>
        <w:rPr>
          <w:bCs/>
          <w:b/>
        </w:rPr>
        <w:t xml:space="preserve">7</w:t>
      </w:r>
      <w:r>
        <w:t xml:space="preserve">, (2020).</w:t>
      </w:r>
    </w:p>
    <w:bookmarkEnd w:id="112"/>
    <w:bookmarkStart w:id="113" w:name="ref-vicente-serrano_multiscalar_2010"/>
    <w:p>
      <w:pPr>
        <w:pStyle w:val="Bibliography"/>
      </w:pPr>
      <w:r>
        <w:t xml:space="preserve">55.</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13"/>
    <w:bookmarkStart w:id="114"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14"/>
    <w:bookmarkStart w:id="116"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15">
        <w:r>
          <w:rPr>
            <w:rStyle w:val="Hyperlink"/>
          </w:rPr>
          <w:t xml:space="preserve">10.5067/MODIS/MCD12Q2.006</w:t>
        </w:r>
      </w:hyperlink>
      <w:r>
        <w:t xml:space="preserve">.</w:t>
      </w:r>
    </w:p>
    <w:bookmarkEnd w:id="116"/>
    <w:bookmarkStart w:id="118"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17">
        <w:r>
          <w:rPr>
            <w:rStyle w:val="Hyperlink"/>
          </w:rPr>
          <w:t xml:space="preserve">10.5281/ZENODO.4041609</w:t>
        </w:r>
      </w:hyperlink>
      <w:r>
        <w:t xml:space="preserve">.</w:t>
      </w:r>
    </w:p>
    <w:bookmarkEnd w:id="118"/>
    <w:bookmarkStart w:id="119"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19"/>
    <w:bookmarkStart w:id="121"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20">
        <w:r>
          <w:rPr>
            <w:rStyle w:val="Hyperlink"/>
          </w:rPr>
          <w:t xml:space="preserve">10.6073/PASTA/213335F5DAA17222A738C105B9FA60C4</w:t>
        </w:r>
      </w:hyperlink>
      <w:r>
        <w:t xml:space="preserve">.</w:t>
      </w:r>
    </w:p>
    <w:bookmarkEnd w:id="121"/>
    <w:bookmarkStart w:id="123"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22">
        <w:r>
          <w:rPr>
            <w:rStyle w:val="Hyperlink"/>
          </w:rPr>
          <w:t xml:space="preserve">10.6073/PASTA/69E92642B512897032446CFE795CFFB8</w:t>
        </w:r>
      </w:hyperlink>
      <w:r>
        <w:t xml:space="preserve">.</w:t>
      </w:r>
    </w:p>
    <w:bookmarkEnd w:id="123"/>
    <w:bookmarkStart w:id="124" w:name="ref-begueria_standardized_2014"/>
    <w:p>
      <w:pPr>
        <w:pStyle w:val="Bibliography"/>
      </w:pPr>
      <w:r>
        <w:t xml:space="preserve">62.</w:t>
      </w:r>
      <w:r>
        <w:t xml:space="preserve"> </w:t>
      </w:r>
      <w:r>
        <w:t xml:space="preserve">	</w:t>
      </w:r>
      <w:r>
        <w:t xml:space="preserve">Beguería, S., Vicente-Serrano, S. M., Reig, F. &amp; Latorre, B. Standardized precipitation evapotranspiration index (</w:t>
      </w:r>
      <w:r>
        <w:t xml:space="preserve">SPEI</w:t>
      </w:r>
      <w:r>
        <w:t xml:space="preserve">) revisited: Parameter fitting, evapotranspiration models, tools, datasets and drought monitoring.</w:t>
      </w:r>
      <w:r>
        <w:t xml:space="preserve"> </w:t>
      </w:r>
      <w:r>
        <w:rPr>
          <w:iCs/>
          <w:i/>
        </w:rPr>
        <w:t xml:space="preserve">International Journal of Climatology</w:t>
      </w:r>
      <w:r>
        <w:t xml:space="preserve"> </w:t>
      </w:r>
      <w:r>
        <w:rPr>
          <w:bCs/>
          <w:b/>
        </w:rPr>
        <w:t xml:space="preserve">34</w:t>
      </w:r>
      <w:r>
        <w:t xml:space="preserve">, 3001–3023 (2014).</w:t>
      </w:r>
    </w:p>
    <w:bookmarkEnd w:id="124"/>
    <w:bookmarkStart w:id="125" w:name="ref-vicente-serrano_multiscalar_2010a"/>
    <w:p>
      <w:pPr>
        <w:pStyle w:val="Bibliography"/>
      </w:pPr>
      <w:r>
        <w:t xml:space="preserve">63.</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25"/>
    <w:bookmarkStart w:id="126"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Identifying the best climatic predictors in ecology and evolution.</w:t>
      </w:r>
      <w:r>
        <w:t xml:space="preserve"> </w:t>
      </w:r>
      <w:r>
        <w:rPr>
          <w:iCs/>
          <w:i/>
        </w:rPr>
        <w:t xml:space="preserve">Methods in Ecology and Evolution</w:t>
      </w:r>
      <w:r>
        <w:t xml:space="preserve"> </w:t>
      </w:r>
      <w:r>
        <w:rPr>
          <w:bCs/>
          <w:b/>
        </w:rPr>
        <w:t xml:space="preserve">7</w:t>
      </w:r>
      <w:r>
        <w:t xml:space="preserve">, 1246–1257 (2016).</w:t>
      </w:r>
    </w:p>
    <w:bookmarkEnd w:id="126"/>
    <w:bookmarkStart w:id="127"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27"/>
    <w:bookmarkStart w:id="128"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28"/>
    <w:bookmarkStart w:id="129"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29"/>
    <w:bookmarkStart w:id="130"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30"/>
    <w:bookmarkStart w:id="131"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The potential to strengthen temperature reconstructions in ecoregions with limited tree line using a multispecies approach.</w:t>
      </w:r>
      <w:r>
        <w:t xml:space="preserve"> </w:t>
      </w:r>
      <w:r>
        <w:rPr>
          <w:iCs/>
          <w:i/>
        </w:rPr>
        <w:t xml:space="preserve">Quaternary Research</w:t>
      </w:r>
      <w:r>
        <w:t xml:space="preserve"> </w:t>
      </w:r>
      <w:r>
        <w:rPr>
          <w:bCs/>
          <w:b/>
        </w:rPr>
        <w:t xml:space="preserve">92</w:t>
      </w:r>
      <w:r>
        <w:t xml:space="preserve">, 583–597 (2019).</w:t>
      </w:r>
    </w:p>
    <w:bookmarkEnd w:id="131"/>
    <w:bookmarkStart w:id="132"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Comparing tree-ring and permanent plot estimates of aboveground net primary production in three eastern</w:t>
      </w:r>
      <w:r>
        <w:t xml:space="preserve"> </w:t>
      </w:r>
      <w:r>
        <w:t xml:space="preserve">U</w:t>
      </w:r>
      <w:r>
        <w:t xml:space="preserve">.</w:t>
      </w:r>
      <w:r>
        <w:t xml:space="preserve">S</w:t>
      </w:r>
      <w:r>
        <w:t xml:space="preserve">. forests.</w:t>
      </w:r>
      <w:r>
        <w:t xml:space="preserve"> </w:t>
      </w:r>
      <w:r>
        <w:rPr>
          <w:iCs/>
          <w:i/>
        </w:rPr>
        <w:t xml:space="preserve">Ecosphere</w:t>
      </w:r>
      <w:r>
        <w:t xml:space="preserve"> </w:t>
      </w:r>
      <w:r>
        <w:rPr>
          <w:bCs/>
          <w:b/>
        </w:rPr>
        <w:t xml:space="preserve">7</w:t>
      </w:r>
      <w:r>
        <w:t xml:space="preserve">, e01454 (2016).</w:t>
      </w:r>
    </w:p>
    <w:bookmarkEnd w:id="132"/>
    <w:bookmarkStart w:id="133"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33"/>
    <w:bookmarkStart w:id="134"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Sampling density and date along with species selection influence spatial representation of tree-ring reconstructions.</w:t>
      </w:r>
      <w:r>
        <w:t xml:space="preserve"> </w:t>
      </w:r>
      <w:r>
        <w:rPr>
          <w:iCs/>
          <w:i/>
        </w:rPr>
        <w:t xml:space="preserve">Climate of the Past</w:t>
      </w:r>
      <w:r>
        <w:t xml:space="preserve"> </w:t>
      </w:r>
      <w:r>
        <w:rPr>
          <w:bCs/>
          <w:b/>
        </w:rPr>
        <w:t xml:space="preserve">16</w:t>
      </w:r>
      <w:r>
        <w:t xml:space="preserve">, 1901–1916 (2020).</w:t>
      </w:r>
    </w:p>
    <w:bookmarkEnd w:id="134"/>
    <w:bookmarkStart w:id="136"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35">
        <w:r>
          <w:rPr>
            <w:rStyle w:val="Hyperlink"/>
          </w:rPr>
          <w:t xml:space="preserve">10.1007/978-94-015-7879-0</w:t>
        </w:r>
      </w:hyperlink>
      <w:r>
        <w:t xml:space="preserve">.</w:t>
      </w:r>
    </w:p>
    <w:bookmarkEnd w:id="136"/>
    <w:bookmarkStart w:id="137"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37"/>
    <w:bookmarkStart w:id="138" w:name="ref-cook_calculating_1997"/>
    <w:p>
      <w:pPr>
        <w:pStyle w:val="Bibliography"/>
      </w:pPr>
      <w:r>
        <w:t xml:space="preserve">75.</w:t>
      </w:r>
      <w:r>
        <w:t xml:space="preserve"> </w:t>
      </w:r>
      <w:r>
        <w:t xml:space="preserve">	</w:t>
      </w:r>
      <w:r>
        <w:t xml:space="preserve">Cook, E. R. &amp; Peters, K. Calculating unbiased tree-ring indices for the study of climatic and environmental change.</w:t>
      </w:r>
      <w:r>
        <w:t xml:space="preserve"> </w:t>
      </w:r>
      <w:r>
        <w:rPr>
          <w:iCs/>
          <w:i/>
        </w:rPr>
        <w:t xml:space="preserve">The Holocene</w:t>
      </w:r>
      <w:r>
        <w:t xml:space="preserve"> </w:t>
      </w:r>
      <w:r>
        <w:rPr>
          <w:bCs/>
          <w:b/>
        </w:rPr>
        <w:t xml:space="preserve">7</w:t>
      </w:r>
      <w:r>
        <w:t xml:space="preserve">, 361–370 (1997).</w:t>
      </w:r>
    </w:p>
    <w:bookmarkEnd w:id="138"/>
    <w:bookmarkStart w:id="139"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39"/>
    <w:bookmarkStart w:id="140"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40"/>
    <w:bookmarkStart w:id="141" w:name="ref-bunn_dendrochronology_2008"/>
    <w:p>
      <w:pPr>
        <w:pStyle w:val="Bibliography"/>
      </w:pPr>
      <w:r>
        <w:t xml:space="preserve">78.</w:t>
      </w:r>
      <w:r>
        <w:t xml:space="preserve"> </w:t>
      </w:r>
      <w:r>
        <w:t xml:space="preserve">	</w:t>
      </w:r>
      <w:r>
        <w:t xml:space="preserve">Bunn, A. G. A dendrochronology program library in</w:t>
      </w:r>
      <w:r>
        <w:t xml:space="preserve"> </w:t>
      </w:r>
      <w:r>
        <w:t xml:space="preserve">R</w:t>
      </w:r>
      <w:r>
        <w:t xml:space="preserve"> </w:t>
      </w:r>
      <w:r>
        <w:t xml:space="preserve">(</w:t>
      </w:r>
      <w:r>
        <w:t xml:space="preserve">dplR</w:t>
      </w:r>
      <w:r>
        <w:t xml:space="preserve">).</w:t>
      </w:r>
      <w:r>
        <w:t xml:space="preserve"> </w:t>
      </w:r>
      <w:r>
        <w:rPr>
          <w:iCs/>
          <w:i/>
        </w:rPr>
        <w:t xml:space="preserve">Dendrochronologia</w:t>
      </w:r>
      <w:r>
        <w:t xml:space="preserve"> </w:t>
      </w:r>
      <w:r>
        <w:rPr>
          <w:bCs/>
          <w:b/>
        </w:rPr>
        <w:t xml:space="preserve">26</w:t>
      </w:r>
      <w:r>
        <w:t xml:space="preserve">, 115–124 (2008).</w:t>
      </w:r>
    </w:p>
    <w:bookmarkEnd w:id="141"/>
    <w:bookmarkStart w:id="142" w:name="ref-zang_dendroclimatic_2013"/>
    <w:p>
      <w:pPr>
        <w:pStyle w:val="Bibliography"/>
      </w:pPr>
      <w:r>
        <w:t xml:space="preserve">79.</w:t>
      </w:r>
      <w:r>
        <w:t xml:space="preserve"> </w:t>
      </w:r>
      <w:r>
        <w:t xml:space="preserve">	</w:t>
      </w:r>
      <w:r>
        <w:t xml:space="preserve">Zang, C. &amp; Biondi, F. Dendroclimatic calibration in</w:t>
      </w:r>
      <w:r>
        <w:t xml:space="preserve"> </w:t>
      </w:r>
      <w:r>
        <w:t xml:space="preserve">R</w:t>
      </w:r>
      <w:r>
        <w:t xml:space="preserve">:</w:t>
      </w:r>
      <w:r>
        <w:t xml:space="preserve"> </w:t>
      </w:r>
      <w:r>
        <w:t xml:space="preserve">The bootRes</w:t>
      </w:r>
      <w:r>
        <w:t xml:space="preserve"> </w:t>
      </w:r>
      <w:r>
        <w:t xml:space="preserve">package for response and correlation function analysis.</w:t>
      </w:r>
      <w:r>
        <w:t xml:space="preserve"> </w:t>
      </w:r>
      <w:r>
        <w:rPr>
          <w:iCs/>
          <w:i/>
        </w:rPr>
        <w:t xml:space="preserve">Dendrochronologia</w:t>
      </w:r>
      <w:r>
        <w:t xml:space="preserve"> </w:t>
      </w:r>
      <w:r>
        <w:rPr>
          <w:bCs/>
          <w:b/>
        </w:rPr>
        <w:t xml:space="preserve">31</w:t>
      </w:r>
      <w:r>
        <w:t xml:space="preserve">, 68–74 (2013).</w:t>
      </w:r>
    </w:p>
    <w:bookmarkEnd w:id="142"/>
    <w:bookmarkEnd w:id="143"/>
    <w:bookmarkEnd w:id="144"/>
    <w:sectPr w:rsidR="00D701CB" w:rsidSect="00322D48">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5" Target="https://doi.org/10.1007/978-94-015-7879-0" TargetMode="External" /><Relationship Type="http://schemas.openxmlformats.org/officeDocument/2006/relationships/hyperlink" Id="rId68" Target="https://doi.org/10.1038/s41558-020-00976-6" TargetMode="External" /><Relationship Type="http://schemas.openxmlformats.org/officeDocument/2006/relationships/hyperlink" Id="rId81" Target="https://doi.org/10.1038/s41559-022-01668-4" TargetMode="External" /><Relationship Type="http://schemas.openxmlformats.org/officeDocument/2006/relationships/hyperlink" Id="rId100" Target="https://doi.org/10.1073/pnas.2002713117" TargetMode="External" /><Relationship Type="http://schemas.openxmlformats.org/officeDocument/2006/relationships/hyperlink" Id="rId115" Target="https://doi.org/10.5067/MODIS/MCD12Q2.006" TargetMode="External" /><Relationship Type="http://schemas.openxmlformats.org/officeDocument/2006/relationships/hyperlink" Id="rId117" Target="https://doi.org/10.5281/ZENODO.4041609" TargetMode="External" /><Relationship Type="http://schemas.openxmlformats.org/officeDocument/2006/relationships/hyperlink" Id="rId120" Target="https://doi.org/10.6073/PASTA/213335F5DAA17222A738C105B9FA60C4" TargetMode="External" /><Relationship Type="http://schemas.openxmlformats.org/officeDocument/2006/relationships/hyperlink" Id="rId122"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5" Target="https://doi.org/10.1007/978-94-015-7879-0" TargetMode="External" /><Relationship Type="http://schemas.openxmlformats.org/officeDocument/2006/relationships/hyperlink" Id="rId68" Target="https://doi.org/10.1038/s41558-020-00976-6" TargetMode="External" /><Relationship Type="http://schemas.openxmlformats.org/officeDocument/2006/relationships/hyperlink" Id="rId81" Target="https://doi.org/10.1038/s41559-022-01668-4" TargetMode="External" /><Relationship Type="http://schemas.openxmlformats.org/officeDocument/2006/relationships/hyperlink" Id="rId100" Target="https://doi.org/10.1073/pnas.2002713117" TargetMode="External" /><Relationship Type="http://schemas.openxmlformats.org/officeDocument/2006/relationships/hyperlink" Id="rId115" Target="https://doi.org/10.5067/MODIS/MCD12Q2.006" TargetMode="External" /><Relationship Type="http://schemas.openxmlformats.org/officeDocument/2006/relationships/hyperlink" Id="rId117" Target="https://doi.org/10.5281/ZENODO.4041609" TargetMode="External" /><Relationship Type="http://schemas.openxmlformats.org/officeDocument/2006/relationships/hyperlink" Id="rId120" Target="https://doi.org/10.6073/PASTA/213335F5DAA17222A738C105B9FA60C4" TargetMode="External" /><Relationship Type="http://schemas.openxmlformats.org/officeDocument/2006/relationships/hyperlink" Id="rId122"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2022-05-22T13:05:13Z</dcterms:created>
  <dcterms:modified xsi:type="dcterms:W3CDTF">2022-05-22T13:05:13Z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