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15–18</w:t>
      </w:r>
      <w:r>
        <w:rPr>
          <w:bCs/>
          <w:b/>
        </w:rPr>
        <w:t xml:space="preserve">, which sequesters carbon (C) in wood that has a long residence time in the ecosystem</w:t>
      </w:r>
      <w:r>
        <w:rPr>
          <w:vertAlign w:val="superscript"/>
          <w:bCs/>
          <w:b/>
        </w:rPr>
        <w:t xml:space="preserve">19,20</w:t>
      </w:r>
      <w:r>
        <w:rPr>
          <w:bCs/>
          <w:b/>
        </w:rPr>
        <w:t xml:space="preserve">.</w:t>
      </w:r>
      <w:r>
        <w:t xml:space="preserve"> </w:t>
      </w:r>
      <w:r>
        <w:t xml:space="preserve"> </w:t>
      </w:r>
      <w:r>
        <w:rPr>
          <w:bCs/>
          <w:b/>
        </w:rPr>
        <w:t xml:space="preserve">Using dendrometer band measurements from 463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2,3,21,22</w:t>
      </w:r>
      <w:r>
        <w:rPr>
          <w:bCs/>
          <w:b/>
        </w:rPr>
        <w:t xml:space="preserve">, our empirical results imply that warming spring temperatures are unlikely to increase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23,24</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25</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26,27</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2,3,21</w:t>
      </w:r>
      <w:r>
        <w:t xml:space="preserve">.</w:t>
      </w:r>
      <w:r>
        <w:t xml:space="preserve"> </w:t>
      </w:r>
      <w:r>
        <w:t xml:space="preserve">However, recent experimental and observational findings show that annual stem growth is not correlated with growing season length</w:t>
      </w:r>
      <w:r>
        <w:rPr>
          <w:vertAlign w:val="superscript"/>
        </w:rPr>
        <w:t xml:space="preserve">28</w:t>
      </w:r>
      <w:r>
        <w:t xml:space="preserve">, but rather can be limited by sink factors</w:t>
      </w:r>
      <w:r>
        <w:rPr>
          <w:vertAlign w:val="superscript"/>
        </w:rPr>
        <w:t xml:space="preserve">21,29–31</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stem growth, is responding to warming spring temperatures</w:t>
      </w:r>
      <w:r>
        <w:rPr>
          <w:vertAlign w:val="superscript"/>
        </w:rPr>
        <w:t xml:space="preserve">15–18</w:t>
      </w:r>
      <w:r>
        <w:t xml:space="preserve">.</w:t>
      </w:r>
      <w:r>
        <w:t xml:space="preserve"> </w:t>
      </w:r>
      <w:r>
        <w:t xml:space="preserve"> </w:t>
      </w:r>
      <w:r>
        <w:t xml:space="preserve">The timing of stem growth and its climate sensitivity is linked to annual growth</w:t>
      </w:r>
      <w:r>
        <w:rPr>
          <w:vertAlign w:val="superscript"/>
        </w:rPr>
        <w:t xml:space="preserve">28,31–34</w:t>
      </w:r>
      <w:r>
        <w:t xml:space="preserve">; however, the role of spring temperatures in shaping the timing of growth remains unclear.</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35</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hints that warmer springs may have a modest positive effect on growth</w:t>
      </w:r>
      <w:r>
        <w:rPr>
          <w:vertAlign w:val="superscript"/>
        </w:rPr>
        <w:t xml:space="preserve">37</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the seasonal timing of growth</w:t>
      </w:r>
      <w:r>
        <w:rPr>
          <w:vertAlign w:val="superscript"/>
        </w:rPr>
        <w:t xml:space="preserve">32,33</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32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porous window at HF and diffuse-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(ring-porous window at HF and diffuse-porous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40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We demonstrate that warmer springs either have little effect on, or even hasten, the cessation of peak stem expansion and thereby have negligible effect on total annual stem growth for most species and locations (Fig. 3).</w:t>
      </w:r>
      <w:r>
        <w:t xml:space="preserve"> </w:t>
      </w:r>
      <w:r>
        <w:t xml:space="preserve">Our observations suggest that the cessation of rapid stem expansion, which occurs mid-summer near the time of</w:t>
      </w:r>
      <w:r>
        <w:t xml:space="preserve"> </w:t>
      </w:r>
      <w:r>
        <w:t xml:space="preserve"> </w:t>
      </w:r>
      <w:r>
        <w:t xml:space="preserve">peak canopy greenness (Extended Data Figure 2)</w:t>
      </w:r>
      <w:r>
        <w:rPr>
          <w:vertAlign w:val="superscript"/>
        </w:rPr>
        <w:t xml:space="preserve">4,28</w:t>
      </w:r>
      <w:r>
        <w:t xml:space="preserve">, is likely driven by cues other than photosynthate limitation, such as water stress, daylength, or sink limitation</w:t>
      </w:r>
      <w:r>
        <w:rPr>
          <w:vertAlign w:val="superscript"/>
        </w:rPr>
        <w:t xml:space="preserve">21,28,29,31,34,41</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28,36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3,42</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growing season length aligns with recent studies on annual stem growth</w:t>
      </w:r>
      <w:r>
        <w:rPr>
          <w:vertAlign w:val="superscript"/>
        </w:rPr>
        <w:t xml:space="preserve">28,31,33</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12,43,44</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35</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45–47</w:t>
      </w:r>
      <w:r>
        <w:t xml:space="preserve">, which is more strongly controlled by summer drought stress</w:t>
      </w:r>
      <w:r>
        <w:rPr>
          <w:vertAlign w:val="superscript"/>
        </w:rPr>
        <w:t xml:space="preserve">45,46</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48,49</w:t>
      </w:r>
      <w:r>
        <w:t xml:space="preserve">, potentially including an earlier start to growth</w:t>
      </w:r>
      <w:r>
        <w:rPr>
          <w:vertAlign w:val="superscript"/>
        </w:rPr>
        <w:t xml:space="preserve">41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30</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3,50</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48</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51</w:t>
      </w:r>
      <w:r>
        <w:t xml:space="preserve">.</w:t>
      </w:r>
      <w:r>
        <w:t xml:space="preserve"> </w:t>
      </w:r>
      <w:r>
        <w:t xml:space="preserve">Moreover, acclimation of trees to warming temperatures</w:t>
      </w:r>
      <w:r>
        <w:rPr>
          <w:vertAlign w:val="superscript"/>
        </w:rPr>
        <w:t xml:space="preserve">52</w:t>
      </w:r>
      <w:r>
        <w:t xml:space="preserve"> </w:t>
      </w:r>
      <w:r>
        <w:t xml:space="preserve">and, on longer time scales, species adaptations and shifts in community composition</w:t>
      </w:r>
      <w:r>
        <w:rPr>
          <w:vertAlign w:val="superscript"/>
        </w:rPr>
        <w:t xml:space="preserve">53</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54</w:t>
      </w:r>
      <w:r>
        <w:t xml:space="preserve">, woody productivity</w:t>
      </w:r>
      <w:r>
        <w:rPr>
          <w:vertAlign w:val="superscript"/>
        </w:rPr>
        <w:t xml:space="preserve">55</w:t>
      </w:r>
      <w:r>
        <w:t xml:space="preserve">, and</w:t>
      </w:r>
      <w:r>
        <w:t xml:space="preserve"> </w:t>
      </w:r>
      <w:r>
        <w:rPr>
          <w:iCs/>
          <w:i/>
        </w:rPr>
        <w:t xml:space="preserve">NEE</w:t>
      </w:r>
      <w:r>
        <w:rPr>
          <w:vertAlign w:val="superscript"/>
        </w:rPr>
        <w:t xml:space="preserve">56</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2,3,21,22</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57</w:t>
      </w:r>
      <w:r>
        <w:t xml:space="preserve"> </w:t>
      </w:r>
      <w:r>
        <w:t xml:space="preserve">and Harvard Forest</w:t>
      </w:r>
      <w:r>
        <w:rPr>
          <w:vertAlign w:val="superscript"/>
        </w:rPr>
        <w:t xml:space="preserve">4,32</w:t>
      </w:r>
      <w:r>
        <w:t xml:space="preserve">, both part of the Forest Global Earth Observatory (ForestGEO)</w:t>
      </w:r>
      <w:r>
        <w:rPr>
          <w:vertAlign w:val="superscript"/>
        </w:rPr>
        <w:t xml:space="preserve">58,59</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57</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54</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54</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38,60</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xylem architecture (SCBI = 26, Harvard Forest = 24);</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3</m:t>
        </m:r>
      </m:oMath>
      <w:r>
        <w:t xml:space="preserve"> </w:t>
      </w:r>
      <w:r>
        <w:t xml:space="preserve">standard deviations away from the means for their xylem architecture group, year, and site (SCBI = 71, Harvard Forest = 226);</w:t>
      </w:r>
      <w:r>
        <w:t xml:space="preserve"> </w:t>
      </w:r>
      <w:r>
        <w:t xml:space="preserve">(3) tree-years with small or negligible total growth (</w:t>
      </w:r>
      <m:oMath>
        <m:r>
          <m:t>Δ</m:t>
        </m:r>
        <m:r>
          <m:t>D</m:t>
        </m:r>
        <m:r>
          <m:t>B</m:t>
        </m:r>
        <m:r>
          <m:t>H</m:t>
        </m:r>
      </m:oMath>
      <w:r>
        <w:t xml:space="preserve"> </w:t>
      </w:r>
      <m:oMath>
        <m:r>
          <m:rPr>
            <m:sty m:val="p"/>
          </m:rPr>
          <m:t>≤</m:t>
        </m:r>
        <m:r>
          <m:t>0.05</m:t>
        </m:r>
      </m:oMath>
      <w:r>
        <w:t xml:space="preserve"> </w:t>
      </w:r>
      <w:r>
        <w:t xml:space="preserve">mm; SCBI = 8, Harvard Forest = 137);</w:t>
      </w:r>
      <w:r>
        <w:t xml:space="preserve"> </w:t>
      </w:r>
      <w:r>
        <w:t xml:space="preserve">(4) tree years where first intraannual measurement was later than the first spring survey (trees that were missed in the initial census; SCBI = 20, HF = 6).</w:t>
      </w:r>
      <w:r>
        <w:t xml:space="preserve"> </w:t>
      </w:r>
      <w:r>
        <w:t xml:space="preserve">At both sites the tag years removed through this method were proportional to the original sample size, indicating that no species or size class was disproportionately removed compared to others.</w:t>
      </w:r>
      <w:r>
        <w:t xml:space="preserve"> </w:t>
      </w:r>
      <w:r>
        <w:t xml:space="preserve">This process was repeated using 2.5 and 3 standard deviations and the results of analyses were not qualitatively different.</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61</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and senescence as used in this study.</w:t>
      </w:r>
      <w:r>
        <w:t xml:space="preserve"> </w:t>
      </w:r>
      <w:r>
        <w:t xml:space="preserve">Data points were kept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62</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63</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64,65</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66</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67,68</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69</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62,70,71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72</w:t>
      </w:r>
      <w:r>
        <w:t xml:space="preserve">.</w:t>
      </w:r>
    </w:p>
    <w:p>
      <w:pPr>
        <w:pStyle w:val="BodyText"/>
      </w:pPr>
      <w:r>
        <w:t xml:space="preserve">Dominant tree species were cored at both SCBI</w:t>
      </w:r>
      <w:r>
        <w:rPr>
          <w:vertAlign w:val="superscript"/>
        </w:rPr>
        <w:t xml:space="preserve">37,57</w:t>
      </w:r>
      <w:r>
        <w:t xml:space="preserve"> </w:t>
      </w:r>
      <w:r>
        <w:t xml:space="preserve">and Harvard Forest</w:t>
      </w:r>
      <w:r>
        <w:rPr>
          <w:vertAlign w:val="superscript"/>
        </w:rPr>
        <w:t xml:space="preserve">4,73,74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76,77</w:t>
      </w:r>
      <w:r>
        <w:t xml:space="preserve">.</w:t>
      </w:r>
      <w:r>
        <w:t xml:space="preserve"> </w:t>
      </w:r>
      <w:r>
        <w:t xml:space="preserve">An adaptive power transformation, a process that also stabilises the variance over time</w:t>
      </w:r>
      <w:r>
        <w:rPr>
          <w:vertAlign w:val="superscript"/>
        </w:rPr>
        <w:t xml:space="preserve">78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81</w:t>
      </w:r>
      <w:r>
        <w:t xml:space="preserve"> </w:t>
      </w:r>
      <w:r>
        <w:t xml:space="preserve">and</w:t>
      </w:r>
      <w:r>
        <w:t xml:space="preserve"> </w:t>
      </w:r>
      <w:r>
        <w:rPr>
          <w:iCs/>
          <w:i/>
        </w:rPr>
        <w:t xml:space="preserve">bootRes</w:t>
      </w:r>
      <w:r>
        <w:rPr>
          <w:vertAlign w:val="superscript"/>
        </w:rPr>
        <w:t xml:space="preserve">82</w:t>
      </w:r>
      <w:r>
        <w:t xml:space="preserve"> </w:t>
      </w:r>
      <w:r>
        <w:t xml:space="preserve">in R v 4.0 (R Core Team, 2020), which correlated functions and bootstrapped confidence intervals for these relationships</w:t>
      </w:r>
      <w:r>
        <w:rPr>
          <w:vertAlign w:val="superscript"/>
        </w:rPr>
        <w:t xml:space="preserve">83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2" w:name="References"/>
    <w:p>
      <w:pPr>
        <w:pStyle w:val="Heading1"/>
      </w:pPr>
      <w:r>
        <w:t xml:space="preserve">References</w:t>
      </w:r>
    </w:p>
    <w:bookmarkStart w:id="141"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huang_photoperiod_2020"/>
    <w:p>
      <w:pPr>
        <w:pStyle w:val="Bibliography"/>
      </w:pPr>
      <w:r>
        <w:t xml:space="preserve">15.</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63"/>
    <w:bookmarkStart w:id="64" w:name="ref-delpierre_chilling_2019"/>
    <w:p>
      <w:pPr>
        <w:pStyle w:val="Bibliography"/>
      </w:pPr>
      <w:r>
        <w:t xml:space="preserve">16.</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64"/>
    <w:bookmarkStart w:id="65" w:name="ref-rossi_critical_2008"/>
    <w:p>
      <w:pPr>
        <w:pStyle w:val="Bibliography"/>
      </w:pPr>
      <w:r>
        <w:t xml:space="preserve">17.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65"/>
    <w:bookmarkStart w:id="66" w:name="ref-savage_coordination_2021"/>
    <w:p>
      <w:pPr>
        <w:pStyle w:val="Bibliography"/>
      </w:pPr>
      <w:r>
        <w:t xml:space="preserve">18.</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6"/>
    <w:bookmarkStart w:id="67" w:name="ref-xue_global_2017"/>
    <w:p>
      <w:pPr>
        <w:pStyle w:val="Bibliography"/>
      </w:pPr>
      <w:r>
        <w:t xml:space="preserve">19.</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7"/>
    <w:bookmarkStart w:id="68" w:name="ref-russell_residence_2014"/>
    <w:p>
      <w:pPr>
        <w:pStyle w:val="Bibliography"/>
      </w:pPr>
      <w:r>
        <w:t xml:space="preserve">20.</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8"/>
    <w:bookmarkStart w:id="69" w:name="ref-zani_increased_2020"/>
    <w:p>
      <w:pPr>
        <w:pStyle w:val="Bibliography"/>
      </w:pPr>
      <w:r>
        <w:t xml:space="preserve">21.</w:t>
      </w:r>
      <w:r>
        <w:t xml:space="preserve"> </w:t>
      </w:r>
      <w:r>
        <w:t xml:space="preserve">	</w:t>
      </w:r>
      <w:r>
        <w:t xml:space="preserve">Zani, D., Crowther, T. W., Mo, L., Renner, S. S. &amp; Zohner, C. M. Increased growing-season productivity drives earlier autumn leaf senescence in temperate trees. 7 (2020).</w:t>
      </w:r>
    </w:p>
    <w:bookmarkEnd w:id="69"/>
    <w:bookmarkStart w:id="70" w:name="ref-ahlstrom_robustness_2012"/>
    <w:p>
      <w:pPr>
        <w:pStyle w:val="Bibliography"/>
      </w:pPr>
      <w:r>
        <w:t xml:space="preserve">22.</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70"/>
    <w:bookmarkStart w:id="72" w:name="ref-friedlingstein_global_2021"/>
    <w:p>
      <w:pPr>
        <w:pStyle w:val="Bibliography"/>
      </w:pPr>
      <w:r>
        <w:t xml:space="preserve">23.</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71">
        <w:r>
          <w:rPr>
            <w:rStyle w:val="Hyperlink"/>
          </w:rPr>
          <w:t xml:space="preserve">10.5194/essd-2021-386</w:t>
        </w:r>
      </w:hyperlink>
      <w:r>
        <w:t xml:space="preserve">.</w:t>
      </w:r>
    </w:p>
    <w:bookmarkEnd w:id="72"/>
    <w:bookmarkStart w:id="74" w:name="ref-harris_global_2021"/>
    <w:p>
      <w:pPr>
        <w:pStyle w:val="Bibliography"/>
      </w:pPr>
      <w:r>
        <w:t xml:space="preserve">24.</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3">
        <w:r>
          <w:rPr>
            <w:rStyle w:val="Hyperlink"/>
          </w:rPr>
          <w:t xml:space="preserve">10.1038/s41558-020-00976-6</w:t>
        </w:r>
      </w:hyperlink>
      <w:r>
        <w:t xml:space="preserve">.</w:t>
      </w:r>
    </w:p>
    <w:bookmarkEnd w:id="74"/>
    <w:bookmarkStart w:id="75" w:name="ref-pugh_role_2019"/>
    <w:p>
      <w:pPr>
        <w:pStyle w:val="Bibliography"/>
      </w:pPr>
      <w:r>
        <w:t xml:space="preserve">25.</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5"/>
    <w:bookmarkStart w:id="76" w:name="ref-arora_carbon_2020"/>
    <w:p>
      <w:pPr>
        <w:pStyle w:val="Bibliography"/>
      </w:pPr>
      <w:r>
        <w:t xml:space="preserve">26.</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6"/>
    <w:bookmarkStart w:id="77" w:name="ref-friedlingstein_global_2020"/>
    <w:p>
      <w:pPr>
        <w:pStyle w:val="Bibliography"/>
      </w:pPr>
      <w:r>
        <w:t xml:space="preserve">27.</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7"/>
    <w:bookmarkStart w:id="78" w:name="ref-etzold_number_2022"/>
    <w:p>
      <w:pPr>
        <w:pStyle w:val="Bibliography"/>
      </w:pPr>
      <w:r>
        <w:t xml:space="preserve">28.</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8"/>
    <w:bookmarkStart w:id="79" w:name="ref-keenan_timing_2015"/>
    <w:p>
      <w:pPr>
        <w:pStyle w:val="Bibliography"/>
      </w:pPr>
      <w:r>
        <w:t xml:space="preserve">29.</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9"/>
    <w:bookmarkStart w:id="80" w:name="ref-zohner_how_2021"/>
    <w:p>
      <w:pPr>
        <w:pStyle w:val="Bibliography"/>
      </w:pPr>
      <w:r>
        <w:t xml:space="preserve">30.</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0"/>
    <w:bookmarkStart w:id="81" w:name="ref-delpierre_wood_2016"/>
    <w:p>
      <w:pPr>
        <w:pStyle w:val="Bibliography"/>
      </w:pPr>
      <w:r>
        <w:t xml:space="preserve">31.</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81"/>
    <w:bookmarkStart w:id="83" w:name="ref-dorangeville_peak_2021"/>
    <w:p>
      <w:pPr>
        <w:pStyle w:val="Bibliography"/>
      </w:pPr>
      <w:r>
        <w:t xml:space="preserve">32.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2">
        <w:r>
          <w:rPr>
            <w:rStyle w:val="Hyperlink"/>
          </w:rPr>
          <w:t xml:space="preserve">10.1093/treephys/tpab101</w:t>
        </w:r>
      </w:hyperlink>
      <w:r>
        <w:t xml:space="preserve">.</w:t>
      </w:r>
    </w:p>
    <w:bookmarkEnd w:id="83"/>
    <w:bookmarkStart w:id="84"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cuny_woody_2015"/>
    <w:p>
      <w:pPr>
        <w:pStyle w:val="Bibliography"/>
      </w:pPr>
      <w:r>
        <w:t xml:space="preserve">35.</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0" w:name="ref-parmesan_globally_2003"/>
    <w:p>
      <w:pPr>
        <w:pStyle w:val="Bibliography"/>
      </w:pPr>
      <w:r>
        <w:t xml:space="preserve">39.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0"/>
    <w:bookmarkStart w:id="91" w:name="ref-friedl_tale_2014"/>
    <w:p>
      <w:pPr>
        <w:pStyle w:val="Bibliography"/>
      </w:pPr>
      <w:r>
        <w:t xml:space="preserve">40.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1"/>
    <w:bookmarkStart w:id="92" w:name="ref-fu_variation_2014"/>
    <w:p>
      <w:pPr>
        <w:pStyle w:val="Bibliography"/>
      </w:pPr>
      <w:r>
        <w:t xml:space="preserve">41.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2"/>
    <w:bookmarkStart w:id="93" w:name="ref-zhang_drought_2021"/>
    <w:p>
      <w:pPr>
        <w:pStyle w:val="Bibliography"/>
      </w:pPr>
      <w:r>
        <w:t xml:space="preserve">42.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3"/>
    <w:bookmarkStart w:id="94" w:name="ref-zohner_ongoing_2019"/>
    <w:p>
      <w:pPr>
        <w:pStyle w:val="Bibliography"/>
      </w:pPr>
      <w:r>
        <w:t xml:space="preserve">43.</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4"/>
    <w:bookmarkStart w:id="95" w:name="ref-xie_predicting_2018"/>
    <w:p>
      <w:pPr>
        <w:pStyle w:val="Bibliography"/>
      </w:pPr>
      <w:r>
        <w:t xml:space="preserve">44.</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5"/>
    <w:bookmarkStart w:id="96" w:name="ref-tardif_influence_2006"/>
    <w:p>
      <w:pPr>
        <w:pStyle w:val="Bibliography"/>
      </w:pPr>
      <w:r>
        <w:t xml:space="preserve">45.</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6"/>
    <w:bookmarkStart w:id="97" w:name="ref-roibu_climatic_2020"/>
    <w:p>
      <w:pPr>
        <w:pStyle w:val="Bibliography"/>
      </w:pPr>
      <w:r>
        <w:t xml:space="preserve">46.</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7"/>
    <w:bookmarkStart w:id="98" w:name="ref-kern_multiple_2013"/>
    <w:p>
      <w:pPr>
        <w:pStyle w:val="Bibliography"/>
      </w:pPr>
      <w:r>
        <w:t xml:space="preserve">47.</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8"/>
    <w:bookmarkStart w:id="99"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9"/>
    <w:bookmarkStart w:id="100" w:name="ref-richardson_seasonal_2013"/>
    <w:p>
      <w:pPr>
        <w:pStyle w:val="Bibliography"/>
      </w:pPr>
      <w:r>
        <w:t xml:space="preserve">49.</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0"/>
    <w:bookmarkStart w:id="101" w:name="ref-oishi_warmer_2018"/>
    <w:p>
      <w:pPr>
        <w:pStyle w:val="Bibliography"/>
      </w:pPr>
      <w:r>
        <w:t xml:space="preserve">50.</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1"/>
    <w:bookmarkStart w:id="102" w:name="ref-kannenberg_linking_2019"/>
    <w:p>
      <w:pPr>
        <w:pStyle w:val="Bibliography"/>
      </w:pPr>
      <w:r>
        <w:t xml:space="preserve">51.</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2"/>
    <w:bookmarkStart w:id="103" w:name="ref-gessler_way_2020"/>
    <w:p>
      <w:pPr>
        <w:pStyle w:val="Bibliography"/>
      </w:pPr>
      <w:r>
        <w:t xml:space="preserve">52.</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3"/>
    <w:bookmarkStart w:id="104" w:name="ref-fisichelli_temperate_2014"/>
    <w:p>
      <w:pPr>
        <w:pStyle w:val="Bibliography"/>
      </w:pPr>
      <w:r>
        <w:t xml:space="preserve">53.</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4"/>
    <w:bookmarkStart w:id="105" w:name="ref-anderson-teixeira_joint_2021"/>
    <w:p>
      <w:pPr>
        <w:pStyle w:val="Bibliography"/>
      </w:pPr>
      <w:r>
        <w:t xml:space="preserve">54.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5"/>
    <w:bookmarkStart w:id="107" w:name="ref-banburymorgan_global_2021"/>
    <w:p>
      <w:pPr>
        <w:pStyle w:val="Bibliography"/>
      </w:pPr>
      <w:r>
        <w:t xml:space="preserve">55.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6">
        <w:r>
          <w:rPr>
            <w:rStyle w:val="Hyperlink"/>
          </w:rPr>
          <w:t xml:space="preserve">10.1111/gcb.15574</w:t>
        </w:r>
      </w:hyperlink>
      <w:r>
        <w:t xml:space="preserve">.</w:t>
      </w:r>
    </w:p>
    <w:bookmarkEnd w:id="107"/>
    <w:bookmarkStart w:id="108" w:name="ref-churkina_spatial_2005"/>
    <w:p>
      <w:pPr>
        <w:pStyle w:val="Bibliography"/>
      </w:pPr>
      <w:r>
        <w:t xml:space="preserve">56.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8"/>
    <w:bookmarkStart w:id="109" w:name="ref-bourg_initial_2013"/>
    <w:p>
      <w:pPr>
        <w:pStyle w:val="Bibliography"/>
      </w:pPr>
      <w:r>
        <w:t xml:space="preserve">57.</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9"/>
    <w:bookmarkStart w:id="110" w:name="ref-anderson-teixeira_ctfsforestgeo_2015"/>
    <w:p>
      <w:pPr>
        <w:pStyle w:val="Bibliography"/>
      </w:pPr>
      <w:r>
        <w:t xml:space="preserve">58.</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0"/>
    <w:bookmarkStart w:id="111" w:name="ref-davies_forestgeo_2021"/>
    <w:p>
      <w:pPr>
        <w:pStyle w:val="Bibliography"/>
      </w:pPr>
      <w:r>
        <w:t xml:space="preserve">59.</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1"/>
    <w:bookmarkStart w:id="112" w:name="ref-herrmann_tree_2016"/>
    <w:p>
      <w:pPr>
        <w:pStyle w:val="Bibliography"/>
      </w:pPr>
      <w:r>
        <w:t xml:space="preserve">60.</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2"/>
    <w:bookmarkStart w:id="114" w:name="ref-friedl_mcd12q2_2019"/>
    <w:p>
      <w:pPr>
        <w:pStyle w:val="Bibliography"/>
      </w:pPr>
      <w:r>
        <w:t xml:space="preserve">61.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3">
        <w:r>
          <w:rPr>
            <w:rStyle w:val="Hyperlink"/>
          </w:rPr>
          <w:t xml:space="preserve">10.5067/MODIS/MCD12Q2.006</w:t>
        </w:r>
      </w:hyperlink>
      <w:r>
        <w:t xml:space="preserve">.</w:t>
      </w:r>
    </w:p>
    <w:bookmarkEnd w:id="114"/>
    <w:bookmarkStart w:id="116" w:name="ref-anderson-teixeira_forestgeo_2020"/>
    <w:p>
      <w:pPr>
        <w:pStyle w:val="Bibliography"/>
      </w:pPr>
      <w:r>
        <w:t xml:space="preserve">62.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5">
        <w:r>
          <w:rPr>
            <w:rStyle w:val="Hyperlink"/>
          </w:rPr>
          <w:t xml:space="preserve">10.5281/ZENODO.4041609</w:t>
        </w:r>
      </w:hyperlink>
      <w:r>
        <w:t xml:space="preserve">.</w:t>
      </w:r>
    </w:p>
    <w:bookmarkEnd w:id="116"/>
    <w:bookmarkStart w:id="117" w:name="ref-benestad_empiricalstatistical_2008"/>
    <w:p>
      <w:pPr>
        <w:pStyle w:val="Bibliography"/>
      </w:pPr>
      <w:r>
        <w:t xml:space="preserve">63.</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7"/>
    <w:bookmarkStart w:id="119" w:name="ref-boose_shaler_2021"/>
    <w:p>
      <w:pPr>
        <w:pStyle w:val="Bibliography"/>
      </w:pPr>
      <w:r>
        <w:t xml:space="preserve">64.</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8">
        <w:r>
          <w:rPr>
            <w:rStyle w:val="Hyperlink"/>
          </w:rPr>
          <w:t xml:space="preserve">10.6073/PASTA/213335F5DAA17222A738C105B9FA60C4</w:t>
        </w:r>
      </w:hyperlink>
      <w:r>
        <w:t xml:space="preserve">.</w:t>
      </w:r>
    </w:p>
    <w:bookmarkEnd w:id="119"/>
    <w:bookmarkStart w:id="121" w:name="ref-boose_fisher_2021"/>
    <w:p>
      <w:pPr>
        <w:pStyle w:val="Bibliography"/>
      </w:pPr>
      <w:r>
        <w:t xml:space="preserve">65.</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0">
        <w:r>
          <w:rPr>
            <w:rStyle w:val="Hyperlink"/>
          </w:rPr>
          <w:t xml:space="preserve">10.6073/PASTA/69E92642B512897032446CFE795CFFB8</w:t>
        </w:r>
      </w:hyperlink>
      <w:r>
        <w:t xml:space="preserve">.</w:t>
      </w:r>
    </w:p>
    <w:bookmarkEnd w:id="121"/>
    <w:bookmarkStart w:id="122" w:name="ref-vandepol_identifying_2016"/>
    <w:p>
      <w:pPr>
        <w:pStyle w:val="Bibliography"/>
      </w:pPr>
      <w:r>
        <w:t xml:space="preserve">66.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67.</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_development_team_stan_2019"/>
    <w:p>
      <w:pPr>
        <w:pStyle w:val="Bibliography"/>
      </w:pPr>
      <w:r>
        <w:t xml:space="preserve">68.</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vicente-serrano_multiscalar_2010"/>
    <w:p>
      <w:pPr>
        <w:pStyle w:val="Bibliography"/>
      </w:pPr>
      <w:r>
        <w:t xml:space="preserve">69.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5"/>
    <w:bookmarkStart w:id="126" w:name="ref-begueria_standardized_2014"/>
    <w:p>
      <w:pPr>
        <w:pStyle w:val="Bibliography"/>
      </w:pPr>
      <w:r>
        <w:t xml:space="preserve">70.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6"/>
    <w:bookmarkStart w:id="127" w:name="ref-vicente-serrano_multiscalar_2010a"/>
    <w:p>
      <w:pPr>
        <w:pStyle w:val="Bibliography"/>
      </w:pPr>
      <w:r>
        <w:t xml:space="preserve">71.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stokes_introduction_1968"/>
    <w:p>
      <w:pPr>
        <w:pStyle w:val="Bibliography"/>
      </w:pPr>
      <w:r>
        <w:t xml:space="preserve">72.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8"/>
    <w:bookmarkStart w:id="129" w:name="ref-alexander_potential_2019"/>
    <w:p>
      <w:pPr>
        <w:pStyle w:val="Bibliography"/>
      </w:pPr>
      <w:r>
        <w:t xml:space="preserve">73.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9"/>
    <w:bookmarkStart w:id="130" w:name="ref-dye_comparing_2016"/>
    <w:p>
      <w:pPr>
        <w:pStyle w:val="Bibliography"/>
      </w:pPr>
      <w:r>
        <w:t xml:space="preserve">74.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0"/>
    <w:bookmarkStart w:id="131" w:name="ref-maxwell_sampling_2020"/>
    <w:p>
      <w:pPr>
        <w:pStyle w:val="Bibliography"/>
      </w:pPr>
      <w:r>
        <w:t xml:space="preserve">75.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76.</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4"/>
    <w:bookmarkStart w:id="135" w:name="ref-cook_calculating_1997"/>
    <w:p>
      <w:pPr>
        <w:pStyle w:val="Bibliography"/>
      </w:pPr>
      <w:r>
        <w:t xml:space="preserve">78.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harris_version_2020"/>
    <w:p>
      <w:pPr>
        <w:pStyle w:val="Bibliography"/>
      </w:pPr>
      <w:r>
        <w:t xml:space="preserve">80.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7"/>
    <w:bookmarkStart w:id="138" w:name="ref-bunn_dendrochronology_2008"/>
    <w:p>
      <w:pPr>
        <w:pStyle w:val="Bibliography"/>
      </w:pPr>
      <w:r>
        <w:t xml:space="preserve">81.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82.</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Start w:id="140" w:name="ref-biondi_dendroclim2002_2004"/>
    <w:p>
      <w:pPr>
        <w:pStyle w:val="Bibliography"/>
      </w:pPr>
      <w:r>
        <w:t xml:space="preserve">83.</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0"/>
    <w:bookmarkEnd w:id="141"/>
    <w:bookmarkEnd w:id="14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73"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71" Target="https://doi.org/10.5194/essd-2021-38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73"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71" Target="https://doi.org/10.5194/essd-2021-38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2022-02-22T18:20:02Z</dcterms:created>
  <dcterms:modified xsi:type="dcterms:W3CDTF">2022-02-22T18:20:02Z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