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 although even the C in shorter-lived pools would often be carried over into the following year</w:t>
      </w:r>
      <w:r>
        <w:rPr>
          <w:vertAlign w:val="superscript"/>
        </w:rPr>
        <w:t xml:space="preserve">48</w:t>
      </w:r>
      <w:r>
        <w:t xml:space="preserve">.</w:t>
      </w:r>
      <w:r>
        <w:t xml:space="preserve"> </w:t>
      </w:r>
      <w:r>
        <w:t xml:space="preserve">Thus, observed augmentation of NEE by warm springs</w:t>
      </w:r>
      <w:r>
        <w:rPr>
          <w:vertAlign w:val="superscript"/>
        </w:rPr>
        <w:t xml:space="preserve">2,11,12</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35,51</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(1970-2010). Prior to the study period, the average spring</w:t>
      </w:r>
      <w:r>
        <w:t xml:space="preserve"> </w:t>
      </w:r>
      <m:oMath>
        <m:sSub>
          <m:e>
            <m:r>
              <m:t>T</m:t>
            </m:r>
          </m:e>
          <m:sub>
            <m:r>
              <m:t>m</m:t>
            </m:r>
            <m:r>
              <m:t>a</m:t>
            </m:r>
            <m:r>
              <m:t>x</m:t>
            </m:r>
          </m:sub>
        </m:sSub>
      </m:oMath>
      <w:r>
        <w:t xml:space="preserve"> </w:t>
      </w:r>
      <w:r>
        <w:t xml:space="preserve">was 16.9</w:t>
      </w:r>
      <w:r>
        <w:t xml:space="preserve"> </w:t>
      </w:r>
      <m:oMath>
        <m:r>
          <m:t>d</m:t>
        </m:r>
        <m:r>
          <m:t>e</m:t>
        </m:r>
        <m:r>
          <m:t>g</m:t>
        </m:r>
        <m:r>
          <m:t>r</m:t>
        </m:r>
        <m:r>
          <m:t>e</m:t>
        </m:r>
        <m:r>
          <m:t>e</m:t>
        </m:r>
        <m:r>
          <m:t>C</m:t>
        </m:r>
      </m:oMath>
      <w:r>
        <w:t xml:space="preserve"> </w:t>
      </w:r>
      <w:r>
        <w:t xml:space="preserve">and summer SPEI was -0.06. In the study period, average spring</w:t>
      </w:r>
      <w:r>
        <w:t xml:space="preserve"> </w:t>
      </w:r>
      <m:oMath>
        <m:sSub>
          <m:e>
            <m:r>
              <m:t>T</m:t>
            </m:r>
          </m:e>
          <m:sub>
            <m:r>
              <m:t>m</m:t>
            </m:r>
            <m:r>
              <m:t>a</m:t>
            </m:r>
            <m:r>
              <m:t>x</m:t>
            </m:r>
          </m:sub>
        </m:sSub>
      </m:oMath>
      <w:r>
        <w:t xml:space="preserve"> </w:t>
      </w:r>
      <w:r>
        <w:t xml:space="preserve">was 17.6</w:t>
      </w:r>
      <w:r>
        <w:t xml:space="preserve"> </w:t>
      </w:r>
      <m:oMath>
        <m:r>
          <m:t>d</m:t>
        </m:r>
        <m:r>
          <m:t>e</m:t>
        </m:r>
        <m:r>
          <m:t>g</m:t>
        </m:r>
        <m:r>
          <m:t>r</m:t>
        </m:r>
        <m:r>
          <m:t>e</m:t>
        </m:r>
        <m:r>
          <m:t>e</m:t>
        </m:r>
        <m:r>
          <m:t>C</m:t>
        </m:r>
      </m:oMath>
      <w:r>
        <w:t xml:space="preserve"> </w:t>
      </w:r>
      <w:r>
        <w:t xml:space="preserve">and summer SPEI was 0.51.</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(1970-1998). Prior to the study period, the average spring</w:t>
      </w:r>
      <w:r>
        <w:t xml:space="preserve"> </w:t>
      </w:r>
      <m:oMath>
        <m:sSub>
          <m:e>
            <m:r>
              <m:t>T</m:t>
            </m:r>
          </m:e>
          <m:sub>
            <m:r>
              <m:t>m</m:t>
            </m:r>
            <m:r>
              <m:t>a</m:t>
            </m:r>
            <m:r>
              <m:t>x</m:t>
            </m:r>
          </m:sub>
        </m:sSub>
      </m:oMath>
      <w:r>
        <w:t xml:space="preserve"> </w:t>
      </w:r>
      <w:r>
        <w:t xml:space="preserve">was 10.9</w:t>
      </w:r>
      <w:r>
        <w:t xml:space="preserve"> </w:t>
      </w:r>
      <m:oMath>
        <m:r>
          <m:t>d</m:t>
        </m:r>
        <m:r>
          <m:t>e</m:t>
        </m:r>
        <m:r>
          <m:t>g</m:t>
        </m:r>
        <m:r>
          <m:t>r</m:t>
        </m:r>
        <m:r>
          <m:t>e</m:t>
        </m:r>
        <m:r>
          <m:t>e</m:t>
        </m:r>
        <m:r>
          <m:t>C</m:t>
        </m:r>
      </m:oMath>
      <w:r>
        <w:t xml:space="preserve"> </w:t>
      </w:r>
      <w:r>
        <w:t xml:space="preserve">and summer SPEI was 0.13. In the study period, average spring</w:t>
      </w:r>
      <w:r>
        <w:t xml:space="preserve"> </w:t>
      </w:r>
      <m:oMath>
        <m:sSub>
          <m:e>
            <m:r>
              <m:t>T</m:t>
            </m:r>
          </m:e>
          <m:sub>
            <m:r>
              <m:t>m</m:t>
            </m:r>
            <m:r>
              <m:t>a</m:t>
            </m:r>
            <m:r>
              <m:t>x</m:t>
            </m:r>
          </m:sub>
        </m:sSub>
      </m:oMath>
      <w:r>
        <w:t xml:space="preserve"> </w:t>
      </w:r>
      <w:r>
        <w:t xml:space="preserve">was 11.2</w:t>
      </w:r>
      <w:r>
        <w:t xml:space="preserve"> </w:t>
      </w:r>
      <m:oMath>
        <m:r>
          <m:t>d</m:t>
        </m:r>
        <m:r>
          <m:t>e</m:t>
        </m:r>
        <m:r>
          <m:t>g</m:t>
        </m:r>
        <m:r>
          <m:t>r</m:t>
        </m:r>
        <m:r>
          <m:t>e</m:t>
        </m:r>
        <m:r>
          <m:t>e</m:t>
        </m:r>
        <m:r>
          <m:t>C</m:t>
        </m:r>
      </m:oMath>
      <w:r>
        <w:t xml:space="preserve"> </w:t>
      </w:r>
      <w:r>
        <w:t xml:space="preserve">and summer SPEI was 0.20.</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38,58</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59</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60</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61</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62,63</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67</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60,68,69</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37,55</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78</w:t>
      </w:r>
      <w:r>
        <w:t xml:space="preserve"> </w:t>
      </w:r>
      <w:r>
        <w:t xml:space="preserve">Correlations between monthly climate and RWI were assessed in R</w:t>
      </w:r>
      <w:r>
        <w:t xml:space="preserve"> </w:t>
      </w:r>
      <w:r>
        <w:rPr>
          <w:bCs/>
          <w:b/>
        </w:rPr>
        <w:t xml:space="preserve">v 4.0</w:t>
      </w:r>
      <w:r>
        <w:rPr>
          <w:vertAlign w:val="superscript"/>
        </w:rPr>
        <w:t xml:space="preserve">79</w:t>
      </w:r>
      <w:r>
        <w:t xml:space="preserve"> </w:t>
      </w:r>
      <w:r>
        <w:t xml:space="preserve">using the packages</w:t>
      </w:r>
      <w:r>
        <w:t xml:space="preserve"> </w:t>
      </w:r>
      <w:r>
        <w:rPr>
          <w:iCs/>
          <w:i/>
        </w:rPr>
        <w:t xml:space="preserve">dplR</w:t>
      </w:r>
      <w:r>
        <w:rPr>
          <w:vertAlign w:val="superscript"/>
        </w:rPr>
        <w:t xml:space="preserve">80</w:t>
      </w:r>
      <w:r>
        <w:t xml:space="preserve"> </w:t>
      </w:r>
      <w:r>
        <w:t xml:space="preserve"> </w:t>
      </w:r>
      <w:r>
        <w:t xml:space="preserve">and</w:t>
      </w:r>
      <w:r>
        <w:t xml:space="preserve"> </w:t>
      </w:r>
      <w:r>
        <w:rPr>
          <w:iCs/>
          <w:i/>
        </w:rPr>
        <w:t xml:space="preserve">bootRes</w:t>
      </w:r>
      <w:r>
        <w:rPr>
          <w:vertAlign w:val="superscript"/>
        </w:rPr>
        <w:t xml:space="preserve">81</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82</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8"/>
    <w:bookmarkStart w:id="99"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errmann_tree_2016"/>
    <w:p>
      <w:pPr>
        <w:pStyle w:val="Bibliography"/>
      </w:pPr>
      <w:r>
        <w:t xml:space="preserve">58.</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8"/>
    <w:bookmarkStart w:id="110" w:name="ref-friedl_mcd12q2_2019"/>
    <w:p>
      <w:pPr>
        <w:pStyle w:val="Bibliography"/>
      </w:pPr>
      <w:r>
        <w:t xml:space="preserve">59.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9">
        <w:r>
          <w:rPr>
            <w:rStyle w:val="Hyperlink"/>
          </w:rPr>
          <w:t xml:space="preserve">10.5067/MODIS/MCD12Q2.006</w:t>
        </w:r>
      </w:hyperlink>
      <w:r>
        <w:t xml:space="preserve">.</w:t>
      </w:r>
    </w:p>
    <w:bookmarkEnd w:id="110"/>
    <w:bookmarkStart w:id="112" w:name="ref-anderson-teixeira_forestgeo_2020"/>
    <w:p>
      <w:pPr>
        <w:pStyle w:val="Bibliography"/>
      </w:pPr>
      <w:r>
        <w:t xml:space="preserve">60.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1">
        <w:r>
          <w:rPr>
            <w:rStyle w:val="Hyperlink"/>
          </w:rPr>
          <w:t xml:space="preserve">10.5281/ZENODO.4041609</w:t>
        </w:r>
      </w:hyperlink>
      <w:r>
        <w:t xml:space="preserve">.</w:t>
      </w:r>
    </w:p>
    <w:bookmarkEnd w:id="112"/>
    <w:bookmarkStart w:id="113" w:name="ref-benestad_empiricalstatistical_2008"/>
    <w:p>
      <w:pPr>
        <w:pStyle w:val="Bibliography"/>
      </w:pPr>
      <w:r>
        <w:t xml:space="preserve">61.</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3"/>
    <w:bookmarkStart w:id="115" w:name="ref-boose_shaler_2021"/>
    <w:p>
      <w:pPr>
        <w:pStyle w:val="Bibliography"/>
      </w:pPr>
      <w:r>
        <w:t xml:space="preserve">62.</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4">
        <w:r>
          <w:rPr>
            <w:rStyle w:val="Hyperlink"/>
          </w:rPr>
          <w:t xml:space="preserve">10.6073/PASTA/213335F5DAA17222A738C105B9FA60C4</w:t>
        </w:r>
      </w:hyperlink>
      <w:r>
        <w:t xml:space="preserve">.</w:t>
      </w:r>
    </w:p>
    <w:bookmarkEnd w:id="115"/>
    <w:bookmarkStart w:id="117" w:name="ref-boose_fisher_2021"/>
    <w:p>
      <w:pPr>
        <w:pStyle w:val="Bibliography"/>
      </w:pPr>
      <w:r>
        <w:t xml:space="preserve">63.</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6">
        <w:r>
          <w:rPr>
            <w:rStyle w:val="Hyperlink"/>
          </w:rPr>
          <w:t xml:space="preserve">10.6073/PASTA/69E92642B512897032446CFE795CFFB8</w:t>
        </w:r>
      </w:hyperlink>
      <w:r>
        <w:t xml:space="preserve">.</w:t>
      </w:r>
    </w:p>
    <w:bookmarkEnd w:id="117"/>
    <w:bookmarkStart w:id="118"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8"/>
    <w:bookmarkStart w:id="119"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9"/>
    <w:bookmarkStart w:id="120"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0"/>
    <w:bookmarkStart w:id="121" w:name="ref-vicente-serrano_multiscalar_2010"/>
    <w:p>
      <w:pPr>
        <w:pStyle w:val="Bibliography"/>
      </w:pPr>
      <w:r>
        <w:t xml:space="preserve">67.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begueria_standardized_2014"/>
    <w:p>
      <w:pPr>
        <w:pStyle w:val="Bibliography"/>
      </w:pPr>
      <w:r>
        <w:t xml:space="preserve">68.</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2"/>
    <w:bookmarkStart w:id="123" w:name="ref-vicente-serrano_multiscalar_2010a"/>
    <w:p>
      <w:pPr>
        <w:pStyle w:val="Bibliography"/>
      </w:pPr>
      <w:r>
        <w:t xml:space="preserve">69.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3"/>
    <w:bookmarkStart w:id="124"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4"/>
    <w:bookmarkStart w:id="125"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5"/>
    <w:bookmarkStart w:id="126"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6"/>
    <w:bookmarkStart w:id="127"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7"/>
    <w:bookmarkStart w:id="129"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0"/>
    <w:bookmarkStart w:id="131"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1"/>
    <w:bookmarkStart w:id="132"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2"/>
    <w:bookmarkStart w:id="133" w:name="ref-harris_version_2020"/>
    <w:p>
      <w:pPr>
        <w:pStyle w:val="Bibliography"/>
      </w:pPr>
      <w:r>
        <w:t xml:space="preserve">78.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3"/>
    <w:bookmarkStart w:id="134" w:name="ref-rcoreteam_language_2020"/>
    <w:p>
      <w:pPr>
        <w:pStyle w:val="Bibliography"/>
      </w:pPr>
      <w:r>
        <w:t xml:space="preserve">79.</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80.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81.</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82.</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2022-03-21T14:45:32Z</dcterms:created>
  <dcterms:modified xsi:type="dcterms:W3CDTF">2022-03-21T14:45:32Z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