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p>
      <w:pPr>
        <w:pStyle w:val="Heading1"/>
      </w:pPr>
      <w:bookmarkStart w:id="22" w:name="body"/>
      <w:r>
        <w:t xml:space="preserve">2	(Body)</w:t>
      </w:r>
      <w:bookmarkEnd w:id="22"/>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
        </w:rPr>
        <w:t xml:space="preserve">i.e.</w:t>
      </w:r>
      <w:r>
        <w:t xml:space="preserve">, net ecosystem exchange,</w:t>
      </w:r>
      <w:r>
        <w:t xml:space="preserve"> </w:t>
      </w:r>
      <w:r>
        <w:rPr>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Using dendrometer band measurements taken throughout the growing season at the Smithsonian Conservation Biology Institute (SCBI; Virginia, USA; n =</w:t>
      </w:r>
      <w:r>
        <w:t xml:space="preserve"> </w:t>
      </w:r>
      <w:r>
        <w:rPr>
          <w:b/>
        </w:rPr>
        <w:t xml:space="preserve">125</w:t>
      </w:r>
      <w:r>
        <w:t xml:space="preserve"> </w:t>
      </w:r>
      <w:r>
        <w:t xml:space="preserve">trees from 2011-2020) and Harvard Forest (Massachusetts, USA; n =</w:t>
      </w:r>
      <w:r>
        <w:t xml:space="preserve"> </w:t>
      </w:r>
      <w:r>
        <w:rPr>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28</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t>∘</m:t>
            </m:r>
          </m:sup>
        </m:sSup>
      </m:oMath>
      <w:r>
        <w:t xml:space="preserve">C at SCBI and 2.4 days/</w:t>
      </w:r>
      <w:r>
        <w:t xml:space="preserve"> </w:t>
      </w:r>
      <m:oMath>
        <m:sSup>
          <m:e>
            <m:r>
              <m:t>​</m:t>
            </m:r>
          </m:e>
          <m:sup>
            <m: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rPr>
          <w:i/>
        </w:rPr>
        <w:t xml:space="preserve">(This might be better as a table. Add to an existing one? May be able to add to mean_growth_parameters table)</w:t>
      </w:r>
    </w:p>
    <w:p>
      <w:pPr>
        <w:pStyle w:val="BodyText"/>
      </w:pPr>
      <w:r>
        <w:t xml:space="preserve">Whereas the length of time between leaf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p>
      <w:pPr>
        <w:pStyle w:val="Heading2"/>
      </w:pPr>
      <w:bookmarkStart w:id="28" w:name="Discussion"/>
      <w:r>
        <w:t xml:space="preserve">Discussion</w:t>
      </w:r>
      <w:bookmarkEnd w:id="28"/>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b/>
          <w:vertAlign w:val="superscript"/>
        </w:rPr>
        <w:t xml:space="preserve">???</w:t>
      </w:r>
      <w:r>
        <w:rPr>
          <w:vertAlign w:val="superscript"/>
        </w:rPr>
        <w:t xml:space="preserve">,</w:t>
      </w:r>
      <w:r>
        <w:rPr>
          <w:b/>
          <w:vertAlign w:val="superscript"/>
        </w:rPr>
        <w:t xml:space="preserve">??</w:t>
      </w:r>
      <w:r>
        <w:rPr>
          <w:vertAlign w:val="superscript"/>
        </w:rPr>
        <w:t xml:space="preserve">,1,7,9,10,31,32</w:t>
      </w:r>
      <w:r>
        <w:t xml:space="preserve">, with delays more common across eastern North America,</w:t>
      </w:r>
      <w:r>
        <w:rPr>
          <w:vertAlign w:val="superscript"/>
        </w:rPr>
        <w:t xml:space="preserve">2–4</w:t>
      </w:r>
      <w:r>
        <w:t xml:space="preserve"> </w:t>
      </w:r>
      <w:r>
        <w:t xml:space="preserve">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33</w:t>
      </w:r>
      <w:r>
        <w:t xml:space="preserve">, resulting in formation of more carbon-dense cell walls in years with warm springs (</w:t>
      </w:r>
      <w:r>
        <w:rPr>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34,35</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w:t>
      </w:r>
      <w:r>
        <w:rPr>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
        </w:rPr>
        <w:t xml:space="preserve">REFS</w:t>
      </w:r>
      <w:r>
        <w:t xml:space="preserve">]</w:t>
      </w:r>
      <w:r>
        <w:t xml:space="preserve"> </w:t>
      </w:r>
      <w:r>
        <w:t xml:space="preserve"> </w:t>
      </w:r>
      <w:r>
        <w:t xml:space="preserve">and, on longer time scales, species adaptations and shifts are likely to alter forest composition[</w:t>
      </w:r>
      <w:r>
        <w:rPr>
          <w:b/>
        </w:rPr>
        <w:t xml:space="preserve">REFS</w:t>
      </w:r>
      <w:r>
        <w:t xml:space="preserve">].</w:t>
      </w:r>
      <w:r>
        <w:t xml:space="preserve"> </w:t>
      </w:r>
      <w:r>
        <w:t xml:space="preserve">If we look across spatial gradients where the latter have had time to play out, we see that longer growing seasons are correlated with greater tree growth</w:t>
      </w:r>
      <w:r>
        <w:rPr>
          <w:vertAlign w:val="superscript"/>
        </w:rPr>
        <w:t xml:space="preserve">36</w:t>
      </w:r>
      <w:r>
        <w:t xml:space="preserve">, woody productivity</w:t>
      </w:r>
      <w:r>
        <w:rPr>
          <w:vertAlign w:val="superscript"/>
        </w:rPr>
        <w:t xml:space="preserve">37</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 (Fig. 1)</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p>
      <w:pPr>
        <w:pStyle w:val="Heading1"/>
      </w:pPr>
      <w:bookmarkStart w:id="29" w:name="content-to-incorporate-or-delete"/>
      <w:r>
        <w:t xml:space="preserve">3	content to incorporate or delete:</w:t>
      </w:r>
      <w:bookmarkEnd w:id="29"/>
    </w:p>
    <w:p>
      <w:pPr>
        <w:pStyle w:val="FirstParagraph"/>
      </w:pPr>
      <w:r>
        <w:rPr>
          <w:b/>
        </w:rPr>
        <w:t xml:space="preserve">???</w:t>
      </w:r>
    </w:p>
    <w:p>
      <w:pPr>
        <w:pStyle w:val="Heading1"/>
      </w:pPr>
      <w:bookmarkStart w:id="30" w:name="Methods"/>
      <w:r>
        <w:t xml:space="preserve">Methods</w:t>
      </w:r>
      <w:bookmarkEnd w:id="30"/>
    </w:p>
    <w:p>
      <w:pPr>
        <w:pStyle w:val="FirstParagraph"/>
      </w:pPr>
      <w:r>
        <w:rPr>
          <w:i/>
        </w:rPr>
        <w:t xml:space="preserve">We have not yet re-written the methods for Nature. Nature guidelines: Full methods, typically not exceeding 3000 words (currently at 1800 words). May be subdivided by bold headings.</w:t>
      </w:r>
    </w:p>
    <w:p>
      <w:pPr>
        <w:pStyle w:val="Heading2"/>
      </w:pPr>
      <w:bookmarkStart w:id="31" w:name="Dendrometer"/>
      <w:r>
        <w:t xml:space="preserve">Dendrometer bands</w:t>
      </w:r>
      <w:bookmarkEnd w:id="31"/>
    </w:p>
    <w:p>
      <w:pPr>
        <w:pStyle w:val="Heading3"/>
      </w:pPr>
      <w:bookmarkStart w:id="32" w:name="Study"/>
      <w:r>
        <w:t xml:space="preserve">Study sites</w:t>
      </w:r>
      <w:bookmarkEnd w:id="32"/>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26</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24</w:t>
      </w:r>
      <w:r>
        <w:t xml:space="preserve"> </w:t>
      </w:r>
    </w:p>
    <w:p>
      <w:pPr>
        <w:pStyle w:val="Heading3"/>
      </w:pPr>
      <w:bookmarkStart w:id="33" w:name="Data"/>
      <w:r>
        <w:t xml:space="preserve">Data collection and preparation</w:t>
      </w:r>
      <w:bookmarkEnd w:id="33"/>
    </w:p>
    <w:p>
      <w:pPr>
        <w:pStyle w:val="FirstParagraph"/>
      </w:pPr>
      <w:r>
        <w:t xml:space="preserve">Metal dendrometer bands were installed on a total of 941 trees within the SCBI and Harvard Forest ForestGEO plots. (Changed to raw # of bands. Removed EDT reference because we use # bands after cleaning - CD)</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
        </w:rPr>
        <w:t xml:space="preserve">~124</w:t>
      </w:r>
      <w:r>
        <w:t xml:space="preserve"> </w:t>
      </w:r>
      <w:r>
        <w:t xml:space="preserve">(range: 91-138)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were clearly wrong but with unknown causes they were removed. If a majority of the data points fell into this class within a tree-year the entire year was removed from the analysis.</w:t>
      </w:r>
    </w:p>
    <w:p>
      <w:pPr>
        <w:pStyle w:val="BodyText"/>
      </w:pPr>
      <w:r>
        <w:t xml:space="preserve">We fit the model of</w:t>
      </w:r>
      <w:r>
        <w:t xml:space="preserve"> </w:t>
      </w:r>
      <w:r>
        <w:t xml:space="preserve">27</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removed–the majority falling under condition 4.</w:t>
      </w:r>
    </w:p>
    <w:p>
      <w:pPr>
        <w:pStyle w:val="Heading3"/>
      </w:pPr>
      <w:bookmarkStart w:id="34" w:name="Climate"/>
      <w:r>
        <w:t xml:space="preserve">Climate</w:t>
      </w:r>
      <w:bookmarkEnd w:id="34"/>
    </w:p>
    <w:p>
      <w:pPr>
        <w:pStyle w:val="FirstParagraph"/>
      </w:pPr>
      <w:r>
        <w:t xml:space="preserve">For the dendrometer band analysis we used climate data from local weather stations.</w:t>
      </w:r>
      <w:r>
        <w:t xml:space="preserve"> </w:t>
      </w:r>
      <w:r>
        <w:t xml:space="preserve">Daily maximum (</w:t>
      </w:r>
      <m:oMath>
        <m:sSub>
          <m:e>
            <m:r>
              <m:t>T</m:t>
            </m:r>
          </m:e>
          <m:sub>
            <m:r>
              <m:t>m</m:t>
            </m:r>
            <m:r>
              <m:t>a</m:t>
            </m:r>
            <m:r>
              <m:t>x</m:t>
            </m:r>
          </m:sub>
        </m:sSub>
      </m:oMath>
      <w:r>
        <w:t xml:space="preserve">) and minimum temperatures (</w:t>
      </w:r>
      <m:oMath>
        <m:sSub>
          <m:e>
            <m:r>
              <m:t>T</m:t>
            </m:r>
          </m:e>
          <m:sub>
            <m:r>
              <m:t>m</m:t>
            </m:r>
            <m:r>
              <m:t>i</m:t>
            </m:r>
            <m:r>
              <m:t>n</m:t>
            </m:r>
          </m:sub>
        </m:sSub>
      </m:oMath>
      <w:r>
        <w:t xml:space="preserve">) for SCBI were obtained from a meteorological tower adjacent to the SCBI ForestGEO plot, via the ForestGEO Climate Data Portal v1.0.</w:t>
      </w:r>
      <w:r>
        <w:rPr>
          <w:vertAlign w:val="superscript"/>
        </w:rPr>
        <w:t xml:space="preserve">38</w:t>
      </w:r>
      <w:r>
        <w:t xml:space="preserve"> </w:t>
      </w:r>
      <w:r>
        <w:t xml:space="preserve">Daily temperature records for Harvard Forest were obtained from the Harvard Forest weather station (Boose &amp; Gould, 2004; Boose, 2018).</w:t>
      </w:r>
      <w:r>
        <w:t xml:space="preserve"> </w:t>
      </w:r>
      <w:r>
        <w:t xml:space="preserve">The R package climpact</w:t>
      </w:r>
      <w:r>
        <w:t xml:space="preserve"> </w:t>
      </w:r>
      <w:r>
        <w:t xml:space="preserve"> </w:t>
      </w:r>
      <w:r>
        <w:t xml:space="preserve">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5">
        <w:r>
          <w:rPr>
            <w:rStyle w:val="Hyperlink"/>
          </w:rPr>
          <w:t xml:space="preserve">https://www.ncdc.noaa.gov/cdo-web/datasets/GHCND/stations/GHCND:USC00443229/detail</w:t>
        </w:r>
      </w:hyperlink>
      <w:r>
        <w:t xml:space="preserve">).</w:t>
      </w:r>
    </w:p>
    <w:p>
      <w:pPr>
        <w:pStyle w:val="Heading3"/>
      </w:pPr>
      <w:bookmarkStart w:id="36" w:name="leaf-phenology"/>
      <w:r>
        <w:t xml:space="preserve">3.0.1	Leaf phenology</w:t>
      </w:r>
      <w:bookmarkEnd w:id="36"/>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39</w:t>
      </w:r>
      <w:r>
        <w:t xml:space="preserve"> </w:t>
      </w:r>
      <w:r>
        <w:t xml:space="preserve">This dataset was used to determine timing of greenup, midgreenup, senescence, and enhanced vegetation index values for each year.</w:t>
      </w:r>
    </w:p>
    <w:p>
      <w:pPr>
        <w:pStyle w:val="Heading3"/>
      </w:pPr>
      <w:bookmarkStart w:id="37" w:name="Determining"/>
      <w:r>
        <w:t xml:space="preserve">Determining critical temperature windows</w:t>
      </w:r>
      <w:bookmarkEnd w:id="37"/>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40</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26</w:t>
      </w:r>
      <w:r>
        <w:t xml:space="preserve"> </w:t>
      </w:r>
      <w:r>
        <w:t xml:space="preserve">Determining the climate variables that most strongly control all parameters is beyond the scope of this analysis.</w:t>
      </w:r>
    </w:p>
    <w:p>
      <w:pPr>
        <w:pStyle w:val="Heading3"/>
      </w:pPr>
      <w:bookmarkStart w:id="38" w:name="Hypothesis"/>
      <w:r>
        <w:t xml:space="preserve">Hypothesis testing</w:t>
      </w:r>
      <w:bookmarkEnd w:id="38"/>
    </w:p>
    <w:p>
      <w:pPr>
        <w:pStyle w:val="FirstParagraph"/>
      </w:pPr>
      <w:r>
        <w:t xml:space="preserve">(</w:t>
      </w:r>
      <w:r>
        <w:rPr>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41</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p>
      <w:pPr>
        <w:pStyle w:val="Heading2"/>
      </w:pPr>
      <w:bookmarkStart w:id="39" w:name="Tree"/>
      <w:r>
        <w:t xml:space="preserve">Tree rings</w:t>
      </w:r>
      <w:bookmarkEnd w:id="39"/>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26</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42</w:t>
      </w:r>
      <w:r>
        <w:t xml:space="preserve"> </w:t>
      </w:r>
      <w:r>
        <w:t xml:space="preserve">and trees found newly dead in annual tree mortality in 2016 and 2017</w:t>
      </w:r>
      <w:r>
        <w:rPr>
          <w:vertAlign w:val="superscript"/>
        </w:rPr>
        <w:t xml:space="preserve">26</w:t>
      </w:r>
      <w:r>
        <w:rPr>
          <w:i/>
        </w:rPr>
        <w:t xml:space="preserve">(If we’re citing a method from the helcoski paper, do we need to do this</w:t>
      </w:r>
      <w:r>
        <w:rPr>
          <w:i/>
        </w:rPr>
        <w:t xml:space="preserve"> </w:t>
      </w:r>
      <w:r>
        <w:rPr>
          <w:i/>
        </w:rPr>
        <w:t xml:space="preserve">‘</w:t>
      </w:r>
      <w:r>
        <w:rPr>
          <w:i/>
        </w:rPr>
        <w:t xml:space="preserve">briefly</w:t>
      </w:r>
      <w:r>
        <w:rPr>
          <w:i/>
        </w:rPr>
        <w:t xml:space="preserve">’</w:t>
      </w:r>
      <w:r>
        <w:rPr>
          <w:i/>
        </w:rPr>
        <w:t xml:space="preserve"> </w:t>
      </w:r>
      <w:r>
        <w:rPr>
          <w:i/>
        </w:rPr>
        <w:t xml:space="preserve">section? I would remove.)</w:t>
      </w:r>
      <w:r>
        <w:t xml:space="preserve">.</w:t>
      </w:r>
      <w:r>
        <w:t xml:space="preserve"> </w:t>
      </w:r>
      <w:r>
        <w:t xml:space="preserve">At Harvard Forest, …(</w:t>
      </w:r>
      <w:r>
        <w:rPr>
          <w:i/>
        </w:rPr>
        <w:t xml:space="preserve">Neil can write this easily, or KAT probably has the info</w:t>
      </w:r>
      <w:r>
        <w:t xml:space="preserve">)</w:t>
      </w:r>
      <w:r>
        <w:t xml:space="preserve"> </w:t>
      </w:r>
      <w:r>
        <w:t xml:space="preserve">In total, we analyzed &gt;900 cores from fourteen species at SCBI and four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b/>
          <w:vertAlign w:val="superscript"/>
        </w:rPr>
        <w:t xml:space="preserve">???</w:t>
      </w:r>
      <w:r>
        <w:rPr>
          <w:vertAlign w:val="superscript"/>
        </w:rPr>
        <w:t xml:space="preserve">,25</w:t>
      </w:r>
      <w:r>
        <w:t xml:space="preserve"> </w:t>
      </w:r>
      <w:r>
        <w:t xml:space="preserve">(Strange et al. 2019 (QUAL); Au et al. 2020 (ACSA); LeBlanc et al Accepted (LITU) ; Maxwell et al. 2020 (QUAL) ; Matheus and Maxwell 2018 ; Schmidt 2015 (Thesis), Maxwell et al. (2020); Maxwell and Harley 2017; Wilde and Maxwell 2018; Maxwell et al. 2019; Maxwell et al. 2015 —</w:t>
      </w:r>
      <w:r>
        <w:t xml:space="preserve"> </w:t>
      </w:r>
      <w:r>
        <w:rPr>
          <w:i/>
        </w:rPr>
        <w:t xml:space="preserve">FIND REFS - sent by Justin with tree cores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43,44</w:t>
      </w:r>
      <w:r>
        <w:t xml:space="preserve"> </w:t>
      </w:r>
      <w:r>
        <w:t xml:space="preserve">Chronologies were built using the methods described in Helcoski et al. 2019</w:t>
      </w:r>
      <w:r>
        <w:rPr>
          <w:vertAlign w:val="superscript"/>
        </w:rPr>
        <w:t xml:space="preserve">26</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45</w:t>
      </w:r>
      <w:r>
        <w:t xml:space="preserve"> </w:t>
      </w:r>
      <w:r>
        <w:t xml:space="preserve">again via the ForestGEO Climate Data Portal v1.0.</w:t>
      </w:r>
      <w:r>
        <w:rPr>
          <w:vertAlign w:val="superscript"/>
        </w:rPr>
        <w:t xml:space="preserve">38</w:t>
      </w:r>
    </w:p>
    <w:p>
      <w:pPr>
        <w:pStyle w:val="Heading1"/>
      </w:pPr>
      <w:bookmarkStart w:id="40" w:name="Acknowledgements"/>
      <w:r>
        <w:t xml:space="preserve">Acknowledgements</w:t>
      </w:r>
      <w:bookmarkEnd w:id="40"/>
    </w:p>
    <w:p>
      <w:pPr>
        <w:pStyle w:val="FirstParagraph"/>
      </w:pPr>
      <w:r>
        <w:t xml:space="preserve">people: (everyone who helped collect data– see list on GitHub), Jess Shue (data)</w:t>
      </w:r>
      <w:r>
        <w:t xml:space="preserve"> </w:t>
      </w:r>
      <w:r>
        <w:t xml:space="preserve">Funding: ForestGEO</w:t>
      </w:r>
    </w:p>
    <w:p>
      <w:pPr>
        <w:pStyle w:val="Heading1"/>
      </w:pPr>
      <w:bookmarkStart w:id="41" w:name="Author"/>
      <w:r>
        <w:t xml:space="preserve">Author Contributions</w:t>
      </w:r>
      <w:bookmarkEnd w:id="41"/>
    </w:p>
    <w:p>
      <w:pPr>
        <w:pStyle w:val="Heading1"/>
      </w:pPr>
      <w:bookmarkStart w:id="42" w:name="Additional"/>
      <w:r>
        <w:t xml:space="preserve">Additional Information</w:t>
      </w:r>
      <w:bookmarkEnd w:id="42"/>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43" w:name="References"/>
      <w:r>
        <w:t xml:space="preserve">References</w:t>
      </w:r>
      <w:bookmarkEnd w:id="43"/>
    </w:p>
    <w:bookmarkStart w:id="94" w:name="refs"/>
    <w:bookmarkStart w:id="44"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44"/>
    <w:bookmarkStart w:id="45"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45"/>
    <w:bookmarkStart w:id="46"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46"/>
    <w:bookmarkStart w:id="47"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47"/>
    <w:bookmarkStart w:id="48" w:name="ref-menzel_growing_1999"/>
    <w:p>
      <w:pPr>
        <w:pStyle w:val="Bibliography"/>
      </w:pPr>
      <w:r>
        <w:t xml:space="preserve">5. Menzel, A. &amp; Fabian, P. Growing season extended in Europe.</w:t>
      </w:r>
      <w:r>
        <w:t xml:space="preserve"> </w:t>
      </w:r>
      <w:r>
        <w:rPr>
          <w:i/>
        </w:rPr>
        <w:t xml:space="preserve">Nature</w:t>
      </w:r>
      <w:r>
        <w:t xml:space="preserve"> </w:t>
      </w:r>
      <w:r>
        <w:rPr>
          <w:b/>
        </w:rPr>
        <w:t xml:space="preserve">397</w:t>
      </w:r>
      <w:r>
        <w:t xml:space="preserve">, 659–659 (1999).</w:t>
      </w:r>
    </w:p>
    <w:bookmarkEnd w:id="48"/>
    <w:bookmarkStart w:id="49" w:name="ref-menzel_european_2006"/>
    <w:p>
      <w:pPr>
        <w:pStyle w:val="Bibliography"/>
      </w:pPr>
      <w:r>
        <w:t xml:space="preserve">6.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9"/>
    <w:bookmarkStart w:id="50" w:name="ref-ibanez_forecasting_2010"/>
    <w:p>
      <w:pPr>
        <w:pStyle w:val="Bibliography"/>
      </w:pPr>
      <w:r>
        <w:t xml:space="preserve">7.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50"/>
    <w:bookmarkStart w:id="51" w:name="ref-keeling_increased_1996"/>
    <w:p>
      <w:pPr>
        <w:pStyle w:val="Bibliography"/>
      </w:pPr>
      <w:r>
        <w:t xml:space="preserve">8.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51"/>
    <w:bookmarkStart w:id="52" w:name="ref-dragoni_evidence_2011"/>
    <w:p>
      <w:pPr>
        <w:pStyle w:val="Bibliography"/>
      </w:pPr>
      <w:r>
        <w:t xml:space="preserve">9.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2"/>
    <w:bookmarkStart w:id="53" w:name="ref-crabbe_extreme_2016"/>
    <w:p>
      <w:pPr>
        <w:pStyle w:val="Bibliography"/>
      </w:pPr>
      <w:r>
        <w:t xml:space="preserve">10.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3"/>
    <w:bookmarkStart w:id="54" w:name="ref-zhou_explaining_2016"/>
    <w:p>
      <w:pPr>
        <w:pStyle w:val="Bibliography"/>
      </w:pPr>
      <w:r>
        <w:t xml:space="preserve">11.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4"/>
    <w:bookmarkStart w:id="55" w:name="ref-fu_maximum_2019"/>
    <w:p>
      <w:pPr>
        <w:pStyle w:val="Bibliography"/>
      </w:pPr>
      <w:r>
        <w:t xml:space="preserve">12.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5"/>
    <w:bookmarkStart w:id="56" w:name="ref-xue_global_2017"/>
    <w:p>
      <w:pPr>
        <w:pStyle w:val="Bibliography"/>
      </w:pPr>
      <w:r>
        <w:t xml:space="preserve">13.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6"/>
    <w:bookmarkStart w:id="57" w:name="ref-russell_residence_2014"/>
    <w:p>
      <w:pPr>
        <w:pStyle w:val="Bibliography"/>
      </w:pPr>
      <w:r>
        <w:t xml:space="preserve">14.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7"/>
    <w:bookmarkStart w:id="58" w:name="ref-profft_forest_2009"/>
    <w:p>
      <w:pPr>
        <w:pStyle w:val="Bibliography"/>
      </w:pPr>
      <w:r>
        <w:t xml:space="preserve">15.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58"/>
    <w:bookmarkStart w:id="59" w:name="ref-zani_increased_2020"/>
    <w:p>
      <w:pPr>
        <w:pStyle w:val="Bibliography"/>
      </w:pPr>
      <w:r>
        <w:t xml:space="preserve">16. Zani, D., Crowther, T. W., Mo, L., Renner, S. S. &amp; Zohner, C. M. Increased growing-season productivity drives earlier autumn leaf senescence in temperate trees. 7 (2020).</w:t>
      </w:r>
    </w:p>
    <w:bookmarkEnd w:id="59"/>
    <w:bookmarkStart w:id="60" w:name="ref-pan_large_2011"/>
    <w:p>
      <w:pPr>
        <w:pStyle w:val="Bibliography"/>
      </w:pPr>
      <w:r>
        <w:t xml:space="preserve">17.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60"/>
    <w:bookmarkStart w:id="61" w:name="ref-pugh_role_2019"/>
    <w:p>
      <w:pPr>
        <w:pStyle w:val="Bibliography"/>
      </w:pPr>
      <w:r>
        <w:t xml:space="preserve">18.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61"/>
    <w:bookmarkStart w:id="62" w:name="ref-arora_carbon_2020"/>
    <w:p>
      <w:pPr>
        <w:pStyle w:val="Bibliography"/>
      </w:pPr>
      <w:r>
        <w:t xml:space="preserve">19.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62"/>
    <w:bookmarkStart w:id="63" w:name="ref-friedlingstein_global_2020"/>
    <w:p>
      <w:pPr>
        <w:pStyle w:val="Bibliography"/>
      </w:pPr>
      <w:r>
        <w:t xml:space="preserve">20.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63"/>
    <w:bookmarkStart w:id="64" w:name="ref-churkina_spatial_2005"/>
    <w:p>
      <w:pPr>
        <w:pStyle w:val="Bibliography"/>
      </w:pPr>
      <w:r>
        <w:t xml:space="preserve">21.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64"/>
    <w:bookmarkStart w:id="65" w:name="ref-keenan_timing_2015"/>
    <w:p>
      <w:pPr>
        <w:pStyle w:val="Bibliography"/>
      </w:pPr>
      <w:r>
        <w:t xml:space="preserve">22.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65"/>
    <w:bookmarkStart w:id="66" w:name="ref-zohner_how_2021"/>
    <w:p>
      <w:pPr>
        <w:pStyle w:val="Bibliography"/>
      </w:pPr>
      <w:r>
        <w:t xml:space="preserve">23.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6"/>
    <w:bookmarkStart w:id="68" w:name="ref-dorangeville_peak_2021"/>
    <w:p>
      <w:pPr>
        <w:pStyle w:val="Bibliography"/>
      </w:pPr>
      <w:r>
        <w:t xml:space="preserve">24.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7">
        <w:r>
          <w:rPr>
            <w:rStyle w:val="Hyperlink"/>
          </w:rPr>
          <w:t xml:space="preserve">10.1093/treephys/tpab101</w:t>
        </w:r>
      </w:hyperlink>
      <w:r>
        <w:t xml:space="preserve">.</w:t>
      </w:r>
    </w:p>
    <w:bookmarkEnd w:id="68"/>
    <w:bookmarkStart w:id="69" w:name="ref-dorangeville_drought_2018"/>
    <w:p>
      <w:pPr>
        <w:pStyle w:val="Bibliography"/>
      </w:pPr>
      <w:r>
        <w:t xml:space="preserve">25.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9"/>
    <w:bookmarkStart w:id="70" w:name="ref-helcoski_growing_2019"/>
    <w:p>
      <w:pPr>
        <w:pStyle w:val="Bibliography"/>
      </w:pPr>
      <w:r>
        <w:t xml:space="preserve">26.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70"/>
    <w:bookmarkStart w:id="71" w:name="ref-mcmahon_general_2015"/>
    <w:p>
      <w:pPr>
        <w:pStyle w:val="Bibliography"/>
      </w:pPr>
      <w:r>
        <w:t xml:space="preserve">27.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71"/>
    <w:bookmarkStart w:id="72" w:name="ref-parmesan_globally_2003"/>
    <w:p>
      <w:pPr>
        <w:pStyle w:val="Bibliography"/>
      </w:pPr>
      <w:r>
        <w:t xml:space="preserve">28.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72"/>
    <w:bookmarkStart w:id="73" w:name="ref-friedl_tale_2014"/>
    <w:p>
      <w:pPr>
        <w:pStyle w:val="Bibliography"/>
      </w:pPr>
      <w:r>
        <w:t xml:space="preserve">29.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73"/>
    <w:bookmarkStart w:id="74" w:name="ref-vicente-serrano_multiscalar_2010"/>
    <w:p>
      <w:pPr>
        <w:pStyle w:val="Bibliography"/>
      </w:pPr>
      <w:r>
        <w:t xml:space="preserve">30.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74"/>
    <w:bookmarkStart w:id="75" w:name="ref-zohner_ongoing_2019"/>
    <w:p>
      <w:pPr>
        <w:pStyle w:val="Bibliography"/>
      </w:pPr>
      <w:r>
        <w:t xml:space="preserve">31.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5"/>
    <w:bookmarkStart w:id="76" w:name="ref-vitasse_responses_2009"/>
    <w:p>
      <w:pPr>
        <w:pStyle w:val="Bibliography"/>
      </w:pPr>
      <w:r>
        <w:t xml:space="preserve">32. Vitasse, Y., Porté, A. J., Kremer, A., Michalet, R. &amp; Delzon, S. Responses of canopy duration to temperature changes in four temperate tree species: Relative contributions of spring and autumn leaf phenology.</w:t>
      </w:r>
      <w:r>
        <w:t xml:space="preserve"> </w:t>
      </w:r>
      <w:r>
        <w:rPr>
          <w:i/>
        </w:rPr>
        <w:t xml:space="preserve">Oecologia</w:t>
      </w:r>
      <w:r>
        <w:t xml:space="preserve"> </w:t>
      </w:r>
      <w:r>
        <w:rPr>
          <w:b/>
        </w:rPr>
        <w:t xml:space="preserve">161</w:t>
      </w:r>
      <w:r>
        <w:t xml:space="preserve">, 187–198 (2009).</w:t>
      </w:r>
    </w:p>
    <w:bookmarkEnd w:id="76"/>
    <w:bookmarkStart w:id="77" w:name="ref-cuny_woody_2015"/>
    <w:p>
      <w:pPr>
        <w:pStyle w:val="Bibliography"/>
      </w:pPr>
      <w:r>
        <w:t xml:space="preserve">33.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7"/>
    <w:bookmarkStart w:id="78" w:name="ref-trumbore_quantifying_2002"/>
    <w:p>
      <w:pPr>
        <w:pStyle w:val="Bibliography"/>
      </w:pPr>
      <w:r>
        <w:t xml:space="preserve">34.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78"/>
    <w:bookmarkStart w:id="79" w:name="ref-richardson_seasonal_2013"/>
    <w:p>
      <w:pPr>
        <w:pStyle w:val="Bibliography"/>
      </w:pPr>
      <w:r>
        <w:t xml:space="preserve">35.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79"/>
    <w:bookmarkStart w:id="80" w:name="ref-anderson-teixeira_joint_2021"/>
    <w:p>
      <w:pPr>
        <w:pStyle w:val="Bibliography"/>
      </w:pPr>
      <w:r>
        <w:t xml:space="preserve">36.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0"/>
    <w:bookmarkStart w:id="82" w:name="ref-banburymorgan_global_2021"/>
    <w:p>
      <w:pPr>
        <w:pStyle w:val="Bibliography"/>
      </w:pPr>
      <w:r>
        <w:t xml:space="preserve">37.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1">
        <w:r>
          <w:rPr>
            <w:rStyle w:val="Hyperlink"/>
          </w:rPr>
          <w:t xml:space="preserve">10.1111/gcb.15574</w:t>
        </w:r>
      </w:hyperlink>
      <w:r>
        <w:t xml:space="preserve">.</w:t>
      </w:r>
    </w:p>
    <w:bookmarkEnd w:id="82"/>
    <w:bookmarkStart w:id="84" w:name="ref-anderson-teixeira_forestgeo_2020"/>
    <w:p>
      <w:pPr>
        <w:pStyle w:val="Bibliography"/>
      </w:pPr>
      <w:r>
        <w:t xml:space="preserve">38. Anderson-Teixeira, K.</w:t>
      </w:r>
      <w:r>
        <w:t xml:space="preserve"> </w:t>
      </w:r>
      <w:r>
        <w:rPr>
          <w:i/>
        </w:rPr>
        <w:t xml:space="preserve">et al.</w:t>
      </w:r>
      <w:r>
        <w:t xml:space="preserve"> </w:t>
      </w:r>
      <w:r>
        <w:t xml:space="preserve">Forestgeo/Climate: Initial release. (2020) doi:</w:t>
      </w:r>
      <w:hyperlink r:id="rId83">
        <w:r>
          <w:rPr>
            <w:rStyle w:val="Hyperlink"/>
          </w:rPr>
          <w:t xml:space="preserve">10.5281/ZENODO.4041609</w:t>
        </w:r>
      </w:hyperlink>
      <w:r>
        <w:t xml:space="preserve">.</w:t>
      </w:r>
    </w:p>
    <w:bookmarkEnd w:id="84"/>
    <w:bookmarkStart w:id="86" w:name="ref-friedl_mcd12q2_2019"/>
    <w:p>
      <w:pPr>
        <w:pStyle w:val="Bibliography"/>
      </w:pPr>
      <w:r>
        <w:t xml:space="preserve">39. Friedl, M., Gray, J. &amp; Sulla-Menashe, D. MCD12Q2 MODIS/Terra+Aqua Land Cover Dynamics Yearly L3 Global 500m SIN Grid V006. (2019) doi:</w:t>
      </w:r>
      <w:hyperlink r:id="rId85">
        <w:r>
          <w:rPr>
            <w:rStyle w:val="Hyperlink"/>
          </w:rPr>
          <w:t xml:space="preserve">10.5067/MODIS/MCD12Q2.006</w:t>
        </w:r>
      </w:hyperlink>
      <w:r>
        <w:t xml:space="preserve">.</w:t>
      </w:r>
    </w:p>
    <w:bookmarkEnd w:id="86"/>
    <w:bookmarkStart w:id="87" w:name="ref-vandepol_identifying_2016"/>
    <w:p>
      <w:pPr>
        <w:pStyle w:val="Bibliography"/>
      </w:pPr>
      <w:r>
        <w:t xml:space="preserve">40.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87"/>
    <w:bookmarkStart w:id="88" w:name="ref-bates_fitting_2015"/>
    <w:p>
      <w:pPr>
        <w:pStyle w:val="Bibliography"/>
      </w:pPr>
      <w:r>
        <w:t xml:space="preserve">41.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88"/>
    <w:bookmarkStart w:id="89" w:name="ref-bourg_initial_2013"/>
    <w:p>
      <w:pPr>
        <w:pStyle w:val="Bibliography"/>
      </w:pPr>
      <w:r>
        <w:t xml:space="preserve">42.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9"/>
    <w:bookmarkStart w:id="90" w:name="ref-cook_time_1985"/>
    <w:p>
      <w:pPr>
        <w:pStyle w:val="Bibliography"/>
      </w:pPr>
      <w:r>
        <w:t xml:space="preserve">43. Cook, E. R. A Time Series Analysis Approach to Tree Ring Standardization. vol. PhD (University of Arizona, 1985).</w:t>
      </w:r>
    </w:p>
    <w:bookmarkEnd w:id="90"/>
    <w:bookmarkStart w:id="92" w:name="ref-cook_methods_1990"/>
    <w:p>
      <w:pPr>
        <w:pStyle w:val="Bibliography"/>
      </w:pPr>
      <w:r>
        <w:t xml:space="preserve">44.</w:t>
      </w:r>
      <w:r>
        <w:t xml:space="preserve"> </w:t>
      </w:r>
      <w:r>
        <w:rPr>
          <w:i/>
        </w:rPr>
        <w:t xml:space="preserve">Methods of Dendrochronology: Applications in the Environmental Sciences</w:t>
      </w:r>
      <w:r>
        <w:t xml:space="preserve">. (Springer Netherlands, 1990). doi:</w:t>
      </w:r>
      <w:hyperlink r:id="rId91">
        <w:r>
          <w:rPr>
            <w:rStyle w:val="Hyperlink"/>
          </w:rPr>
          <w:t xml:space="preserve">10.1007/978-94-015-7879-0</w:t>
        </w:r>
      </w:hyperlink>
      <w:r>
        <w:t xml:space="preserve">.</w:t>
      </w:r>
    </w:p>
    <w:bookmarkEnd w:id="92"/>
    <w:bookmarkStart w:id="93" w:name="ref-harris_version_2020"/>
    <w:p>
      <w:pPr>
        <w:pStyle w:val="Bibliography"/>
      </w:pPr>
      <w:r>
        <w:t xml:space="preserve">45.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93"/>
    <w:bookmarkEnd w:id="94"/>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91"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81"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5"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91"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81"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5"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2021-10-17T15:26:31Z</dcterms:created>
  <dcterms:modified xsi:type="dcterms:W3CDTF">2021-10-17T15:26:31Z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