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(Orcid ID : 0000-0002-8365-598X)</w:t>
      </w:r>
    </w:p>
    <w:p>
      <w:pPr>
        <w:pStyle w:val="BodyText"/>
      </w:pPr>
      <w:r>
        <w:t xml:space="preserve">Albert Y. Kim</w:t>
      </w:r>
      <w:r>
        <w:rPr>
          <w:vertAlign w:val="superscript"/>
        </w:rPr>
        <w:t xml:space="preserve">1,3</w:t>
      </w:r>
      <w:r>
        <w:t xml:space="preserve"> </w:t>
      </w:r>
      <w:r>
        <w:t xml:space="preserve">(Orcid ID : 0000-0001-7824-306X)</w:t>
      </w:r>
    </w:p>
    <w:p>
      <w:pPr>
        <w:pStyle w:val="BodyText"/>
      </w:pPr>
      <w:r>
        <w:t xml:space="preserve">Loïc D’Orangeville</w:t>
      </w:r>
      <w:r>
        <w:rPr>
          <w:vertAlign w:val="superscript"/>
        </w:rPr>
        <w:t xml:space="preserve">4,5</w:t>
      </w:r>
      <w:r>
        <w:t xml:space="preserve"> </w:t>
      </w:r>
      <w:r>
        <w:t xml:space="preserve">(Orcid ID : 0000-0001-7841-7082)</w:t>
      </w:r>
    </w:p>
    <w:p>
      <w:pPr>
        <w:pStyle w:val="BodyText"/>
      </w:pPr>
      <w:r>
        <w:t xml:space="preserve">Erika B. Gonzalez-Akre</w:t>
      </w:r>
      <w:r>
        <w:rPr>
          <w:vertAlign w:val="superscript"/>
        </w:rPr>
        <w:t xml:space="preserve">1</w:t>
      </w:r>
      <w:r>
        <w:t xml:space="preserve"> </w:t>
      </w:r>
      <w:r>
        <w:t xml:space="preserve">(Orcid ID : 0000-0001-8305-6672)</w:t>
      </w:r>
    </w:p>
    <w:p>
      <w:pPr>
        <w:pStyle w:val="BodyText"/>
      </w:pPr>
      <w:r>
        <w:t xml:space="preserve">Ryan Helcoski</w:t>
      </w:r>
      <w:r>
        <w:rPr>
          <w:vertAlign w:val="superscript"/>
        </w:rPr>
        <w:t xml:space="preserve">1</w:t>
      </w:r>
      <w:r>
        <w:t xml:space="preserve"> </w:t>
      </w:r>
      <w:r>
        <w:t xml:space="preserve">(Orcid ID: 0000-0003-3579-0121)</w:t>
      </w:r>
    </w:p>
    <w:p>
      <w:pPr>
        <w:pStyle w:val="BodyText"/>
      </w:pPr>
      <w:r>
        <w:t xml:space="preserve">Valentine Herrmann</w:t>
      </w:r>
      <w:r>
        <w:rPr>
          <w:vertAlign w:val="superscript"/>
        </w:rPr>
        <w:t xml:space="preserve">1</w:t>
      </w:r>
      <w:r>
        <w:t xml:space="preserve"> </w:t>
      </w:r>
      <w:r>
        <w:t xml:space="preserve">(Orcid ID : 0000-0002-4519-481X)</w:t>
      </w:r>
    </w:p>
    <w:p>
      <w:pPr>
        <w:pStyle w:val="BodyText"/>
      </w:pPr>
      <w:r>
        <w:t xml:space="preserve">Grant L. Harley</w:t>
      </w:r>
      <w:r>
        <w:rPr>
          <w:vertAlign w:val="superscript"/>
        </w:rPr>
        <w:t xml:space="preserve">6</w:t>
      </w:r>
      <w:r>
        <w:t xml:space="preserve"> </w:t>
      </w:r>
      <w:r>
        <w:t xml:space="preserve">(Orcid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r>
        <w:t xml:space="preserve"> </w:t>
      </w:r>
      <w:r>
        <w:t xml:space="preserve">(Orchid ID: 0000-0002-8102-02000)</w:t>
      </w:r>
    </w:p>
    <w:p>
      <w:pPr>
        <w:pStyle w:val="BodyText"/>
      </w:pPr>
      <w:r>
        <w:t xml:space="preserve">Sean M.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1–3,4</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2,4–9</w:t>
      </w:r>
      <w:r>
        <w:rPr>
          <w:bCs/>
          <w:b/>
        </w:rPr>
        <w:t xml:space="preserve">.</w:t>
      </w:r>
      <w:r>
        <w:t xml:space="preserve"> </w:t>
      </w:r>
      <w:r>
        <w:rPr>
          <w:bCs/>
          <w:b/>
        </w:rPr>
        <w:t xml:space="preserve">However, less is known about how spring temperatures affect tree stem growth</w:t>
      </w:r>
      <w:r>
        <w:rPr>
          <w:vertAlign w:val="superscript"/>
          <w:bCs/>
          <w:b/>
        </w:rPr>
        <w:t xml:space="preserve">10,11</w:t>
      </w:r>
      <w:r>
        <w:rPr>
          <w:bCs/>
          <w:b/>
        </w:rPr>
        <w:t xml:space="preserve">, which sequesters carbon (C) in wood that has a long residence time in the ecosystem</w:t>
      </w:r>
      <w:r>
        <w:rPr>
          <w:vertAlign w:val="superscript"/>
          <w:bCs/>
          <w:b/>
        </w:rPr>
        <w:t xml:space="preserve">12,13</w:t>
      </w:r>
      <w:r>
        <w:rPr>
          <w:bCs/>
          <w:b/>
        </w:rPr>
        <w:t xml:space="preserve">.</w:t>
      </w:r>
      <w:r>
        <w:t xml:space="preserve"> </w:t>
      </w:r>
      <w:r>
        <w:rPr>
          <w:bCs/>
          <w:b/>
        </w:rPr>
        <w:t xml:space="preserve">Using dendrometer band measurements from 440 trees across two forests, we show that warmer spring temperatures shifted stem growth of deciduous trees earlier but had no consistent effect on peak growing season length, maximum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5–7</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projections from global C cycle models</w:t>
      </w:r>
      <w:r>
        <w:rPr>
          <w:vertAlign w:val="superscript"/>
          <w:bCs/>
          <w:b/>
        </w:rPr>
        <w:t xml:space="preserve">2,14</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15</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15</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16</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17–19</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20</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2,20</w:t>
      </w:r>
      <w:r>
        <w:t xml:space="preserve">.</w:t>
      </w:r>
      <w:r>
        <w:t xml:space="preserve"> </w:t>
      </w:r>
      <w:r>
        <w:t xml:space="preserve">Based on these observations, current terrestrial ecosystem models represent warm springs and longer growing seasons as contributing positively to annual gross primary productivity (GPP) and net CO</w:t>
      </w:r>
      <w:r>
        <w:rPr>
          <w:vertAlign w:val="subscript"/>
        </w:rPr>
        <w:t xml:space="preserve">2</w:t>
      </w:r>
      <w:r>
        <w:t xml:space="preserve"> </w:t>
      </w:r>
      <w:r>
        <w:t xml:space="preserve">uptake (i.e., net ecosystem exchange, NEE)</w:t>
      </w:r>
      <w:r>
        <w:rPr>
          <w:vertAlign w:val="superscript"/>
        </w:rPr>
        <w:t xml:space="preserve">3,14,17</w:t>
      </w:r>
      <w:r>
        <w:t xml:space="preserve">.</w:t>
      </w:r>
      <w:r>
        <w:t xml:space="preserve"> </w:t>
      </w:r>
      <w:r>
        <w:t xml:space="preserve">However, the long-term persistence of this extra C in the ecosystem, and the associated negative feedback to climate change</w:t>
      </w:r>
      <w:r>
        <w:rPr>
          <w:vertAlign w:val="superscript"/>
        </w:rPr>
        <w:t xml:space="preserve">2</w:t>
      </w:r>
      <w:r>
        <w:t xml:space="preserve">, will depend on the extent to which it is allocated to woody growth and therefore resides in the ecosystem for decades to centuries</w:t>
      </w:r>
      <w:r>
        <w:rPr>
          <w:vertAlign w:val="superscript"/>
        </w:rPr>
        <w:t xml:space="preserve">12,13</w:t>
      </w:r>
      <w:r>
        <w:t xml:space="preserve">, as opposed to being rapidly released back to the atmosphere through respiration</w:t>
      </w:r>
      <w:r>
        <w:rPr>
          <w:vertAlign w:val="superscript"/>
        </w:rPr>
        <w:t xml:space="preserve">21,22</w:t>
      </w:r>
      <w:r>
        <w:t xml:space="preserve">.</w:t>
      </w:r>
      <w:r>
        <w:t xml:space="preserve"> </w:t>
      </w:r>
      <w:r>
        <w:t xml:space="preserve">Model representation of C allocation to stem growth – or woody aboveground net primary productivity (ANPP</w:t>
      </w:r>
      <w:r>
        <w:rPr>
          <w:vertAlign w:val="subscript"/>
        </w:rPr>
        <w:t xml:space="preserve">woody</w:t>
      </w:r>
      <w:r>
        <w:t xml:space="preserve">) on the ecosystem level – does not capture known decoupling of stem growth from photosynthate production</w:t>
      </w:r>
      <w:r>
        <w:rPr>
          <w:vertAlign w:val="superscript"/>
        </w:rPr>
        <w:t xml:space="preserve">11,19,23</w:t>
      </w:r>
      <w:r>
        <w:t xml:space="preserve">.</w:t>
      </w:r>
      <w:r>
        <w:t xml:space="preserve"> </w:t>
      </w:r>
      <w:r>
        <w:t xml:space="preserve">As a result, the consequences of rising spring temperatures on stem growth may not be accurately represented in models</w:t>
      </w:r>
      <w:r>
        <w:rPr>
          <w:vertAlign w:val="superscript"/>
        </w:rPr>
        <w:t xml:space="preserve">11,19</w:t>
      </w:r>
      <w:r>
        <w:t xml:space="preserve">.</w:t>
      </w:r>
      <w:r>
        <w:t xml:space="preserve"> </w:t>
      </w:r>
      <w:r>
        <w:t xml:space="preserve">Understanding the sensitivity of ANPP</w:t>
      </w:r>
      <w:r>
        <w:rPr>
          <w:vertAlign w:val="subscript"/>
        </w:rPr>
        <w:t xml:space="preserve">woody</w:t>
      </w:r>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24,</w:t>
      </w:r>
      <w:r>
        <w:rPr>
          <w:vertAlign w:val="superscript"/>
        </w:rPr>
        <w:t xml:space="preserve"> </w:t>
      </w:r>
      <w:r>
        <w:rPr>
          <w:vertAlign w:val="superscript"/>
        </w:rPr>
        <w:t xml:space="preserve">25</w:t>
      </w:r>
      <w:r>
        <w:t xml:space="preserve"> </w:t>
      </w:r>
      <w:r>
        <w:t xml:space="preserve">and increased annual growth in mesic climates</w:t>
      </w:r>
      <w:r>
        <w:rPr>
          <w:vertAlign w:val="superscript"/>
        </w:rPr>
        <w:t xml:space="preserve">26,</w:t>
      </w:r>
      <w:r>
        <w:rPr>
          <w:vertAlign w:val="superscript"/>
        </w:rPr>
        <w:t xml:space="preserve"> </w:t>
      </w:r>
      <w:r>
        <w:rPr>
          <w:vertAlign w:val="superscript"/>
        </w:rPr>
        <w:t xml:space="preserve">27</w:t>
      </w:r>
      <w:r>
        <w:t xml:space="preserve">.</w:t>
      </w:r>
      <w:r>
        <w:t xml:space="preserve"> </w:t>
      </w:r>
      <w:r>
        <w:t xml:space="preserve">In contrast, we have little evidence as to how stem growth and ANPP</w:t>
      </w:r>
      <w:r>
        <w:rPr>
          <w:vertAlign w:val="subscript"/>
        </w:rPr>
        <w:t xml:space="preserve">woody</w:t>
      </w:r>
      <w:r>
        <w:t xml:space="preserve"> </w:t>
      </w:r>
      <w:r>
        <w:t xml:space="preserve">respond to warmer spring temperatures in deciduous forests</w:t>
      </w:r>
      <w:r>
        <w:rPr>
          <w:vertAlign w:val="superscript"/>
        </w:rPr>
        <w:t xml:space="preserve">10,11</w:t>
      </w:r>
      <w:r>
        <w:t xml:space="preserve">.</w:t>
      </w:r>
      <w:r>
        <w:t xml:space="preserve"> </w:t>
      </w:r>
      <w:r>
        <w:t xml:space="preserve">Close coordination of budburst and initiation of xylogenesis</w:t>
      </w:r>
      <w:r>
        <w:rPr>
          <w:vertAlign w:val="superscript"/>
        </w:rPr>
        <w:t xml:space="preserve">11</w:t>
      </w:r>
      <w:r>
        <w:t xml:space="preserve"> </w:t>
      </w:r>
      <w:r>
        <w:t xml:space="preserve">suggests that warm springs should shift the onset of growth earlier alongside observed advances in leaf phenology</w:t>
      </w:r>
      <w:r>
        <w:rPr>
          <w:vertAlign w:val="superscript"/>
        </w:rPr>
        <w:t xml:space="preserve">1–3,4</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28,29</w:t>
      </w:r>
      <w:r>
        <w:t xml:space="preserve">, and annual growth is more closely linked to conditions within the growing season than to growing season length</w:t>
      </w:r>
      <w:r>
        <w:rPr>
          <w:vertAlign w:val="superscript"/>
        </w:rPr>
        <w:t xml:space="preserve">30</w:t>
      </w:r>
      <w:r>
        <w:t xml:space="preserve">, GPP</w:t>
      </w:r>
      <w:r>
        <w:rPr>
          <w:vertAlign w:val="superscript"/>
        </w:rPr>
        <w:t xml:space="preserve">23</w:t>
      </w:r>
      <w:r>
        <w:t xml:space="preserve">, or NEE</w:t>
      </w:r>
      <w:r>
        <w:rPr>
          <w:vertAlign w:val="superscript"/>
        </w:rPr>
        <w:t xml:space="preserve">23</w:t>
      </w:r>
      <w:r>
        <w:t xml:space="preserve">.</w:t>
      </w:r>
      <w:r>
        <w:t xml:space="preserve"> </w:t>
      </w:r>
      <w:r>
        <w:t xml:space="preserve">Furthermore, growth of broadleaf deciduous trees may be sink-saturated</w:t>
      </w:r>
      <w:r>
        <w:rPr>
          <w:vertAlign w:val="superscript"/>
        </w:rPr>
        <w:t xml:space="preserve">19,31</w:t>
      </w:r>
      <w:r>
        <w:t xml:space="preserve">, such that longer growing seasons with more C fixation do not necessarily augment growth</w:t>
      </w:r>
      <w:r>
        <w:rPr>
          <w:vertAlign w:val="superscript"/>
        </w:rPr>
        <w:t xml:space="preserve">23,32</w:t>
      </w:r>
      <w:r>
        <w:t xml:space="preserve">.</w:t>
      </w:r>
      <w:r>
        <w:t xml:space="preserve"> </w:t>
      </w:r>
      <w:r>
        <w:t xml:space="preserve">Tree-ring records, which can be used to examine annual growth but not growth seasonality, reveal that growth of temperate deciduous trees tends to be most sensitive to temperature or potential evapotranspiration between late spring and early summer</w:t>
      </w:r>
      <w:r>
        <w:rPr>
          <w:vertAlign w:val="superscript"/>
        </w:rPr>
        <w:t xml:space="preserve">33,34</w:t>
      </w:r>
      <w:r>
        <w:t xml:space="preserve">, with some evidence that warmer springs may have a modest positive effect on growth</w:t>
      </w:r>
      <w:r>
        <w:rPr>
          <w:vertAlign w:val="superscript"/>
        </w:rPr>
        <w:t xml:space="preserve">27,34</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2,20</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advance the timing and extend the duration of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35</w:t>
      </w:r>
      <w:r>
        <w:t xml:space="preserve"> </w:t>
      </w:r>
      <w:r>
        <w:t xml:space="preserve">to determine the days of year (DOY) when 25, 50, and 75% annual growth were achieved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peak growing season length (</w:t>
      </w:r>
      <w:r>
        <w:rPr>
          <w:iCs/>
          <w:i/>
        </w:rPr>
        <w:t xml:space="preserve">L</w:t>
      </w:r>
      <w:r>
        <w:rPr>
          <w:vertAlign w:val="subscript"/>
          <w:iCs/>
          <w:i/>
        </w:rPr>
        <w:t xml:space="preserve">pgs</w:t>
      </w:r>
      <w:r>
        <w:rPr>
          <w:iCs/>
          <w:i/>
        </w:rPr>
        <w:t xml:space="preserve"> </w:t>
      </w:r>
      <w:r>
        <w:rPr>
          <w:iCs/>
          <w:i/>
        </w:rPr>
        <w:t xml:space="preserve">= DOY</w:t>
      </w:r>
      <w:r>
        <w:rPr>
          <w:vertAlign w:val="subscript"/>
          <w:iCs/>
          <w:i/>
        </w:rPr>
        <w:t xml:space="preserve">75</w:t>
      </w:r>
      <w:r>
        <w:rPr>
          <w:iCs/>
          <w:i/>
        </w:rPr>
        <w:t xml:space="preserve"> </w:t>
      </w:r>
      <w:r>
        <w:rPr>
          <w:iCs/>
          <w:i/>
        </w:rPr>
        <w:t xml:space="preserve">- DOY</w:t>
      </w:r>
      <w:r>
        <w:rPr>
          <w:vertAlign w:val="subscript"/>
          <w:iCs/>
          <w:i/>
        </w:rPr>
        <w:t xml:space="preserve">25</w:t>
      </w:r>
      <w:r>
        <w:t xml:space="preserve">), the maximum growth rate (</w:t>
      </w:r>
      <w:r>
        <w:rPr>
          <w:iCs/>
          <w:i/>
        </w:rPr>
        <w:t xml:space="preserve">g</w:t>
      </w:r>
      <w:r>
        <w:rPr>
          <w:vertAlign w:val="subscript"/>
          <w:iCs/>
          <w:i/>
        </w:rPr>
        <w:t xml:space="preserve">max</w:t>
      </w:r>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 (Extended Data Table 2)</w:t>
      </w:r>
      <w:r>
        <w:rPr>
          <w:vertAlign w:val="superscript"/>
        </w:rPr>
        <w:t xml:space="preserve">29,36</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85917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temperature control over DOY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 ^\circC),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85917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temperature control over</w:t>
      </w:r>
      <w:r>
        <w:t xml:space="preserve"> </w:t>
      </w:r>
      <w:r>
        <w:rPr>
          <w:iCs/>
          <w:i/>
        </w:rPr>
        <w:t xml:space="preserve">DOY</w:t>
      </w:r>
      <w:r>
        <w:rPr>
          <w:vertAlign w:val="subscript"/>
          <w:iCs/>
          <w:i/>
        </w:rPr>
        <w:t xml:space="preserve">25</w:t>
      </w:r>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w:r>
        <w:t xml:space="preserve"> </w:t>
      </w:r>
      <m:oMath>
        <m:sSup>
          <m:e>
            <m:r>
              <m:t>​</m:t>
            </m:r>
          </m:e>
          <m:sup>
            <m:r>
              <m:rPr>
                <m:sty m:val="p"/>
              </m:rPr>
              <m:t>∘</m:t>
            </m:r>
          </m:sup>
        </m:sSup>
      </m:oMath>
      <w:r>
        <w:t xml:space="preserve">C),</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throughout the spring, but the strongest effects on stem growth timing were found using</w:t>
      </w:r>
      <w:r>
        <w:t xml:space="preserve"> </w:t>
      </w:r>
      <w:r>
        <w:rPr>
          <w:iCs/>
          <w:i/>
        </w:rPr>
        <w:t xml:space="preserve">T</w:t>
      </w:r>
      <w:r>
        <w:rPr>
          <w:vertAlign w:val="subscript"/>
          <w:iCs/>
          <w:i/>
        </w:rPr>
        <w:t xml:space="preserve">max</w:t>
      </w:r>
      <w:r>
        <w:t xml:space="preserve"> </w:t>
      </w:r>
      <w:r>
        <w:t xml:space="preserve">during a critical temperature window (CTW).</w:t>
      </w:r>
      <w:r>
        <w:t xml:space="preserve"> </w:t>
      </w:r>
      <w:r>
        <w:t xml:space="preserve">CTW was identified by assessing the correlation between weekly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DOY</w:t>
      </w:r>
      <w:r>
        <w:rPr>
          <w:vertAlign w:val="subscript"/>
          <w:iCs/>
          <w:i/>
        </w:rPr>
        <w:t xml:space="preserve">25</w:t>
      </w:r>
      <w:r>
        <w:t xml:space="preserve"> </w:t>
      </w:r>
      <w:r>
        <w:t xml:space="preserve">for all combinations of consecutive weeks from January 1 to mean</w:t>
      </w:r>
      <w:r>
        <w:t xml:space="preserve"> </w:t>
      </w:r>
      <w:r>
        <w:rPr>
          <w:iCs/>
          <w:i/>
        </w:rPr>
        <w:t xml:space="preserve">DOY</w:t>
      </w:r>
      <w:r>
        <w:rPr>
          <w:vertAlign w:val="subscript"/>
          <w:iCs/>
          <w:i/>
        </w:rPr>
        <w:t xml:space="preserve">25</w:t>
      </w:r>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w:r>
        <w:rPr>
          <w:iCs/>
          <w:i/>
        </w:rPr>
        <w:t xml:space="preserve">T</w:t>
      </w:r>
      <w:r>
        <w:rPr>
          <w:vertAlign w:val="subscript"/>
          <w:iCs/>
          <w:i/>
        </w:rPr>
        <w:t xml:space="preserve">max</w:t>
      </w:r>
      <w:r>
        <w:t xml:space="preserve"> </w:t>
      </w:r>
      <w:r>
        <w:t xml:space="preserve">during this period (CTW</w:t>
      </w:r>
      <w:r>
        <w:t xml:space="preserve"> </w:t>
      </w:r>
      <w:r>
        <w:rPr>
          <w:iCs/>
          <w:i/>
        </w:rPr>
        <w:t xml:space="preserve">T</w:t>
      </w:r>
      <w:r>
        <w:rPr>
          <w:vertAlign w:val="subscript"/>
          <w:iCs/>
          <w:i/>
        </w:rPr>
        <w:t xml:space="preserve">max</w:t>
      </w:r>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25, DOY50, and DOY75 were estimated using the Bayesian model visualized, with confidence intervals, in Extended Data Figure 4. Mean maximum temperature (T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were estimated using the Bayesian model visualized, with confidence intervals, in Extended Data Figure 4. Mean maximum temperature (</w:t>
      </w:r>
      <w:r>
        <w:rPr>
          <w:iCs/>
          <w:i/>
        </w:rPr>
        <w:t xml:space="preserve">T</w:t>
      </w:r>
      <w:r>
        <w:rPr>
          <w:vertAlign w:val="subscript"/>
          <w:iCs/>
          <w:i/>
        </w:rPr>
        <w:t xml:space="preserve">max</w:t>
      </w:r>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w:r>
        <w:rPr>
          <w:iCs/>
          <w:i/>
        </w:rPr>
        <w:t xml:space="preserve">T</w:t>
      </w:r>
      <w:r>
        <w:rPr>
          <w:vertAlign w:val="subscript"/>
          <w:iCs/>
          <w:i/>
        </w:rPr>
        <w:t xml:space="preserve">max</w:t>
      </w:r>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w:r>
        <w:rPr>
          <w:iCs/>
          <w:i/>
        </w:rPr>
        <w:t xml:space="preserve">DOY</w:t>
      </w:r>
      <w:r>
        <w:rPr>
          <w:vertAlign w:val="subscript"/>
          <w:iCs/>
          <w:i/>
        </w:rPr>
        <w:t xml:space="preserve">75</w:t>
      </w:r>
      <w:r>
        <w:t xml:space="preserve"> </w:t>
      </w:r>
      <w:r>
        <w:t xml:space="preserve">at SCBI, the stem growth milestones</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decreased with CTW</w:t>
      </w:r>
      <w:r>
        <w:t xml:space="preserve"> </w:t>
      </w:r>
      <w:r>
        <w:rPr>
          <w:iCs/>
          <w:i/>
        </w:rPr>
        <w:t xml:space="preserve">T</w:t>
      </w:r>
      <w:r>
        <w:rPr>
          <w:vertAlign w:val="subscript"/>
          <w:iCs/>
          <w:i/>
        </w:rPr>
        <w:t xml:space="preserve">max</w:t>
      </w:r>
      <w:r>
        <w:t xml:space="preserve"> </w:t>
      </w:r>
      <w:r>
        <w:t xml:space="preserve">(Figs. 1, 2c-d; Extended Data Figures 4-5).</w:t>
      </w:r>
      <w:r>
        <w:t xml:space="preserve"> </w:t>
      </w:r>
      <w:r>
        <w:t xml:space="preserve">Specifically,</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 and</w:t>
      </w:r>
      <w:r>
        <w:t xml:space="preserve"> </w:t>
      </w:r>
      <w:r>
        <w:rPr>
          <w:iCs/>
          <w:i/>
        </w:rPr>
        <w:t xml:space="preserve">DOY</w:t>
      </w:r>
      <w:r>
        <w:rPr>
          <w:vertAlign w:val="subscript"/>
          <w:iCs/>
          <w:i/>
        </w:rPr>
        <w:t xml:space="preserve">75</w:t>
      </w:r>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w:r>
        <w:rPr>
          <w:iCs/>
          <w:i/>
        </w:rPr>
        <w:t xml:space="preserve">T</w:t>
      </w:r>
      <w:r>
        <w:rPr>
          <w:vertAlign w:val="subscript"/>
          <w:iCs/>
          <w:i/>
        </w:rPr>
        <w:t xml:space="preserve">max</w:t>
      </w:r>
      <w:r>
        <w:t xml:space="preserve"> </w:t>
      </w:r>
      <w:r>
        <w:t xml:space="preserve">of the porosity group containing the dominant canopy species at each site (diffuse porous at SCBI, ring porous at Harvard Forest; Fig. 2a-b), there was no consistent lengthening of</w:t>
      </w:r>
      <w:r>
        <w:t xml:space="preserve"> </w:t>
      </w:r>
      <w:r>
        <w:rPr>
          <w:iCs/>
          <w:i/>
        </w:rPr>
        <w:t xml:space="preserve">L</w:t>
      </w:r>
      <w:r>
        <w:rPr>
          <w:vertAlign w:val="subscript"/>
          <w:iCs/>
          <w:i/>
        </w:rPr>
        <w:t xml:space="preserve">pgs</w:t>
      </w:r>
      <w:r>
        <w:t xml:space="preserve"> </w:t>
      </w:r>
      <w:r>
        <w:t xml:space="preserve">(Fig. 1, Extended Data Figures 4-5).</w:t>
      </w:r>
    </w:p>
    <w:p>
      <w:pPr>
        <w:pStyle w:val="BodyText"/>
      </w:pPr>
      <w:r>
        <w:t xml:space="preserve">In contrast to the pronounced effects of CTW</w:t>
      </w:r>
      <w:r>
        <w:t xml:space="preserve"> </w:t>
      </w:r>
      <w:r>
        <w:rPr>
          <w:iCs/>
          <w:i/>
        </w:rPr>
        <w:t xml:space="preserve">T</w:t>
      </w:r>
      <w:r>
        <w:rPr>
          <w:vertAlign w:val="subscript"/>
          <w:iCs/>
          <w:i/>
        </w:rPr>
        <w:t xml:space="preserve">max</w:t>
      </w:r>
      <w:r>
        <w:t xml:space="preserve"> </w:t>
      </w:r>
      <w:r>
        <w:t xml:space="preserve">on the timing of growth, its effects on</w:t>
      </w:r>
      <w:r>
        <w:t xml:space="preserve"> </w:t>
      </w:r>
      <w:r>
        <w:rPr>
          <w:iCs/>
          <w:i/>
        </w:rPr>
        <w:t xml:space="preserve">g</w:t>
      </w:r>
      <w:r>
        <w:rPr>
          <w:vertAlign w:val="subscript"/>
          <w:iCs/>
          <w:i/>
        </w:rPr>
        <w:t xml:space="preserve">max</w:t>
      </w:r>
      <w:r>
        <w:t xml:space="preserve"> </w:t>
      </w:r>
      <w:r>
        <w:t xml:space="preserve">and</w:t>
      </w:r>
      <w:r>
        <w:t xml:space="preserve"> </w:t>
      </w:r>
      <m:oMath>
        <m:r>
          <m:t>Δ</m:t>
        </m:r>
        <m:r>
          <m:t>D</m:t>
        </m:r>
        <m:r>
          <m:t>B</m:t>
        </m:r>
        <m:r>
          <m:t>H</m:t>
        </m:r>
      </m:oMath>
      <w:r>
        <w:t xml:space="preserve"> </w:t>
      </w:r>
      <w:r>
        <w:t xml:space="preserve">were usually weak and inconsistent (Fig. 1, Extended Data Figures 4-5).</w:t>
      </w:r>
      <w:r>
        <w:t xml:space="preserve"> </w:t>
      </w:r>
      <w:r>
        <w:t xml:space="preserve">Specifically,</w:t>
      </w:r>
      <w:r>
        <w:t xml:space="preserve"> </w:t>
      </w:r>
      <w:r>
        <w:rPr>
          <w:iCs/>
          <w:i/>
        </w:rPr>
        <w:t xml:space="preserve">g</w:t>
      </w:r>
      <w:r>
        <w:rPr>
          <w:vertAlign w:val="subscript"/>
          <w:iCs/>
          <w:i/>
        </w:rPr>
        <w:t xml:space="preserve">max</w:t>
      </w:r>
      <w:r>
        <w:t xml:space="preserve">, which occurred on average within 5 days of</w:t>
      </w:r>
      <w:r>
        <w:t xml:space="preserve"> </w:t>
      </w:r>
      <w:r>
        <w:rPr>
          <w:iCs/>
          <w:i/>
        </w:rPr>
        <w:t xml:space="preserve">DOY</w:t>
      </w:r>
      <w:r>
        <w:rPr>
          <w:vertAlign w:val="subscript"/>
          <w:iCs/>
          <w:i/>
        </w:rPr>
        <w:t xml:space="preserve">50</w:t>
      </w:r>
      <w:r>
        <w:t xml:space="preserve">, displayed extremely small negative changes (Harvard Forest) or changes in opposite directions (SCBI) in relationship to CTW</w:t>
      </w:r>
      <w:r>
        <w:t xml:space="preserve"> </w:t>
      </w:r>
      <w:r>
        <w:rPr>
          <w:iCs/>
          <w:i/>
        </w:rPr>
        <w:t xml:space="preserve">T</w:t>
      </w:r>
      <w:r>
        <w:rPr>
          <w:vertAlign w:val="subscript"/>
          <w:iCs/>
          <w:i/>
        </w:rPr>
        <w:t xml:space="preserve">max</w:t>
      </w:r>
      <w:r>
        <w:t xml:space="preserve"> </w:t>
      </w:r>
      <w:r>
        <w:t xml:space="preserve">for ring- and diffuse- porous species.</w:t>
      </w:r>
      <w:r>
        <w:t xml:space="preserve"> </w:t>
      </w:r>
      <m:oMath>
        <m:r>
          <m:t>Δ</m:t>
        </m:r>
        <m:r>
          <m:t>D</m:t>
        </m:r>
        <m:r>
          <m:t>B</m:t>
        </m:r>
        <m:r>
          <m:t>H</m:t>
        </m:r>
      </m:oMath>
      <w:r>
        <w:t xml:space="preserve"> </w:t>
      </w:r>
      <w:r>
        <w:t xml:space="preserve">displayed a weak positive relationship (+0.003-0.008 cm/</w:t>
      </w:r>
      <w:r>
        <w:t xml:space="preserve"> </w:t>
      </w:r>
      <m:oMath>
        <m:sSup>
          <m:e>
            <m:r>
              <m:t>​</m:t>
            </m:r>
          </m:e>
          <m:sup>
            <m:r>
              <m:rPr>
                <m:sty m:val="p"/>
              </m:rPr>
              <m:t>∘</m:t>
            </m:r>
          </m:sup>
        </m:sSup>
      </m:oMath>
      <w:r>
        <w:t xml:space="preserve">C) with CTW</w:t>
      </w:r>
      <w:r>
        <w:t xml:space="preserve"> </w:t>
      </w:r>
      <w:r>
        <w:rPr>
          <w:iCs/>
          <w:i/>
        </w:rPr>
        <w:t xml:space="preserve">T</w:t>
      </w:r>
      <w:r>
        <w:rPr>
          <w:vertAlign w:val="subscript"/>
          <w:iCs/>
          <w:i/>
        </w:rPr>
        <w:t xml:space="preserve">max</w:t>
      </w:r>
      <w:r>
        <w:t xml:space="preserve"> </w:t>
      </w:r>
      <w:r>
        <w:t xml:space="preserve">at SCBI and a weak negative relationship (-0.02-0.003 cm/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34</w:t>
      </w:r>
      <w:r>
        <w:t xml:space="preserve"> </w:t>
      </w:r>
      <w:r>
        <w:t xml:space="preserve">and 4 species at Harvard Forest (Extended Data Table 1), plus an additional 191 chronologies from 106 sites (Fig. 3; Extended Data Figure 1; Extended Data Table 3).</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w:r>
        <w:rPr>
          <w:iCs/>
          <w:i/>
        </w:rPr>
        <w:t xml:space="preserve">T</w:t>
      </w:r>
      <w:r>
        <w:rPr>
          <w:vertAlign w:val="subscript"/>
          <w:iCs/>
          <w:i/>
        </w:rPr>
        <w:t xml:space="preserve">max</w:t>
      </w:r>
      <w:r>
        <w:t xml:space="preserve">.</w:t>
      </w:r>
      <w:r>
        <w:t xml:space="preserve"> </w:t>
      </w:r>
      <w:r>
        <w:t xml:space="preserve">Across all chronologies, the standardized ring-width index (RWI) was significantly (95% confidence interval did not include 0) positively correlated with April</w:t>
      </w:r>
      <w:r>
        <w:t xml:space="preserve"> </w:t>
      </w:r>
      <w:r>
        <w:rPr>
          <w:iCs/>
          <w:i/>
        </w:rPr>
        <w:t xml:space="preserve">T</w:t>
      </w:r>
      <w:r>
        <w:rPr>
          <w:vertAlign w:val="subscript"/>
          <w:iCs/>
          <w:i/>
        </w:rPr>
        <w:t xml:space="preserve">max</w:t>
      </w:r>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w:r>
        <w:rPr>
          <w:iCs/>
          <w:i/>
        </w:rPr>
        <w:t xml:space="preserve">T</w:t>
      </w:r>
      <w:r>
        <w:rPr>
          <w:vertAlign w:val="subscript"/>
          <w:iCs/>
          <w:i/>
        </w:rPr>
        <w:t xml:space="preserve">max</w:t>
      </w:r>
      <w:r>
        <w:t xml:space="preserve">: 0% and 1%, respectively (Extended Data Table 3).</w:t>
      </w:r>
      <w:r>
        <w:t xml:space="preserve"> </w:t>
      </w:r>
      <w:r>
        <w:t xml:space="preserve">In contrast, RWI was frequently negatively correlated with</w:t>
      </w:r>
      <w:r>
        <w:t xml:space="preserve"> </w:t>
      </w:r>
      <w:r>
        <w:rPr>
          <w:iCs/>
          <w:i/>
        </w:rPr>
        <w:t xml:space="preserve">T</w:t>
      </w:r>
      <w:r>
        <w:rPr>
          <w:vertAlign w:val="subscript"/>
          <w:iCs/>
          <w:i/>
        </w:rPr>
        <w:t xml:space="preserve">max</w:t>
      </w:r>
      <w:r>
        <w:t xml:space="preserve"> </w:t>
      </w:r>
      <w:r>
        <w:t xml:space="preserve">during peak growing season months (May-August), with significant correlations for 52% (May: 45/141, Jun: 107/141, Jul: 91/141, Aug: 53/141) and 46% (May: 10/66, Jun: 52/66, Jul: 36/66, Aug: 23/66) of species-site-month combinations for ring- and diffuse-porous species, respectively.</w:t>
      </w:r>
      <w:r>
        <w:t xml:space="preserve"> </w:t>
      </w:r>
      <w:r>
        <w:rPr>
          <w:iCs/>
          <w:i/>
        </w:rPr>
        <w:t xml:space="preserve">T</w:t>
      </w:r>
      <w:r>
        <w:rPr>
          <w:vertAlign w:val="subscript"/>
          <w:iCs/>
          <w:i/>
        </w:rPr>
        <w:t xml:space="preserve">min</w:t>
      </w:r>
      <w:r>
        <w:t xml:space="preserve"> </w:t>
      </w:r>
      <w:r>
        <w:t xml:space="preserve">generally exhibited weaker relationships to annual growth than</w:t>
      </w:r>
      <w:r>
        <w:t xml:space="preserve"> </w:t>
      </w:r>
      <w:r>
        <w:rPr>
          <w:iCs/>
          <w:i/>
        </w:rPr>
        <w:t xml:space="preserve">T</w:t>
      </w:r>
      <w:r>
        <w:rPr>
          <w:vertAlign w:val="subscript"/>
          <w:iCs/>
          <w:i/>
        </w:rPr>
        <w:t xml:space="preserve">max</w:t>
      </w:r>
      <w:r>
        <w:t xml:space="preserve">, with few significant correlations between spring</w:t>
      </w:r>
      <w:r>
        <w:t xml:space="preserve"> </w:t>
      </w:r>
      <w:r>
        <w:rPr>
          <w:iCs/>
          <w:i/>
        </w:rPr>
        <w:t xml:space="preserve">T</w:t>
      </w:r>
      <w:r>
        <w:rPr>
          <w:vertAlign w:val="subscript"/>
          <w:iCs/>
          <w:i/>
        </w:rPr>
        <w:t xml:space="preserve">min</w:t>
      </w:r>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37</w:t>
      </w:r>
      <w:r>
        <w:t xml:space="preserve">, we extended the analysis to examine correlations between RWI and</w:t>
      </w:r>
      <w:r>
        <w:t xml:space="preserve"> </w:t>
      </w:r>
      <w:r>
        <w:rPr>
          <w:iCs/>
          <w:i/>
        </w:rPr>
        <w:t xml:space="preserve">T</w:t>
      </w:r>
      <w:r>
        <w:rPr>
          <w:vertAlign w:val="subscript"/>
          <w:iCs/>
          <w:i/>
        </w:rPr>
        <w:t xml:space="preserve">max</w:t>
      </w:r>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w:r>
        <w:rPr>
          <w:iCs/>
          <w:i/>
        </w:rPr>
        <w:t xml:space="preserve">T</w:t>
      </w:r>
      <w:r>
        <w:rPr>
          <w:vertAlign w:val="subscript"/>
          <w:iCs/>
          <w:i/>
        </w:rPr>
        <w:t xml:space="preserve">max</w:t>
      </w:r>
      <w:r>
        <w:t xml:space="preserve"> </w:t>
      </w:r>
      <w:r>
        <w:t xml:space="preserve">for 5/142 ring porous chronologies and to previous April or May</w:t>
      </w:r>
      <w:r>
        <w:t xml:space="preserve"> </w:t>
      </w:r>
      <w:r>
        <w:rPr>
          <w:iCs/>
          <w:i/>
        </w:rPr>
        <w:t xml:space="preserve">T</w:t>
      </w:r>
      <w:r>
        <w:rPr>
          <w:vertAlign w:val="subscript"/>
          <w:iCs/>
          <w:i/>
        </w:rPr>
        <w:t xml:space="preserve">max</w:t>
      </w:r>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w:r>
        <w:rPr>
          <w:iCs/>
          <w:i/>
        </w:rPr>
        <w:t xml:space="preserve">T</w:t>
      </w:r>
      <w:r>
        <w:rPr>
          <w:vertAlign w:val="subscript"/>
          <w:iCs/>
          <w:i/>
        </w:rPr>
        <w:t xml:space="preserve">max</w:t>
      </w:r>
      <w:r>
        <w:t xml:space="preserve"> </w:t>
      </w:r>
      <w:r>
        <w:t xml:space="preserve">on RWI.</w:t>
      </w:r>
      <w:r>
        <w:t xml:space="preserve"> </w:t>
      </w:r>
      <w:r>
        <w:t xml:space="preserve">Results were qualitatively similar to the univariate correlations (Fig. 3), with significant (p</w:t>
      </w:r>
      <w:r>
        <w:t xml:space="preserve"> </w:t>
      </w:r>
      <m:oMath>
        <m:r>
          <m:rPr>
            <m:sty m:val="p"/>
          </m:rPr>
          <m:t>≤</m:t>
        </m:r>
      </m:oMath>
      <w:r>
        <w:t xml:space="preserve"> </w:t>
      </w:r>
      <w:r>
        <w:t xml:space="preserve">0.05) positive correlations to April</w:t>
      </w:r>
      <w:r>
        <w:t xml:space="preserve"> </w:t>
      </w:r>
      <w:r>
        <w:rPr>
          <w:iCs/>
          <w:i/>
        </w:rPr>
        <w:t xml:space="preserve">T</w:t>
      </w:r>
      <w:r>
        <w:rPr>
          <w:vertAlign w:val="subscript"/>
          <w:iCs/>
          <w:i/>
        </w:rPr>
        <w:t xml:space="preserve">max</w:t>
      </w:r>
      <w:r>
        <w:t xml:space="preserve"> </w:t>
      </w:r>
      <w:r>
        <w:t xml:space="preserve">for only 4% of chronologies and significant negative correlations with June-July</w:t>
      </w:r>
      <w:r>
        <w:t xml:space="preserve"> </w:t>
      </w:r>
      <w:r>
        <w:rPr>
          <w:iCs/>
          <w:i/>
        </w:rPr>
        <w:t xml:space="preserve">T</w:t>
      </w:r>
      <w:r>
        <w:rPr>
          <w:vertAlign w:val="subscript"/>
          <w:iCs/>
          <w:i/>
        </w:rPr>
        <w:t xml:space="preserve">max</w:t>
      </w:r>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max), for 207 chronologies from 108 sites across eastern North America. Colors indicate the correlation between monthly Tmax and a dimensionless ring width index (RWI) derived from the multiple trees that form each chronology and emphasizing interannual variability associated with climate. Chronologies are grouped by xylem porosity and ordered by mean April Tmax. Plots are annotated to highlight records from our two focal sites, the Smithsonian Conservation Biology Institute (SCBI) and Harvard Forest (HF; Extended Data Table 1). Sites included are mapped in Extended Data Figure 1, species analyzed and numbers of significant correlations to T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w:r>
        <w:rPr>
          <w:iCs/>
          <w:i/>
          <w:bCs/>
          <w:b/>
        </w:rPr>
        <w:t xml:space="preserve">T</w:t>
      </w:r>
      <w:r>
        <w:rPr>
          <w:vertAlign w:val="subscript"/>
          <w:iCs/>
          <w:i/>
          <w:bCs/>
          <w:b/>
        </w:rPr>
        <w:t xml:space="preserve">max</w:t>
      </w:r>
      <w:r>
        <w:rPr>
          <w:bCs/>
          <w:b/>
        </w:rPr>
        <w:t xml:space="preserve">), for 207 chronologies from 108 sites across eastern North America</w:t>
      </w:r>
      <w:r>
        <w:t xml:space="preserve">. Colors indicate the correlation between monthly</w:t>
      </w:r>
      <w:r>
        <w:t xml:space="preserve"> </w:t>
      </w:r>
      <w:r>
        <w:rPr>
          <w:iCs/>
          <w:i/>
        </w:rPr>
        <w:t xml:space="preserve">T</w:t>
      </w:r>
      <w:r>
        <w:rPr>
          <w:vertAlign w:val="subscript"/>
          <w:iCs/>
          <w:i/>
        </w:rPr>
        <w:t xml:space="preserve">max</w:t>
      </w:r>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w:r>
        <w:rPr>
          <w:iCs/>
          <w:i/>
        </w:rPr>
        <w:t xml:space="preserve">T</w:t>
      </w:r>
      <w:r>
        <w:rPr>
          <w:vertAlign w:val="subscript"/>
          <w:iCs/>
          <w:i/>
        </w:rPr>
        <w:t xml:space="preserve">max</w:t>
      </w:r>
      <w:r>
        <w:t xml:space="preserve">. Plots are annotated to highlight records from our two focal sites, the Smithsonian Conservation Biology Institute (SCBI) and Harvard Forest (HF; Extended Data Table 1). Sites included are mapped in Extended Data Figure 1, species analyzed and numbers of significant correlations to</w:t>
      </w:r>
      <w:r>
        <w:t xml:space="preserve"> </w:t>
      </w:r>
      <w:r>
        <w:rPr>
          <w:iCs/>
          <w:i/>
        </w:rPr>
        <w:t xml:space="preserve">T</w:t>
      </w:r>
      <w:r>
        <w:rPr>
          <w:vertAlign w:val="subscript"/>
          <w:iCs/>
          <w:i/>
        </w:rPr>
        <w:t xml:space="preserve">max</w:t>
      </w:r>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 ANPP</w:t>
      </w:r>
      <w:r>
        <w:rPr>
          <w:vertAlign w:val="subscript"/>
        </w:rPr>
        <w:t xml:space="preserve">woody</w:t>
      </w:r>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4,30</w:t>
      </w:r>
      <w:r>
        <w:t xml:space="preserve">, is driven by cues other than photosynthate limitation, such as water stress</w:t>
      </w:r>
      <w:r>
        <w:rPr>
          <w:vertAlign w:val="superscript"/>
        </w:rPr>
        <w:t xml:space="preserve">23,28,30</w:t>
      </w:r>
      <w:r>
        <w:t xml:space="preserve">, nutrient limitation</w:t>
      </w:r>
      <w:r>
        <w:rPr>
          <w:vertAlign w:val="superscript"/>
        </w:rPr>
        <w:t xml:space="preserve">38</w:t>
      </w:r>
      <w:r>
        <w:t xml:space="preserve">, daylength</w:t>
      </w:r>
      <w:r>
        <w:rPr>
          <w:vertAlign w:val="superscript"/>
        </w:rPr>
        <w:t xml:space="preserve">30</w:t>
      </w:r>
      <w:r>
        <w:t xml:space="preserve">, or sink limitation</w:t>
      </w:r>
      <w:r>
        <w:rPr>
          <w:vertAlign w:val="superscript"/>
        </w:rPr>
        <w:t xml:space="preserve">23,31</w:t>
      </w:r>
      <w:r>
        <w:t xml:space="preserve">.</w:t>
      </w:r>
      <w:r>
        <w:t xml:space="preserve"> </w:t>
      </w:r>
      <w:r>
        <w:t xml:space="preserve">This adds to a growing body of evidence for a sink limitation of stem growth</w:t>
      </w:r>
      <w:r>
        <w:rPr>
          <w:vertAlign w:val="superscript"/>
        </w:rPr>
        <w:t xml:space="preserve">19,23</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21,30</w:t>
      </w:r>
      <w:r>
        <w:t xml:space="preserve">.</w:t>
      </w:r>
    </w:p>
    <w:p>
      <w:pPr>
        <w:pStyle w:val="BodyText"/>
      </w:pPr>
      <w:r>
        <w:t xml:space="preserve">Combined with widespread observations that warming springs tend to lengthen the season of C sequestration</w:t>
      </w:r>
      <w:r>
        <w:rPr>
          <w:vertAlign w:val="superscript"/>
        </w:rPr>
        <w:t xml:space="preserve">4,20</w:t>
      </w:r>
      <w:r>
        <w:t xml:space="preserve"> </w:t>
      </w:r>
      <w:r>
        <w:t xml:space="preserve">and increase net C sequestration</w:t>
      </w:r>
      <w:r>
        <w:rPr>
          <w:vertAlign w:val="superscript"/>
        </w:rPr>
        <w:t xml:space="preserve">2,4–9</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w:t>
      </w:r>
      <w:r>
        <w:t xml:space="preserve"> </w:t>
      </w:r>
      <w:r>
        <w:t xml:space="preserve">It remains theoretically possible that warm springs could augment ANPP</w:t>
      </w:r>
      <w:r>
        <w:rPr>
          <w:vertAlign w:val="subscript"/>
        </w:rPr>
        <w:t xml:space="preserve">woody</w:t>
      </w:r>
      <w:r>
        <w:t xml:space="preserve">, which, although routinely calculated based on stem growth, can be partially decoupled from it through differences in wood density or C content</w:t>
      </w:r>
      <w:r>
        <w:rPr>
          <w:vertAlign w:val="superscript"/>
        </w:rPr>
        <w:t xml:space="preserve">23</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39</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40–42</w:t>
      </w:r>
      <w:r>
        <w:t xml:space="preserve">.</w:t>
      </w:r>
      <w:r>
        <w:t xml:space="preserve"> </w:t>
      </w:r>
      <w:r>
        <w:t xml:space="preserve">Thus, it is unlikely that warm springs have a positive effect on total C content of annual rings or ANPP</w:t>
      </w:r>
      <w:r>
        <w:rPr>
          <w:vertAlign w:val="subscript"/>
        </w:rPr>
        <w:t xml:space="preserve">woody</w:t>
      </w:r>
      <w:r>
        <w:t xml:space="preserve">.</w:t>
      </w:r>
    </w:p>
    <w:p>
      <w:pPr>
        <w:pStyle w:val="BodyText"/>
      </w:pP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32</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 ANPP</w:t>
      </w:r>
      <w:r>
        <w:rPr>
          <w:vertAlign w:val="subscript"/>
        </w:rPr>
        <w:t xml:space="preserve">woody</w:t>
      </w:r>
      <w:r>
        <w:t xml:space="preserve"> </w:t>
      </w:r>
      <w:r>
        <w:t xml:space="preserve">remained unchanged, while additional C was released back to the atmosphere on relatively short time scales through enhanced respiration</w:t>
      </w:r>
      <w:r>
        <w:rPr>
          <w:vertAlign w:val="superscript"/>
        </w:rPr>
        <w:t xml:space="preserve">21</w:t>
      </w:r>
      <w:r>
        <w:t xml:space="preserve">.</w:t>
      </w:r>
      <w:r>
        <w:t xml:space="preserve"> </w:t>
      </w:r>
      <w:r>
        <w:t xml:space="preserve">Consistent with this, it has been observed that C gains from an earlier spring can be offset through fall or winter respiration</w:t>
      </w:r>
      <w:r>
        <w:rPr>
          <w:vertAlign w:val="superscript"/>
        </w:rPr>
        <w:t xml:space="preserve">22</w:t>
      </w:r>
      <w:r>
        <w:t xml:space="preserve">, although even the C in shorter-lived pools would often be carried over into the following year</w:t>
      </w:r>
      <w:r>
        <w:rPr>
          <w:vertAlign w:val="superscript"/>
        </w:rPr>
        <w:t xml:space="preserve">43</w:t>
      </w:r>
      <w:r>
        <w:t xml:space="preserve">.</w:t>
      </w:r>
      <w:r>
        <w:t xml:space="preserve"> </w:t>
      </w:r>
      <w:r>
        <w:t xml:space="preserve">Thus, observed augmentation of NEE by warm springs</w:t>
      </w:r>
      <w:r>
        <w:rPr>
          <w:vertAlign w:val="superscript"/>
        </w:rPr>
        <w:t xml:space="preserve">2,8,9</w:t>
      </w:r>
      <w:r>
        <w:t xml:space="preserve"> </w:t>
      </w:r>
      <w:r>
        <w:t xml:space="preserve">is likely to be compensated by increased respiration in subsequent years.</w:t>
      </w:r>
    </w:p>
    <w:p>
      <w:pPr>
        <w:pStyle w:val="BodyText"/>
      </w:pPr>
      <w:r>
        <w:t xml:space="preserve">It is possible that as spring warming continues, forests will adjust to directional changes in growing season length with an enhancement of ANPP</w:t>
      </w:r>
      <w:r>
        <w:rPr>
          <w:vertAlign w:val="subscript"/>
        </w:rPr>
        <w:t xml:space="preserve">woody</w:t>
      </w:r>
      <w:r>
        <w:t xml:space="preserve">.</w:t>
      </w:r>
      <w:r>
        <w:t xml:space="preserve"> </w:t>
      </w:r>
      <w:r>
        <w:t xml:space="preserve">Across latitudinal gradients, warmer spring temperatures are associated with earlier leaf-out</w:t>
      </w:r>
      <w:r>
        <w:rPr>
          <w:vertAlign w:val="superscript"/>
        </w:rPr>
        <w:t xml:space="preserve">44</w:t>
      </w:r>
      <w:r>
        <w:t xml:space="preserve"> </w:t>
      </w:r>
      <w:r>
        <w:t xml:space="preserve">and longer growing seasons, which in turn are correlated with greater tree growth</w:t>
      </w:r>
      <w:r>
        <w:rPr>
          <w:vertAlign w:val="superscript"/>
        </w:rPr>
        <w:t xml:space="preserve">45</w:t>
      </w:r>
      <w:r>
        <w:t xml:space="preserve">, ANPP</w:t>
      </w:r>
      <w:r>
        <w:rPr>
          <w:vertAlign w:val="subscript"/>
        </w:rPr>
        <w:t xml:space="preserve">woody</w:t>
      </w:r>
      <w:r>
        <w:rPr>
          <w:vertAlign w:val="superscript"/>
        </w:rPr>
        <w:t xml:space="preserve">46</w:t>
      </w:r>
      <w:r>
        <w:t xml:space="preserve">, and NEE</w:t>
      </w:r>
      <w:r>
        <w:rPr>
          <w:vertAlign w:val="superscript"/>
        </w:rPr>
        <w:t xml:space="preserve">47</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 ANPP</w:t>
      </w:r>
      <w:r>
        <w:rPr>
          <w:vertAlign w:val="subscript"/>
        </w:rPr>
        <w:t xml:space="preserve">woody</w:t>
      </w:r>
      <w:r>
        <w:t xml:space="preserve"> </w:t>
      </w:r>
      <w:r>
        <w:t xml:space="preserve">is allocated to functions that relieve limitations on woody growth – for example, by enhancing nutrient and water acquisition through enhanced allocation to roots</w:t>
      </w:r>
      <w:r>
        <w:rPr>
          <w:vertAlign w:val="superscript"/>
        </w:rPr>
        <w:t xml:space="preserve">32,48</w:t>
      </w:r>
      <w:r>
        <w:t xml:space="preserve"> </w:t>
      </w:r>
      <w:r>
        <w:t xml:space="preserve">– it is possible that warming spring temperatures could ultimately increase ANPP</w:t>
      </w:r>
      <w:r>
        <w:rPr>
          <w:vertAlign w:val="subscript"/>
        </w:rPr>
        <w:t xml:space="preserve">woody</w:t>
      </w:r>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of the current or sometimes previous year (Fig.3, Extended Data Figure 7), when increased atmospheric demand associated with high temperatures can limit both leaf-level gas exchange and stem growth</w:t>
      </w:r>
      <w:r>
        <w:rPr>
          <w:vertAlign w:val="superscript"/>
        </w:rPr>
        <w:t xml:space="preserve">23,28,30,49</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w:r>
        <w:rPr>
          <w:iCs/>
          <w:i/>
        </w:rPr>
        <w:t xml:space="preserve">T</w:t>
      </w:r>
      <w:r>
        <w:rPr>
          <w:vertAlign w:val="subscript"/>
          <w:iCs/>
          <w:i/>
        </w:rPr>
        <w:t xml:space="preserve">max</w:t>
      </w:r>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26,33,34,45</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3,50,51</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27</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a sustained augmentation of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2,3,14</w:t>
      </w:r>
      <w:r>
        <w:t xml:space="preserve">.</w:t>
      </w:r>
      <w:r>
        <w:t xml:space="preserve"> </w:t>
      </w:r>
      <w:r>
        <w:t xml:space="preserve">Rather, the dominant effect of rising temperatures on temperate deciduous forest woody productivity will be a negative effect of high summer temperatures (Fig. 3)</w:t>
      </w:r>
      <w:r>
        <w:rPr>
          <w:vertAlign w:val="superscript"/>
        </w:rPr>
        <w:t xml:space="preserve">17</w:t>
      </w:r>
      <w:r>
        <w:t xml:space="preserve">, which constitutes a positive feedback to climate change.</w:t>
      </w:r>
    </w:p>
    <w:bookmarkEnd w:id="26"/>
    <w:bookmarkStart w:id="27" w:name="References"/>
    <w:p>
      <w:pPr>
        <w:pStyle w:val="Heading1"/>
      </w:pPr>
      <w:r>
        <w:t xml:space="preserve">References</w:t>
      </w:r>
    </w:p>
    <w:bookmarkEnd w:id="27"/>
    <w:bookmarkStart w:id="33" w:name="Methods"/>
    <w:p>
      <w:pPr>
        <w:pStyle w:val="Heading1"/>
      </w:pPr>
      <w:r>
        <w:t xml:space="preserve">Methods</w:t>
      </w:r>
    </w:p>
    <w:bookmarkStart w:id="30"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52</w:t>
      </w:r>
      <w:r>
        <w:t xml:space="preserve"> </w:t>
      </w:r>
      <w:r>
        <w:t xml:space="preserve">and Harvard Forest</w:t>
      </w:r>
      <w:r>
        <w:rPr>
          <w:vertAlign w:val="superscript"/>
        </w:rPr>
        <w:t xml:space="preserve">4,36</w:t>
      </w:r>
      <w:r>
        <w:t xml:space="preserve">, both part of the Forest Global Earth Observatory (ForestGEO)</w:t>
      </w:r>
      <w:r>
        <w:rPr>
          <w:vertAlign w:val="superscript"/>
        </w:rPr>
        <w:t xml:space="preserve">53,54</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52</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34</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45</w:t>
      </w:r>
      <w:r>
        <w:t xml:space="preserve">.</w:t>
      </w:r>
      <w:r>
        <w:t xml:space="preserve"> </w:t>
      </w:r>
      <w:r>
        <w:t xml:space="preserve">Within the study period for the dendrometer band analysis (2011-2019),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Standardized Precipitation Evapotranspiration Index (SPEI)</w:t>
      </w:r>
      <w:r>
        <w:rPr>
          <w:vertAlign w:val="superscript"/>
        </w:rPr>
        <w:t xml:space="preserve">56</w:t>
      </w:r>
      <w:r>
        <w:t xml:space="preserve"> </w:t>
      </w:r>
      <w:r>
        <w:t xml:space="preserve">values (4-month value of August) were similar to the average climate prior to the study period (1970-2010).</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16.9</w:t>
      </w:r>
      <m:oMath>
        <m:r>
          <m:rPr>
            <m:sty m:val="p"/>
          </m:rPr>
          <m:t>±</m:t>
        </m:r>
      </m:oMath>
      <w:r>
        <w:t xml:space="preserve"> </w:t>
      </w:r>
      <w:r>
        <w:t xml:space="preserve">1.4°C (mean</w:t>
      </w:r>
      <w:r>
        <w:t xml:space="preserve"> </w:t>
      </w:r>
      <m:oMath>
        <m:r>
          <m:rPr>
            <m:sty m:val="p"/>
          </m:rPr>
          <m:t>±</m:t>
        </m:r>
      </m:oMath>
      <w:r>
        <w:t xml:space="preserve"> </w:t>
      </w:r>
      <w:r>
        <w:t xml:space="preserve">1SD) prior to the study period (range: 14.1-19.9) and 17.6</w:t>
      </w:r>
      <m:oMath>
        <m:r>
          <m:rPr>
            <m:sty m:val="p"/>
          </m:rPr>
          <m:t>±</m:t>
        </m:r>
      </m:oMath>
      <w:r>
        <w:t xml:space="preserve"> </w:t>
      </w:r>
      <w:r>
        <w:t xml:space="preserve">1.7°C (range: 15.6-20) during the study period, while summer SPEI was -0.06</w:t>
      </w:r>
      <m:oMath>
        <m:r>
          <m:rPr>
            <m:sty m:val="p"/>
          </m:rPr>
          <m:t>±</m:t>
        </m:r>
      </m:oMath>
      <w:r>
        <w:t xml:space="preserve"> </w:t>
      </w:r>
      <w:r>
        <w:t xml:space="preserve">1.02 (range: -1.7-2.4) prior to the study period and 0.5</w:t>
      </w:r>
      <m:oMath>
        <m:r>
          <m:rPr>
            <m:sty m:val="p"/>
          </m:rPr>
          <m:t>±</m:t>
        </m:r>
      </m:oMath>
      <w:r>
        <w:t xml:space="preserve"> </w:t>
      </w:r>
      <w:r>
        <w:t xml:space="preserve">0.8 (range: -0.8-1.6) during.</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-5°C in January and 22°C in July</w:t>
      </w:r>
      <w:r>
        <w:rPr>
          <w:vertAlign w:val="superscript"/>
        </w:rPr>
        <w:t xml:space="preserve">45</w:t>
      </w:r>
      <w:r>
        <w:t xml:space="preserve">.</w:t>
      </w:r>
      <w:r>
        <w:t xml:space="preserve"> </w:t>
      </w:r>
      <w:r>
        <w:t xml:space="preserve">Within the study period for the dendrometer band analysis (1999-2003), spring temperatures (March and April</w:t>
      </w:r>
      <w:r>
        <w:t xml:space="preserve"> </w:t>
      </w:r>
      <w:r>
        <w:rPr>
          <w:iCs/>
          <w:i/>
        </w:rPr>
        <w:t xml:space="preserve">T</w:t>
      </w:r>
      <w:r>
        <w:rPr>
          <w:vertAlign w:val="subscript"/>
          <w:iCs/>
          <w:i/>
        </w:rPr>
        <w:t xml:space="preserve">max</w:t>
      </w:r>
      <w:r>
        <w:t xml:space="preserve">; source: CRU v.4.04</w:t>
      </w:r>
      <w:r>
        <w:rPr>
          <w:vertAlign w:val="superscript"/>
        </w:rPr>
        <w:t xml:space="preserve">55</w:t>
      </w:r>
      <w:r>
        <w:t xml:space="preserve">) and summer SPEI values (4-month value of August) were similar to the average climate prior to the study period (1970-1998).</w:t>
      </w:r>
      <w:r>
        <w:t xml:space="preserve"> </w:t>
      </w:r>
      <w:r>
        <w:t xml:space="preserve">Specifically, average spring</w:t>
      </w:r>
      <w:r>
        <w:t xml:space="preserve"> </w:t>
      </w:r>
      <w:r>
        <w:rPr>
          <w:iCs/>
          <w:i/>
        </w:rPr>
        <w:t xml:space="preserve">T</w:t>
      </w:r>
      <w:r>
        <w:rPr>
          <w:vertAlign w:val="subscript"/>
          <w:iCs/>
          <w:i/>
        </w:rPr>
        <w:t xml:space="preserve">max</w:t>
      </w:r>
      <w:r>
        <w:t xml:space="preserve"> </w:t>
      </w:r>
      <w:r>
        <w:t xml:space="preserve">was 10.9</w:t>
      </w:r>
      <m:oMath>
        <m:r>
          <m:rPr>
            <m:sty m:val="p"/>
          </m:rPr>
          <m:t>±</m:t>
        </m:r>
      </m:oMath>
      <w:r>
        <w:t xml:space="preserve"> </w:t>
      </w:r>
      <w:r>
        <w:t xml:space="preserve">1.5°C prior to the study period (range: 8.0-13.2) and 11.2</w:t>
      </w:r>
      <m:oMath>
        <m:r>
          <m:rPr>
            <m:sty m:val="p"/>
          </m:rPr>
          <m:t>±</m:t>
        </m:r>
      </m:oMath>
      <w:r>
        <w:t xml:space="preserve"> </w:t>
      </w:r>
      <w:r>
        <w:t xml:space="preserve">1.0°C (range: 10.1-12.2) during the study period, while summer SPEI was 0.1</w:t>
      </w:r>
      <m:oMath>
        <m:r>
          <m:rPr>
            <m:sty m:val="p"/>
          </m:rPr>
          <m:t>±</m:t>
        </m:r>
      </m:oMath>
      <w:r>
        <w:t xml:space="preserve"> </w:t>
      </w:r>
      <w:r>
        <w:t xml:space="preserve">0.9 (range: -1.8-1.7) prior to the study period and 0.2</w:t>
      </w:r>
      <m:oMath>
        <m:r>
          <m:rPr>
            <m:sty m:val="p"/>
          </m:rPr>
          <m:t>±</m:t>
        </m:r>
      </m:oMath>
      <w:r>
        <w:t xml:space="preserve"> </w:t>
      </w:r>
      <w:r>
        <w:t xml:space="preserve">0.9 (range: -1.0-1.1) during.</w:t>
      </w:r>
      <w:r>
        <w:t xml:space="preserve"> </w:t>
      </w:r>
      <w:r>
        <w:t xml:space="preserve">The driest summer during the study period (1999) had the 5th lowest SPEI value (-1.0) in the period 1970-2003, with precipitation of 52 mm mo</w:t>
      </w:r>
      <w:r>
        <w:rPr>
          <w:vertAlign w:val="superscript"/>
        </w:rPr>
        <w:t xml:space="preserve">-1</w:t>
      </w:r>
      <w:r>
        <w:t xml:space="preserve"> </w:t>
      </w:r>
      <w:r>
        <w:t xml:space="preserve">in June-August compared to average monthly precipitation of 100+ mm</w:t>
      </w:r>
      <w:r>
        <w:rPr>
          <w:vertAlign w:val="superscript"/>
        </w:rPr>
        <w:t xml:space="preserve">36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At Harvard Forest, all measurements from 1998 were dropped because of a late start date (May 26).</w:t>
      </w:r>
      <w:r>
        <w:t xml:space="preserve"> </w:t>
      </w:r>
      <w:r>
        <w:t xml:space="preserve">Among the remaining years,the median start date was April 21 and median end date of October 27.</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screened before analysis to remove records or entire tree-years that were either unreliable or inappropriate for our analysis.</w:t>
      </w:r>
      <w:r>
        <w:t xml:space="preserve"> </w:t>
      </w:r>
      <w:r>
        <w:t xml:space="preserve">First, we manually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0.005</m:t>
        </m:r>
      </m:oMath>
      <w:r>
        <w:t xml:space="preserve"> </w:t>
      </w:r>
      <w:r>
        <w:t xml:space="preserve">cm; SCBI = 26, Harvard Forest = 253), and tree-years where the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35</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w:r>
        <w:rPr>
          <w:iCs/>
          <w:i/>
        </w:rPr>
        <w:t xml:space="preserve">DOY</w:t>
      </w:r>
      <w:r>
        <w:rPr>
          <w:vertAlign w:val="subscript"/>
          <w:iCs/>
          <w:i/>
        </w:rPr>
        <w:t xml:space="preserve">ip</w:t>
      </w:r>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w:r>
        <w:rPr>
          <w:iCs/>
          <w:i/>
        </w:rPr>
        <w:t xml:space="preserve">g</w:t>
      </w:r>
      <w:r>
        <w:rPr>
          <w:vertAlign w:val="subscript"/>
          <w:iCs/>
          <w:i/>
        </w:rPr>
        <w:t xml:space="preserve">max</w:t>
      </w:r>
      <w:r>
        <w:t xml:space="preserve"> </w:t>
      </w:r>
      <w:r>
        <w:t xml:space="preserve">occurs on</w:t>
      </w:r>
      <w:r>
        <w:t xml:space="preserve"> </w:t>
      </w:r>
      <w:r>
        <w:rPr>
          <w:iCs/>
          <w:i/>
        </w:rPr>
        <w:t xml:space="preserve">DOY</w:t>
      </w:r>
      <w:r>
        <w:rPr>
          <w:vertAlign w:val="subscript"/>
          <w:iCs/>
          <w:i/>
        </w:rPr>
        <w:t xml:space="preserve">ip</w:t>
      </w:r>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35</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35,57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 that passed the initial screening (described above).</w:t>
      </w:r>
      <w:r>
        <w:t xml:space="preserve"> </w:t>
      </w:r>
      <w:r>
        <w:t xml:space="preserve">Modeled fits for tree-years were removed under two conditions:</w:t>
      </w:r>
      <w:r>
        <w:t xml:space="preserve"> </w:t>
      </w:r>
      <w:r>
        <w:t xml:space="preserve">(1)</w:t>
      </w:r>
      <w:r>
        <w:t xml:space="preserve"> </w:t>
      </w:r>
      <w:r>
        <w:rPr>
          <w:iCs/>
          <w:i/>
        </w:rPr>
        <w:t xml:space="preserve">g</w:t>
      </w:r>
      <w:r>
        <w:rPr>
          <w:vertAlign w:val="subscript"/>
          <w:iCs/>
          <w:i/>
        </w:rPr>
        <w:t xml:space="preserve">max</w:t>
      </w:r>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t xml:space="preserve"> </w:t>
      </w:r>
      <w:r>
        <w:t xml:space="preserve">(2) timing variables (</w:t>
      </w:r>
      <w:r>
        <w:rPr>
          <w:iCs/>
          <w:i/>
        </w:rPr>
        <w:t xml:space="preserve">DOY</w:t>
      </w:r>
      <w:r>
        <w:rPr>
          <w:vertAlign w:val="subscript"/>
          <w:iCs/>
          <w:i/>
        </w:rPr>
        <w:t xml:space="preserve">ip</w:t>
      </w:r>
      <w:r>
        <w:t xml:space="preserve">,</w:t>
      </w:r>
      <w:r>
        <w:t xml:space="preserve">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(500m resolution) containing the center of each forest plot.</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8">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w:r>
        <w:rPr>
          <w:iCs/>
          <w:i/>
        </w:rPr>
        <w:t xml:space="preserve">T</w:t>
      </w:r>
      <w:r>
        <w:rPr>
          <w:vertAlign w:val="subscript"/>
          <w:iCs/>
          <w:i/>
        </w:rPr>
        <w:t xml:space="preserve">max</w:t>
      </w:r>
      <w:r>
        <w:t xml:space="preserve">) and minimum temperatures (</w:t>
      </w:r>
      <w:r>
        <w:rPr>
          <w:iCs/>
          <w:i/>
        </w:rPr>
        <w:t xml:space="preserve">T</w:t>
      </w:r>
      <w:r>
        <w:rPr>
          <w:vertAlign w:val="subscript"/>
          <w:iCs/>
          <w:i/>
        </w:rPr>
        <w:t xml:space="preserve">min</w:t>
      </w:r>
      <w:r>
        <w:t xml:space="preserve">).</w:t>
      </w:r>
      <w:r>
        <w:t xml:space="preserve"> </w:t>
      </w:r>
      <w:r>
        <w:t xml:space="preserve">Standardized Precipitation Evapotranspiration Index (SPEI)</w:t>
      </w:r>
      <w:r>
        <w:rPr>
          <w:vertAlign w:val="superscript"/>
        </w:rPr>
        <w:t xml:space="preserve">56</w:t>
      </w:r>
      <w:r>
        <w:t xml:space="preserve"> </w:t>
      </w:r>
      <w:r>
        <w:t xml:space="preserve">values were obtained from the ForestGEO Climate Data Portal v1.0 (</w:t>
      </w:r>
      <w:hyperlink r:id="rId28">
        <w:r>
          <w:rPr>
            <w:rStyle w:val="Hyperlink"/>
          </w:rPr>
          <w:t xml:space="preserve">https://forestgeo.github.io/Climate/</w:t>
        </w:r>
      </w:hyperlink>
      <w:r>
        <w:t xml:space="preserve">)</w:t>
      </w:r>
      <w:r>
        <w:rPr>
          <w:vertAlign w:val="superscript"/>
        </w:rPr>
        <w:t xml:space="preserve">59,63,64</w:t>
      </w:r>
      <w:r>
        <w:t xml:space="preserve">.</w:t>
      </w:r>
    </w:p>
    <w:p>
      <w:pPr>
        <w:pStyle w:val="BodyText"/>
      </w:pPr>
      <w:r>
        <w:t xml:space="preserve">The critical temperature window (CTW, Fig. 1), defined as the period over which</w:t>
      </w:r>
      <w:r>
        <w:t xml:space="preserve"> </w:t>
      </w:r>
      <w:r>
        <w:rPr>
          <w:iCs/>
          <w:i/>
        </w:rPr>
        <w:t xml:space="preserve">T</w:t>
      </w:r>
      <w:r>
        <w:rPr>
          <w:vertAlign w:val="subscript"/>
          <w:iCs/>
          <w:i/>
        </w:rPr>
        <w:t xml:space="preserve">max</w:t>
      </w:r>
      <w:r>
        <w:t xml:space="preserve"> </w:t>
      </w:r>
      <w:r>
        <w:t xml:space="preserve">was most strongly correlated with</w:t>
      </w:r>
      <w:r>
        <w:t xml:space="preserve"> </w:t>
      </w:r>
      <w:r>
        <w:rPr>
          <w:iCs/>
          <w:i/>
        </w:rPr>
        <w:t xml:space="preserve">DOY</w:t>
      </w:r>
      <w:r>
        <w:rPr>
          <w:vertAlign w:val="subscript"/>
          <w:iCs/>
          <w:i/>
        </w:rPr>
        <w:t xml:space="preserve">25</w:t>
      </w:r>
      <w:r>
        <w:t xml:space="preserve">, was determined using the R package</w:t>
      </w:r>
      <w:r>
        <w:t xml:space="preserve"> </w:t>
      </w:r>
      <w:r>
        <w:rPr>
          <w:iCs/>
          <w:i/>
        </w:rPr>
        <w:t xml:space="preserve">climwin</w:t>
      </w:r>
      <w:r>
        <w:rPr>
          <w:vertAlign w:val="superscript"/>
        </w:rPr>
        <w:t xml:space="preserve">65</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w:r>
        <w:rPr>
          <w:iCs/>
          <w:i/>
        </w:rPr>
        <w:t xml:space="preserve">T</w:t>
      </w:r>
      <w:r>
        <w:rPr>
          <w:vertAlign w:val="subscript"/>
          <w:iCs/>
          <w:i/>
        </w:rPr>
        <w:t xml:space="preserve">max</w:t>
      </w:r>
      <w:r>
        <w:t xml:space="preserve">,</w:t>
      </w:r>
      <w:r>
        <w:t xml:space="preserve"> </w:t>
      </w:r>
      <w:r>
        <w:rPr>
          <w:iCs/>
          <w:i/>
        </w:rPr>
        <w:t xml:space="preserve">T</w:t>
      </w:r>
      <w:r>
        <w:rPr>
          <w:vertAlign w:val="subscript"/>
          <w:iCs/>
          <w:i/>
        </w:rPr>
        <w:t xml:space="preserve">min</w:t>
      </w:r>
      <w:r>
        <w:t xml:space="preserve">) and biological outcome variable</w:t>
      </w:r>
      <w:r>
        <w:t xml:space="preserve"> </w:t>
      </w:r>
      <w:r>
        <w:rPr>
          <w:iCs/>
          <w:i/>
        </w:rPr>
        <w:t xml:space="preserve">DOY</w:t>
      </w:r>
      <w:r>
        <w:rPr>
          <w:vertAlign w:val="subscript"/>
          <w:iCs/>
          <w:i/>
        </w:rPr>
        <w:t xml:space="preserve">25</w:t>
      </w:r>
      <w:r>
        <w:t xml:space="preserve"> </w:t>
      </w:r>
      <w:r>
        <w:t xml:space="preserve">over the time-frame from January 1 to the mean</w:t>
      </w:r>
      <w:r>
        <w:t xml:space="preserve"> </w:t>
      </w:r>
      <w:r>
        <w:rPr>
          <w:iCs/>
          <w:i/>
        </w:rPr>
        <w:t xml:space="preserve">DOY</w:t>
      </w:r>
      <w:r>
        <w:rPr>
          <w:vertAlign w:val="subscript"/>
          <w:iCs/>
          <w:i/>
        </w:rPr>
        <w:t xml:space="preserve">25</w:t>
      </w:r>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To avoid spurious correlations that could occur using temperature data at the daily resolution, we ran this analysis with weekly resolution, using temperatures averaged over weekly time periods.</w:t>
      </w:r>
      <w:r>
        <w:t xml:space="preserve"> </w:t>
      </w:r>
      <w:r>
        <w:t xml:space="preserve">Because</w:t>
      </w:r>
      <w:r>
        <w:t xml:space="preserve"> </w:t>
      </w:r>
      <w:r>
        <w:rPr>
          <w:iCs/>
          <w:i/>
        </w:rPr>
        <w:t xml:space="preserve">T</w:t>
      </w:r>
      <w:r>
        <w:rPr>
          <w:vertAlign w:val="subscript"/>
          <w:iCs/>
          <w:i/>
        </w:rPr>
        <w:t xml:space="preserve">max</w:t>
      </w:r>
      <w:r>
        <w:t xml:space="preserve"> </w:t>
      </w:r>
      <w:r>
        <w:t xml:space="preserve">proved to have a generally stronger influence over</w:t>
      </w:r>
      <w:r>
        <w:t xml:space="preserve"> </w:t>
      </w:r>
      <w:r>
        <w:rPr>
          <w:iCs/>
          <w:i/>
        </w:rPr>
        <w:t xml:space="preserve">DOY</w:t>
      </w:r>
      <w:r>
        <w:rPr>
          <w:vertAlign w:val="subscript"/>
          <w:iCs/>
          <w:i/>
        </w:rPr>
        <w:t xml:space="preserve">25</w:t>
      </w:r>
      <w:r>
        <w:t xml:space="preserve"> </w:t>
      </w:r>
      <w:r>
        <w:t xml:space="preserve">and other growth parameters, we focused on this variable in our ultimate model, as opposed to</w:t>
      </w:r>
      <w:r>
        <w:t xml:space="preserve"> </w:t>
      </w:r>
      <w:r>
        <w:rPr>
          <w:iCs/>
          <w:i/>
        </w:rPr>
        <w:t xml:space="preserve">T</w:t>
      </w:r>
      <w:r>
        <w:rPr>
          <w:vertAlign w:val="subscript"/>
          <w:iCs/>
          <w:i/>
        </w:rPr>
        <w:t xml:space="preserve">min</w:t>
      </w:r>
      <w:r>
        <w:t xml:space="preserve">.</w:t>
      </w:r>
      <w:r>
        <w:t xml:space="preserve"> </w:t>
      </w:r>
      <w:r>
        <w:t xml:space="preserve">We defined CTW for</w:t>
      </w:r>
      <w:r>
        <w:t xml:space="preserve"> </w:t>
      </w:r>
      <w:r>
        <w:rPr>
          <w:iCs/>
          <w:i/>
        </w:rPr>
        <w:t xml:space="preserve">DOY</w:t>
      </w:r>
      <w:r>
        <w:rPr>
          <w:vertAlign w:val="subscript"/>
          <w:iCs/>
          <w:i/>
        </w:rPr>
        <w:t xml:space="preserve">25</w:t>
      </w:r>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w:r>
        <w:rPr>
          <w:iCs/>
          <w:i/>
        </w:rPr>
        <w:t xml:space="preserve">DOY</w:t>
      </w:r>
      <w:r>
        <w:rPr>
          <w:vertAlign w:val="subscript"/>
          <w:iCs/>
          <w:i/>
        </w:rPr>
        <w:t xml:space="preserve">25</w:t>
      </w:r>
      <w:r>
        <w:t xml:space="preserve">,</w:t>
      </w:r>
      <w:r>
        <w:t xml:space="preserve"> </w:t>
      </w:r>
      <w:r>
        <w:rPr>
          <w:iCs/>
          <w:i/>
        </w:rPr>
        <w:t xml:space="preserve">DOY</w:t>
      </w:r>
      <w:r>
        <w:rPr>
          <w:vertAlign w:val="subscript"/>
          <w:iCs/>
          <w:i/>
        </w:rPr>
        <w:t xml:space="preserve">50</w:t>
      </w:r>
      <w:r>
        <w:t xml:space="preserve">,</w:t>
      </w:r>
      <w:r>
        <w:t xml:space="preserve"> </w:t>
      </w:r>
      <w:r>
        <w:rPr>
          <w:iCs/>
          <w:i/>
        </w:rPr>
        <w:t xml:space="preserve">DOY</w:t>
      </w:r>
      <w:r>
        <w:rPr>
          <w:vertAlign w:val="subscript"/>
          <w:iCs/>
          <w:i/>
        </w:rPr>
        <w:t xml:space="preserve">75</w:t>
      </w:r>
      <w:r>
        <w:t xml:space="preserve">,</w:t>
      </w:r>
      <w:r>
        <w:t xml:space="preserve"> </w:t>
      </w:r>
      <w:r>
        <w:rPr>
          <w:iCs/>
          <w:i/>
        </w:rPr>
        <w:t xml:space="preserve">L</w:t>
      </w:r>
      <w:r>
        <w:rPr>
          <w:vertAlign w:val="subscript"/>
          <w:iCs/>
          <w:i/>
        </w:rPr>
        <w:t xml:space="preserve">pgs</w:t>
      </w:r>
      <w:r>
        <w:t xml:space="preserve">,</w:t>
      </w:r>
      <w:r>
        <w:t xml:space="preserve"> </w:t>
      </w:r>
      <w:r>
        <w:rPr>
          <w:iCs/>
          <w:i/>
        </w:rPr>
        <w:t xml:space="preserve">g</w:t>
      </w:r>
      <w:r>
        <w:rPr>
          <w:vertAlign w:val="subscript"/>
          <w:iCs/>
          <w:i/>
        </w:rPr>
        <w:t xml:space="preserve">max</w:t>
      </w:r>
      <w:r>
        <w:t xml:space="preserve">, and</w:t>
      </w:r>
      <w:r>
        <w:t xml:space="preserve"> </w:t>
      </w:r>
      <m:oMath>
        <m:r>
          <m:t>Δ</m:t>
        </m:r>
        <m:r>
          <m:t>D</m:t>
        </m:r>
        <m:r>
          <m:t>B</m:t>
        </m:r>
        <m:r>
          <m:t>H</m:t>
        </m:r>
      </m:oMath>
      <w:r>
        <w:t xml:space="preserve">, Fig. 1) and CTW</w:t>
      </w:r>
      <w:r>
        <w:t xml:space="preserve"> </w:t>
      </w:r>
      <w:r>
        <w:rPr>
          <w:iCs/>
          <w:i/>
        </w:rPr>
        <w:t xml:space="preserve">T</w:t>
      </w:r>
      <w:r>
        <w:rPr>
          <w:vertAlign w:val="subscript"/>
          <w:iCs/>
          <w:i/>
        </w:rPr>
        <w:t xml:space="preserve">max</w:t>
      </w:r>
      <w:r>
        <w:t xml:space="preserve"> </w:t>
      </w:r>
      <w:r>
        <w:t xml:space="preserve">(at weekly or monthly resolution, as described above) were assessed using a linear mixed model in a hierarchical Bayesian framework.</w:t>
      </w:r>
      <w:r>
        <w:t xml:space="preserve"> </w:t>
      </w:r>
      <w:r>
        <w:t xml:space="preserve">Analyses were run for both</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with qualitatively similar results, but we present only results for</w:t>
      </w:r>
      <w:r>
        <w:t xml:space="preserve"> </w:t>
      </w:r>
      <w:r>
        <w:rPr>
          <w:iCs/>
          <w:i/>
        </w:rPr>
        <w:t xml:space="preserve">T</w:t>
      </w:r>
      <w:r>
        <w:rPr>
          <w:vertAlign w:val="subscript"/>
          <w:iCs/>
          <w:i/>
        </w:rPr>
        <w:t xml:space="preserve">max</w:t>
      </w:r>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 during the CTW, along with random effects of species and of individual tree.</w:t>
      </w:r>
      <w:r>
        <w:t xml:space="preserve"> </w:t>
      </w:r>
      <w:r>
        <w:t xml:space="preserve">We ran separate models for each site, and for the response of all growth parameters to</w:t>
      </w:r>
      <w:r>
        <w:t xml:space="preserve"> </w:t>
      </w:r>
      <w:r>
        <w:rPr>
          <w:iCs/>
          <w:i/>
        </w:rPr>
        <w:t xml:space="preserve">T</w:t>
      </w:r>
      <w:r>
        <w:rPr>
          <w:vertAlign w:val="subscript"/>
          <w:iCs/>
          <w:i/>
        </w:rPr>
        <w:t xml:space="preserve">max</w:t>
      </w:r>
      <w:r>
        <w:t xml:space="preserve"> </w:t>
      </w:r>
      <w:r>
        <w:t xml:space="preserve">(or</w:t>
      </w:r>
      <w:r>
        <w:t xml:space="preserve"> </w:t>
      </w:r>
      <w:r>
        <w:rPr>
          <w:iCs/>
          <w:i/>
        </w:rPr>
        <w:t xml:space="preserve">T</w:t>
      </w:r>
      <w:r>
        <w:rPr>
          <w:vertAlign w:val="subscript"/>
          <w:iCs/>
          <w:i/>
        </w:rPr>
        <w:t xml:space="preserve">min</w:t>
      </w:r>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66,67</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SPEI indices.</w:t>
      </w:r>
      <w:r>
        <w:t xml:space="preserve"> </w:t>
      </w:r>
      <w:r>
        <w:t xml:space="preserve">Linear models were run with 4-, 6-, and 12-month SPEI values of June, July, and August vs April</w:t>
      </w:r>
      <w:r>
        <w:t xml:space="preserve"> </w:t>
      </w:r>
      <w:r>
        <w:rPr>
          <w:iCs/>
          <w:i/>
        </w:rPr>
        <w:t xml:space="preserve">T</w:t>
      </w:r>
      <w:r>
        <w:rPr>
          <w:vertAlign w:val="subscript"/>
          <w:iCs/>
          <w:i/>
        </w:rPr>
        <w:t xml:space="preserve">max</w:t>
      </w:r>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30"/>
    <w:bookmarkStart w:id="31"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68,69</w:t>
      </w:r>
      <w:r>
        <w:t xml:space="preserve">.</w:t>
      </w:r>
    </w:p>
    <w:p>
      <w:pPr>
        <w:pStyle w:val="BodyText"/>
      </w:pPr>
      <w:r>
        <w:t xml:space="preserve">Dominant tree species were cored at both SCBI</w:t>
      </w:r>
      <w:r>
        <w:rPr>
          <w:vertAlign w:val="superscript"/>
        </w:rPr>
        <w:t xml:space="preserve">34,52</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33,72,73</w:t>
      </w:r>
      <w:r>
        <w:t xml:space="preserve">.</w:t>
      </w:r>
      <w:r>
        <w:t xml:space="preserve"> </w:t>
      </w:r>
      <w:r>
        <w:t xml:space="preserve">For the majority of sampled populations (i.e., site-species combinations), sampling focused on canopy trees (typically &gt;20 trees per population)</w:t>
      </w:r>
      <w:r>
        <w:rPr>
          <w:vertAlign w:val="superscript"/>
        </w:rPr>
        <w:t xml:space="preserve">33,72,73</w:t>
      </w:r>
      <w:r>
        <w:t xml:space="preserve">, while ~15% of the total 207 chronologies came from plot-level collections where trees above a certain diameter (typically 10 cm DBH) were censused and cored</w:t>
      </w:r>
      <w:r>
        <w:rPr>
          <w:vertAlign w:val="superscript"/>
        </w:rPr>
        <w:t xml:space="preserve">34,71</w:t>
      </w:r>
      <w:r>
        <w:t xml:space="preserve">.</w:t>
      </w:r>
      <w:r>
        <w:t xml:space="preserve"> </w:t>
      </w:r>
      <w:r>
        <w:t xml:space="preserve">Again, analyses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stabilizes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(the earliest ca.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stabilization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w:r>
        <w:rPr>
          <w:iCs/>
          <w:i/>
        </w:rPr>
        <w:t xml:space="preserve">T</w:t>
      </w:r>
      <w:r>
        <w:rPr>
          <w:vertAlign w:val="subscript"/>
          <w:iCs/>
          <w:i/>
        </w:rPr>
        <w:t xml:space="preserve">max</w:t>
      </w:r>
      <w:r>
        <w:t xml:space="preserve"> </w:t>
      </w:r>
      <w:r>
        <w:t xml:space="preserve">and</w:t>
      </w:r>
      <w:r>
        <w:t xml:space="preserve"> </w:t>
      </w:r>
      <w:r>
        <w:rPr>
          <w:iCs/>
          <w:i/>
        </w:rPr>
        <w:t xml:space="preserve">T</w:t>
      </w:r>
      <w:r>
        <w:rPr>
          <w:vertAlign w:val="subscript"/>
          <w:iCs/>
          <w:i/>
        </w:rPr>
        <w:t xml:space="preserve">min</w:t>
      </w:r>
      <w:r>
        <w:t xml:space="preserve"> </w:t>
      </w:r>
      <w:r>
        <w:t xml:space="preserve">data for 1901-2019 from CRU v.4.04.</w:t>
      </w:r>
      <w:r>
        <w:rPr>
          <w:vertAlign w:val="superscript"/>
        </w:rPr>
        <w:t xml:space="preserve">55</w:t>
      </w:r>
      <w:r>
        <w:t xml:space="preserve"> </w:t>
      </w:r>
      <w:r>
        <w:t xml:space="preserve">Correlations between monthly climate and RWI were assessed in R v 4.0</w:t>
      </w:r>
      <w:r>
        <w:rPr>
          <w:vertAlign w:val="superscript"/>
        </w:rPr>
        <w:t xml:space="preserve">78</w:t>
      </w:r>
      <w:r>
        <w:t xml:space="preserve"> </w:t>
      </w:r>
      <w:r>
        <w:t xml:space="preserve">using the packages</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to assess correlations, provide bootstrapped confidence intervals for these relationships, and create summary figures (Fig. 3, Extended Data Figures 6-7).</w:t>
      </w:r>
      <w:r>
        <w:t xml:space="preserve"> </w:t>
      </w:r>
      <w:r>
        <w:t xml:space="preserve">Our analysis focused on assessing correlations of RWI to months spanning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w:r>
        <w:rPr>
          <w:iCs/>
          <w:i/>
        </w:rPr>
        <w:t xml:space="preserve">T</w:t>
      </w:r>
      <w:r>
        <w:rPr>
          <w:vertAlign w:val="subscript"/>
          <w:iCs/>
          <w:i/>
        </w:rPr>
        <w:t xml:space="preserve">max</w:t>
      </w:r>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w:r>
        <w:rPr>
          <w:iCs/>
          <w:i/>
        </w:rPr>
        <w:t xml:space="preserve">T</w:t>
      </w:r>
      <w:r>
        <w:rPr>
          <w:vertAlign w:val="subscript"/>
          <w:iCs/>
          <w:i/>
        </w:rPr>
        <w:t xml:space="preserve">max</w:t>
      </w:r>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w:r>
        <w:rPr>
          <w:iCs/>
          <w:i/>
        </w:rPr>
        <w:t xml:space="preserve">T</w:t>
      </w:r>
      <w:r>
        <w:rPr>
          <w:vertAlign w:val="subscript"/>
          <w:iCs/>
          <w:i/>
        </w:rPr>
        <w:t xml:space="preserve">max</w:t>
      </w:r>
      <w:r>
        <w:t xml:space="preserve"> </w:t>
      </w:r>
      <w:r>
        <w:t xml:space="preserve">and June-July</w:t>
      </w:r>
      <w:r>
        <w:t xml:space="preserve"> </w:t>
      </w:r>
      <w:r>
        <w:rPr>
          <w:iCs/>
          <w:i/>
        </w:rPr>
        <w:t xml:space="preserve">T</w:t>
      </w:r>
      <w:r>
        <w:rPr>
          <w:vertAlign w:val="subscript"/>
          <w:iCs/>
          <w:i/>
        </w:rPr>
        <w:t xml:space="preserve">max</w:t>
      </w:r>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1"/>
    <w:bookmarkStart w:id="32" w:name="Methods"/>
    <w:p>
      <w:pPr>
        <w:pStyle w:val="Heading2"/>
      </w:pPr>
      <w:r>
        <w:t xml:space="preserve">Methods References</w:t>
      </w:r>
    </w:p>
    <w:bookmarkEnd w:id="32"/>
    <w:bookmarkEnd w:id="33"/>
    <w:bookmarkStart w:id="34"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members of the ForestGEO Ecosystems &amp; Climate Lab at SCBI, and four anonymous reviewers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4"/>
    <w:bookmarkStart w:id="35"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5"/>
    <w:bookmarkStart w:id="48"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7">
        <w:r>
          <w:rPr>
            <w:rStyle w:val="Hyperlink"/>
          </w:rPr>
          <w:t xml:space="preserve">https://github.com/SCBI-ForestGEO/Dendrobands</w:t>
        </w:r>
      </w:hyperlink>
      <w:r>
        <w:t xml:space="preserve">), which is archived in Zenodo (DOI 10.5281/zenodo.5551143), and for Harvard Forest via the Harvard Forest Data Archive (</w:t>
      </w:r>
      <w:hyperlink r:id="rId38">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9">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9">
        <w:r>
          <w:rPr>
            <w:rStyle w:val="Hyperlink"/>
          </w:rPr>
          <w:t xml:space="preserve">https://www.ncdc.noaa.gov/cdo-web/datasets/GHCND/stations/GHCND:USC00443229/detail</w:t>
        </w:r>
      </w:hyperlink>
      <w:r>
        <w:t xml:space="preserve">).</w:t>
      </w:r>
      <w:r>
        <w:t xml:space="preserve"> </w:t>
      </w:r>
      <w:r>
        <w:t xml:space="preserve">Weather data for Harvard Forest are available through the Harvard Forest Data Archive (</w:t>
      </w:r>
      <w:hyperlink r:id="rId40">
        <w:r>
          <w:rPr>
            <w:rStyle w:val="Hyperlink"/>
          </w:rPr>
          <w:t xml:space="preserve">https://harvardforest1.fas.harvard.edu/exist/apps/datasets/showData.html?id=HF001</w:t>
        </w:r>
      </w:hyperlink>
      <w:r>
        <w:t xml:space="preserve"> </w:t>
      </w:r>
      <w:r>
        <w:t xml:space="preserve">AND</w:t>
      </w:r>
      <w:r>
        <w:t xml:space="preserve"> </w:t>
      </w:r>
      <w:hyperlink r:id="rId41">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2">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3">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4">
        <w:r>
          <w:rPr>
            <w:rStyle w:val="Hyperlink"/>
          </w:rPr>
          <w:t xml:space="preserve">https://developers.google.com/earth-engine/datasets/catalog/MODIS_006_MCD12Q2#description</w:t>
        </w:r>
      </w:hyperlink>
      <w:r>
        <w:t xml:space="preserve">).</w:t>
      </w:r>
      <w:r>
        <w:t xml:space="preserve"> </w:t>
      </w:r>
      <w:r>
        <w:t xml:space="preserve">In addition to being archived in this project’s repository, many tree-ring data sets are archived in the International Tree-Ring Data Bank (ITRDB;</w:t>
      </w:r>
      <w:hyperlink r:id="rId45">
        <w:r>
          <w:rPr>
            <w:rStyle w:val="Hyperlink"/>
          </w:rPr>
          <w:t xml:space="preserve">https://www.ncei.noaa.gov/products/paleoclimatology/tree-ring</w:t>
        </w:r>
      </w:hyperlink>
      <w:r>
        <w:t xml:space="preserve">), the DendroEcological Network (DEN;</w:t>
      </w:r>
      <w:r>
        <w:t xml:space="preserve"> </w:t>
      </w:r>
      <w:hyperlink r:id="rId46">
        <w:r>
          <w:rPr>
            <w:rStyle w:val="Hyperlink"/>
          </w:rPr>
          <w:t xml:space="preserve">https://www.uvm.edu/femc/dendro/</w:t>
        </w:r>
      </w:hyperlink>
      <w:r>
        <w:t xml:space="preserve">), and/or the Harvard Forest Data Archive (</w:t>
      </w:r>
      <w:hyperlink r:id="rId47">
        <w:r>
          <w:rPr>
            <w:rStyle w:val="Hyperlink"/>
          </w:rPr>
          <w:t xml:space="preserve">https://harvardforest.fas.harvard.edu/harvard-forest-data-archive</w:t>
        </w:r>
      </w:hyperlink>
      <w:r>
        <w:t xml:space="preserve">), as detailed in SI Table 1.</w:t>
      </w:r>
      <w:r>
        <w:t xml:space="preserve"> </w:t>
      </w:r>
      <w:r>
        <w:t xml:space="preserve">Original tree cores are archived at the institutions of various members of the author team (Harvard Forest, Smithsonian Conservation Biology Institute, Indiana University, and University of Idaho) and will be made available upon reasonable request.</w:t>
      </w:r>
    </w:p>
    <w:bookmarkEnd w:id="48"/>
    <w:bookmarkStart w:id="51"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9">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50">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6">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51"/>
    <w:bookmarkStart w:id="141"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Start w:id="140" w:name="refs"/>
    <w:bookmarkStart w:id="52"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52"/>
    <w:bookmarkStart w:id="53"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53"/>
    <w:bookmarkStart w:id="54"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4"/>
    <w:bookmarkStart w:id="55"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5"/>
    <w:bookmarkStart w:id="56" w:name="ref-keeling_increased_1996"/>
    <w:p>
      <w:pPr>
        <w:pStyle w:val="Bibliography"/>
      </w:pPr>
      <w:r>
        <w:t xml:space="preserve">5.</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6.</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7.</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8.</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9.</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10.</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11.</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 times and decay rates of downed woody debris biomass/carbon in eastern</w:t>
      </w:r>
      <w:r>
        <w:t xml:space="preserve"> </w:t>
      </w:r>
      <w:r>
        <w:t xml:space="preserve">US</w:t>
      </w:r>
      <w:r>
        <w:t xml:space="preserve"> </w:t>
      </w:r>
      <w:r>
        <w:t xml:space="preserve">forests.</w:t>
      </w:r>
      <w:r>
        <w:t xml:space="preserve"> </w:t>
      </w:r>
      <w:r>
        <w:rPr>
          <w:iCs/>
          <w:i/>
        </w:rPr>
        <w:t xml:space="preserve">Ecosystems</w:t>
      </w:r>
      <w:r>
        <w:t xml:space="preserve"> </w:t>
      </w:r>
      <w:r>
        <w:rPr>
          <w:bCs/>
          <w:b/>
        </w:rPr>
        <w:t xml:space="preserve">17</w:t>
      </w:r>
      <w:r>
        <w:t xml:space="preserve">, 765–777 (2014).</w:t>
      </w:r>
    </w:p>
    <w:bookmarkEnd w:id="64"/>
    <w:bookmarkStart w:id="65" w:name="ref-richardson_terrestrial_2012"/>
    <w:p>
      <w:pPr>
        <w:pStyle w:val="Bibliography"/>
      </w:pPr>
      <w:r>
        <w:t xml:space="preserve">14.</w:t>
      </w:r>
      <w:r>
        <w:t xml:space="preserve"> </w:t>
      </w:r>
      <w:r>
        <w:t xml:space="preserve">	</w:t>
      </w:r>
      <w:r>
        <w:t xml:space="preserve">Richardson, A. D.</w:t>
      </w:r>
      <w:r>
        <w:t xml:space="preserve"> </w:t>
      </w:r>
      <w:r>
        <w:rPr>
          <w:iCs/>
          <w:i/>
        </w:rPr>
        <w:t xml:space="preserve">et al.</w:t>
      </w:r>
      <w:r>
        <w:t xml:space="preserve"> Terrestrial biosphere models need better representation of vegetation phenology: Results from the</w:t>
      </w:r>
      <w:r>
        <w:t xml:space="preserve"> </w:t>
      </w:r>
      <w:r>
        <w:t xml:space="preserve">North American Carbon Program Site Synthesis</w:t>
      </w:r>
      <w:r>
        <w:t xml:space="preserve">.</w:t>
      </w:r>
      <w:r>
        <w:t xml:space="preserve"> </w:t>
      </w:r>
      <w:r>
        <w:rPr>
          <w:iCs/>
          <w:i/>
        </w:rPr>
        <w:t xml:space="preserve">Global Change Biology</w:t>
      </w:r>
      <w:r>
        <w:t xml:space="preserve"> </w:t>
      </w:r>
      <w:r>
        <w:rPr>
          <w:bCs/>
          <w:b/>
        </w:rPr>
        <w:t xml:space="preserve">18</w:t>
      </w:r>
      <w:r>
        <w:t xml:space="preserve">, 566–584 (2012).</w:t>
      </w:r>
    </w:p>
    <w:bookmarkEnd w:id="65"/>
    <w:bookmarkStart w:id="67" w:name="ref-harris_global_2021"/>
    <w:p>
      <w:pPr>
        <w:pStyle w:val="Bibliography"/>
      </w:pPr>
      <w:r>
        <w:t xml:space="preserve">15.</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6">
        <w:r>
          <w:rPr>
            <w:rStyle w:val="Hyperlink"/>
          </w:rPr>
          <w:t xml:space="preserve">10.1038/s41558-020-00976-6</w:t>
        </w:r>
      </w:hyperlink>
      <w:r>
        <w:t xml:space="preserve">.</w:t>
      </w:r>
    </w:p>
    <w:bookmarkEnd w:id="67"/>
    <w:bookmarkStart w:id="68" w:name="ref-pugh_role_2019"/>
    <w:p>
      <w:pPr>
        <w:pStyle w:val="Bibliography"/>
      </w:pPr>
      <w:r>
        <w:t xml:space="preserve">16.</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8"/>
    <w:bookmarkStart w:id="69" w:name="ref-ahlstrom_robustness_2012"/>
    <w:p>
      <w:pPr>
        <w:pStyle w:val="Bibliography"/>
      </w:pPr>
      <w:r>
        <w:t xml:space="preserve">17.</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9"/>
    <w:bookmarkStart w:id="70" w:name="ref-friedlingstein_global_2020"/>
    <w:p>
      <w:pPr>
        <w:pStyle w:val="Bibliography"/>
      </w:pPr>
      <w:r>
        <w:t xml:space="preserve">18.</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0"/>
    <w:bookmarkStart w:id="71" w:name="ref-fatichi_moving_2014"/>
    <w:p>
      <w:pPr>
        <w:pStyle w:val="Bibliography"/>
      </w:pPr>
      <w:r>
        <w:t xml:space="preserve">19.</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1"/>
    <w:bookmarkStart w:id="72" w:name="ref-lu_no_2022"/>
    <w:p>
      <w:pPr>
        <w:pStyle w:val="Bibliography"/>
      </w:pPr>
      <w:r>
        <w:t xml:space="preserve">20.</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28</w:t>
      </w:r>
      <w:r>
        <w:t xml:space="preserve">, 3083–3093 (2022).</w:t>
      </w:r>
    </w:p>
    <w:bookmarkEnd w:id="72"/>
    <w:bookmarkStart w:id="73" w:name="ref-jiang_fate_2020"/>
    <w:p>
      <w:pPr>
        <w:pStyle w:val="Bibliography"/>
      </w:pPr>
      <w:r>
        <w:t xml:space="preserve">21.</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73"/>
    <w:bookmarkStart w:id="74" w:name="ref-oishi_warmer_2018"/>
    <w:p>
      <w:pPr>
        <w:pStyle w:val="Bibliography"/>
      </w:pPr>
      <w:r>
        <w:t xml:space="preserve">22.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4"/>
    <w:bookmarkStart w:id="75" w:name="ref-delpierre_wood_2016"/>
    <w:p>
      <w:pPr>
        <w:pStyle w:val="Bibliography"/>
      </w:pPr>
      <w:r>
        <w:t xml:space="preserve">23.</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5"/>
    <w:bookmarkStart w:id="76" w:name="ref-huang_photoperiod_2020"/>
    <w:p>
      <w:pPr>
        <w:pStyle w:val="Bibliography"/>
      </w:pPr>
      <w:r>
        <w:t xml:space="preserve">24.</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6"/>
    <w:bookmarkStart w:id="77" w:name="ref-rossi_critical_2008"/>
    <w:p>
      <w:pPr>
        <w:pStyle w:val="Bibliography"/>
      </w:pPr>
      <w:r>
        <w:t xml:space="preserve">25.</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babst_twentieth_2019"/>
    <w:p>
      <w:pPr>
        <w:pStyle w:val="Bibliography"/>
      </w:pPr>
      <w:r>
        <w:t xml:space="preserve">26.</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80" w:name="ref-gao_earlier_2022"/>
    <w:p>
      <w:pPr>
        <w:pStyle w:val="Bibliography"/>
      </w:pPr>
      <w:r>
        <w:t xml:space="preserve">27.</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79">
        <w:r>
          <w:rPr>
            <w:rStyle w:val="Hyperlink"/>
          </w:rPr>
          <w:t xml:space="preserve">10.1038/s41559-022-01668-4</w:t>
        </w:r>
      </w:hyperlink>
      <w:r>
        <w:t xml:space="preserve">.</w:t>
      </w:r>
    </w:p>
    <w:bookmarkEnd w:id="80"/>
    <w:bookmarkStart w:id="81" w:name="ref-zweifel_why_2021"/>
    <w:p>
      <w:pPr>
        <w:pStyle w:val="Bibliography"/>
      </w:pPr>
      <w:r>
        <w:t xml:space="preserve">28.</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1"/>
    <w:bookmarkStart w:id="82" w:name="ref-tumajer_limitation_2022"/>
    <w:p>
      <w:pPr>
        <w:pStyle w:val="Bibliography"/>
      </w:pPr>
      <w:r>
        <w:t xml:space="preserve">29.</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233</w:t>
      </w:r>
      <w:r>
        <w:t xml:space="preserve">, 2429–2441 (2022).</w:t>
      </w:r>
    </w:p>
    <w:bookmarkEnd w:id="82"/>
    <w:bookmarkStart w:id="83" w:name="ref-etzold_number_2022"/>
    <w:p>
      <w:pPr>
        <w:pStyle w:val="Bibliography"/>
      </w:pPr>
      <w:r>
        <w:t xml:space="preserve">30.</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 (2022).</w:t>
      </w:r>
    </w:p>
    <w:bookmarkEnd w:id="83"/>
    <w:bookmarkStart w:id="84" w:name="ref-zani_increased_2020"/>
    <w:p>
      <w:pPr>
        <w:pStyle w:val="Bibliography"/>
      </w:pPr>
      <w:r>
        <w:t xml:space="preserve">31.</w:t>
      </w:r>
      <w:r>
        <w:t xml:space="preserve"> </w:t>
      </w:r>
      <w:r>
        <w:t xml:space="preserve">	</w:t>
      </w:r>
      <w:r>
        <w:t xml:space="preserve">Zani, D., Crowther, T. W., Mo, L., Renner, S. S. &amp; Zohner, C. M. Increased growing-season productivity drives earlier autumn leaf senescence in temperate trees.</w:t>
      </w:r>
      <w:r>
        <w:t xml:space="preserve"> </w:t>
      </w:r>
      <w:r>
        <w:rPr>
          <w:iCs/>
          <w:i/>
        </w:rPr>
        <w:t xml:space="preserve">Science</w:t>
      </w:r>
      <w:r>
        <w:t xml:space="preserve"> </w:t>
      </w:r>
      <w:r>
        <w:rPr>
          <w:bCs/>
          <w:b/>
        </w:rPr>
        <w:t xml:space="preserve">370</w:t>
      </w:r>
      <w:r>
        <w:t xml:space="preserve">, 1066–1071 (2020).</w:t>
      </w:r>
    </w:p>
    <w:bookmarkEnd w:id="84"/>
    <w:bookmarkStart w:id="85" w:name="ref-zohner_how_2021"/>
    <w:p>
      <w:pPr>
        <w:pStyle w:val="Bibliography"/>
      </w:pPr>
      <w:r>
        <w:t xml:space="preserve">32.</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33.</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34.</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35.</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89" w:name="ref-dorangeville_peak_2022"/>
    <w:p>
      <w:pPr>
        <w:pStyle w:val="Bibliography"/>
      </w:pPr>
      <w:r>
        <w:t xml:space="preserve">36.</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rPr>
          <w:bCs/>
          <w:b/>
        </w:rPr>
        <w:t xml:space="preserve">42</w:t>
      </w:r>
      <w:r>
        <w:t xml:space="preserve">, 304–316 (2022).</w:t>
      </w:r>
    </w:p>
    <w:bookmarkEnd w:id="89"/>
    <w:bookmarkStart w:id="90" w:name="ref-richardson_seasonal_2013"/>
    <w:p>
      <w:pPr>
        <w:pStyle w:val="Bibliography"/>
      </w:pPr>
      <w:r>
        <w:t xml:space="preserve">37.</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0"/>
    <w:bookmarkStart w:id="91" w:name="ref-elmore_earlier_2016"/>
    <w:p>
      <w:pPr>
        <w:pStyle w:val="Bibliography"/>
      </w:pPr>
      <w:r>
        <w:t xml:space="preserve">38.</w:t>
      </w:r>
      <w:r>
        <w:t xml:space="preserve"> </w:t>
      </w:r>
      <w:r>
        <w:t xml:space="preserve">	</w:t>
      </w:r>
      <w:r>
        <w:t xml:space="preserve">Elmore, A. J., Nelson, D. M. &amp; Craine, J. M. Earlier springs are causing reduced nitrogen availability in</w:t>
      </w:r>
      <w:r>
        <w:t xml:space="preserve"> </w:t>
      </w:r>
      <w:r>
        <w:t xml:space="preserve">North American</w:t>
      </w:r>
      <w:r>
        <w:t xml:space="preserve"> </w:t>
      </w:r>
      <w:r>
        <w:t xml:space="preserve">eastern deciduous forests.</w:t>
      </w:r>
      <w:r>
        <w:t xml:space="preserve"> </w:t>
      </w:r>
      <w:r>
        <w:rPr>
          <w:iCs/>
          <w:i/>
        </w:rPr>
        <w:t xml:space="preserve">Nature Plants</w:t>
      </w:r>
      <w:r>
        <w:t xml:space="preserve"> </w:t>
      </w:r>
      <w:r>
        <w:rPr>
          <w:bCs/>
          <w:b/>
        </w:rPr>
        <w:t xml:space="preserve">2</w:t>
      </w:r>
      <w:r>
        <w:t xml:space="preserve">, 16133 (2016).</w:t>
      </w:r>
    </w:p>
    <w:bookmarkEnd w:id="91"/>
    <w:bookmarkStart w:id="92" w:name="ref-cuny_woody_2015"/>
    <w:p>
      <w:pPr>
        <w:pStyle w:val="Bibliography"/>
      </w:pPr>
      <w:r>
        <w:t xml:space="preserve">39.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2"/>
    <w:bookmarkStart w:id="93" w:name="ref-tardif_influence_2006"/>
    <w:p>
      <w:pPr>
        <w:pStyle w:val="Bibliography"/>
      </w:pPr>
      <w:r>
        <w:t xml:space="preserve">40.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3"/>
    <w:bookmarkStart w:id="94" w:name="ref-roibu_climatic_2020"/>
    <w:p>
      <w:pPr>
        <w:pStyle w:val="Bibliography"/>
      </w:pPr>
      <w:r>
        <w:t xml:space="preserve">41.</w:t>
      </w:r>
      <w:r>
        <w:t xml:space="preserve"> </w:t>
      </w:r>
      <w:r>
        <w:t xml:space="preserve">	</w:t>
      </w:r>
      <w:r>
        <w:t xml:space="preserve">Roibu, C.-C.</w:t>
      </w:r>
      <w:r>
        <w:t xml:space="preserve"> </w:t>
      </w:r>
      <w:r>
        <w:rPr>
          <w:iCs/>
          <w:i/>
        </w:rPr>
        <w:t xml:space="preserve">et al.</w:t>
      </w:r>
      <w:r>
        <w:t xml:space="preserve"> The climatic response of tree ring width components of ash (</w:t>
      </w:r>
      <w:r>
        <w:t xml:space="preserve">Fraxinus</w:t>
      </w:r>
      <w:r>
        <w:t xml:space="preserve"> </w:t>
      </w:r>
      <w:r>
        <w:t xml:space="preserve">excelsior</w:t>
      </w:r>
      <w:r>
        <w:t xml:space="preserve"> </w:t>
      </w:r>
      <w:r>
        <w:t xml:space="preserve">L</w:t>
      </w:r>
      <w:r>
        <w:t xml:space="preserve">.) And common oak (</w:t>
      </w:r>
      <w:r>
        <w:t xml:space="preserve">Quercus</w:t>
      </w:r>
      <w:r>
        <w:t xml:space="preserve"> </w:t>
      </w:r>
      <w:r>
        <w:t xml:space="preserve">robur</w:t>
      </w:r>
      <w:r>
        <w:t xml:space="preserve"> </w:t>
      </w:r>
      <w:r>
        <w:t xml:space="preserve">L</w:t>
      </w:r>
      <w:r>
        <w:t xml:space="preserve">.) From eastern</w:t>
      </w:r>
      <w:r>
        <w:t xml:space="preserve"> </w:t>
      </w:r>
      <w:r>
        <w:t xml:space="preserve">Europe</w:t>
      </w:r>
      <w:r>
        <w:t xml:space="preserve">.</w:t>
      </w:r>
      <w:r>
        <w:t xml:space="preserve"> </w:t>
      </w:r>
      <w:r>
        <w:rPr>
          <w:iCs/>
          <w:i/>
        </w:rPr>
        <w:t xml:space="preserve">Forests</w:t>
      </w:r>
      <w:r>
        <w:t xml:space="preserve"> </w:t>
      </w:r>
      <w:r>
        <w:rPr>
          <w:bCs/>
          <w:b/>
        </w:rPr>
        <w:t xml:space="preserve">11</w:t>
      </w:r>
      <w:r>
        <w:t xml:space="preserve">, 600 (2020).</w:t>
      </w:r>
    </w:p>
    <w:bookmarkEnd w:id="94"/>
    <w:bookmarkStart w:id="95" w:name="ref-kern_multiple_2013"/>
    <w:p>
      <w:pPr>
        <w:pStyle w:val="Bibliography"/>
      </w:pPr>
      <w:r>
        <w:t xml:space="preserve">42.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5"/>
    <w:bookmarkStart w:id="96" w:name="ref-trumbore_quantifying_2002"/>
    <w:p>
      <w:pPr>
        <w:pStyle w:val="Bibliography"/>
      </w:pPr>
      <w:r>
        <w:t xml:space="preserve">43.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96"/>
    <w:bookmarkStart w:id="98" w:name="ref-delgado_differences_2020"/>
    <w:p>
      <w:pPr>
        <w:pStyle w:val="Bibliography"/>
      </w:pPr>
      <w:r>
        <w:t xml:space="preserve">44.</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97">
        <w:r>
          <w:rPr>
            <w:rStyle w:val="Hyperlink"/>
          </w:rPr>
          <w:t xml:space="preserve">10.1073/pnas.2002713117</w:t>
        </w:r>
      </w:hyperlink>
      <w:r>
        <w:t xml:space="preserve">.</w:t>
      </w:r>
    </w:p>
    <w:bookmarkEnd w:id="98"/>
    <w:bookmarkStart w:id="99" w:name="ref-anderson-teixeira_joint_2022"/>
    <w:p>
      <w:pPr>
        <w:pStyle w:val="Bibliography"/>
      </w:pPr>
      <w:r>
        <w:t xml:space="preserve">45.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28</w:t>
      </w:r>
      <w:r>
        <w:t xml:space="preserve">, 245–266 (2022).</w:t>
      </w:r>
    </w:p>
    <w:bookmarkEnd w:id="99"/>
    <w:bookmarkStart w:id="100" w:name="ref-banburymorgan_global_2021"/>
    <w:p>
      <w:pPr>
        <w:pStyle w:val="Bibliography"/>
      </w:pPr>
      <w:r>
        <w:t xml:space="preserve">46.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 (2021).</w:t>
      </w:r>
    </w:p>
    <w:bookmarkEnd w:id="100"/>
    <w:bookmarkStart w:id="101" w:name="ref-churkina_spatial_2005"/>
    <w:p>
      <w:pPr>
        <w:pStyle w:val="Bibliography"/>
      </w:pPr>
      <w:r>
        <w:t xml:space="preserve">47.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48.</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49.</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50.</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51.</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52.</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53.</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54.</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arris_version_2020"/>
    <w:p>
      <w:pPr>
        <w:pStyle w:val="Bibliography"/>
      </w:pPr>
      <w:r>
        <w:t xml:space="preserve">55.</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09"/>
    <w:bookmarkStart w:id="110" w:name="ref-vicente-serrano_multiscalar_2010"/>
    <w:p>
      <w:pPr>
        <w:pStyle w:val="Bibliography"/>
      </w:pPr>
      <w:r>
        <w:t xml:space="preserve">56.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10"/>
    <w:bookmarkStart w:id="111"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1"/>
    <w:bookmarkStart w:id="113"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2">
        <w:r>
          <w:rPr>
            <w:rStyle w:val="Hyperlink"/>
          </w:rPr>
          <w:t xml:space="preserve">10.5067/MODIS/MCD12Q2.006</w:t>
        </w:r>
      </w:hyperlink>
      <w:r>
        <w:t xml:space="preserve">.</w:t>
      </w:r>
    </w:p>
    <w:bookmarkEnd w:id="113"/>
    <w:bookmarkStart w:id="115"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4">
        <w:r>
          <w:rPr>
            <w:rStyle w:val="Hyperlink"/>
          </w:rPr>
          <w:t xml:space="preserve">10.5281/ZENODO.4041609</w:t>
        </w:r>
      </w:hyperlink>
      <w:r>
        <w:t xml:space="preserve">.</w:t>
      </w:r>
    </w:p>
    <w:bookmarkEnd w:id="115"/>
    <w:bookmarkStart w:id="116"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6"/>
    <w:bookmarkStart w:id="118"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7">
        <w:r>
          <w:rPr>
            <w:rStyle w:val="Hyperlink"/>
          </w:rPr>
          <w:t xml:space="preserve">10.6073/PASTA/213335F5DAA17222A738C105B9FA60C4</w:t>
        </w:r>
      </w:hyperlink>
      <w:r>
        <w:t xml:space="preserve">.</w:t>
      </w:r>
    </w:p>
    <w:bookmarkEnd w:id="118"/>
    <w:bookmarkStart w:id="120"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9">
        <w:r>
          <w:rPr>
            <w:rStyle w:val="Hyperlink"/>
          </w:rPr>
          <w:t xml:space="preserve">10.6073/PASTA/69E92642B512897032446CFE795CFFB8</w:t>
        </w:r>
      </w:hyperlink>
      <w:r>
        <w:t xml:space="preserve">.</w:t>
      </w:r>
    </w:p>
    <w:bookmarkEnd w:id="120"/>
    <w:bookmarkStart w:id="121" w:name="ref-begueria_standardized_2014"/>
    <w:p>
      <w:pPr>
        <w:pStyle w:val="Bibliography"/>
      </w:pPr>
      <w:r>
        <w:t xml:space="preserve">63.</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1"/>
    <w:bookmarkStart w:id="122" w:name="ref-vicente-serrano_multiscalar_2010a"/>
    <w:p>
      <w:pPr>
        <w:pStyle w:val="Bibliography"/>
      </w:pPr>
      <w:r>
        <w:t xml:space="preserve">64.</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vandepol_identifying_2016"/>
    <w:p>
      <w:pPr>
        <w:pStyle w:val="Bibliography"/>
      </w:pPr>
      <w:r>
        <w:t xml:space="preserve">65.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66.</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developmentteam_stan_2019"/>
    <w:p>
      <w:pPr>
        <w:pStyle w:val="Bibliography"/>
      </w:pPr>
      <w:r>
        <w:t xml:space="preserve">67.</w:t>
      </w:r>
      <w:r>
        <w:t xml:space="preserve"> </w:t>
      </w:r>
      <w:r>
        <w:t xml:space="preserve">	</w:t>
      </w:r>
      <w:r>
        <w:t xml:space="preserve">Stan Development 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stokes_introduction_1968"/>
    <w:p>
      <w:pPr>
        <w:pStyle w:val="Bibliography"/>
      </w:pPr>
      <w:r>
        <w:t xml:space="preserve">68.</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6"/>
    <w:bookmarkStart w:id="127" w:name="ref-speer_fundamentals_2010"/>
    <w:p>
      <w:pPr>
        <w:pStyle w:val="Bibliography"/>
      </w:pPr>
      <w:r>
        <w:t xml:space="preserve">69.</w:t>
      </w:r>
      <w:r>
        <w:t xml:space="preserve"> </w:t>
      </w:r>
      <w:r>
        <w:t xml:space="preserve">	</w:t>
      </w:r>
      <w:r>
        <w:t xml:space="preserve">Speer, J. H.</w:t>
      </w:r>
      <w:r>
        <w:t xml:space="preserve"> </w:t>
      </w:r>
      <w:r>
        <w:rPr>
          <w:iCs/>
          <w:i/>
        </w:rPr>
        <w:t xml:space="preserve">Fundamentals of tree-ring research</w:t>
      </w:r>
      <w:r>
        <w:t xml:space="preserve">. (</w:t>
      </w:r>
      <w:r>
        <w:t xml:space="preserve">Univ. of Arizona Press</w:t>
      </w:r>
      <w:r>
        <w:t xml:space="preserve">, 2010).</w:t>
      </w:r>
    </w:p>
    <w:bookmarkEnd w:id="127"/>
    <w:bookmarkStart w:id="128"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8"/>
    <w:bookmarkStart w:id="129"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9"/>
    <w:bookmarkStart w:id="130" w:name="ref-pederson_climatic_2005"/>
    <w:p>
      <w:pPr>
        <w:pStyle w:val="Bibliography"/>
      </w:pPr>
      <w:r>
        <w:t xml:space="preserve">72.</w:t>
      </w:r>
      <w:r>
        <w:t xml:space="preserve"> </w:t>
      </w:r>
      <w:r>
        <w:t xml:space="preserve">	</w:t>
      </w:r>
      <w:r>
        <w:t xml:space="preserve">Pederson, N. Climatic sensitivity and growth of southern temperate trees in the eastern</w:t>
      </w:r>
      <w:r>
        <w:t xml:space="preserve"> </w:t>
      </w:r>
      <w:r>
        <w:t xml:space="preserve">United States</w:t>
      </w:r>
      <w:r>
        <w:t xml:space="preserve">:</w:t>
      </w:r>
      <w:r>
        <w:t xml:space="preserve"> </w:t>
      </w:r>
      <w:r>
        <w:t xml:space="preserve">Implications</w:t>
      </w:r>
      <w:r>
        <w:t xml:space="preserve"> </w:t>
      </w:r>
      <w:r>
        <w:t xml:space="preserve">for the carbon cycle -</w:t>
      </w:r>
      <w:r>
        <w:t xml:space="preserve"> </w:t>
      </w:r>
      <w:r>
        <w:t xml:space="preserve">ProQuest</w:t>
      </w:r>
      <w:r>
        <w:t xml:space="preserve">. (Columbia University, 2005).</w:t>
      </w:r>
    </w:p>
    <w:bookmarkEnd w:id="130"/>
    <w:bookmarkStart w:id="131"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1"/>
    <w:bookmarkStart w:id="133" w:name="ref-cook_methods_1990"/>
    <w:p>
      <w:pPr>
        <w:pStyle w:val="Bibliography"/>
      </w:pPr>
      <w:r>
        <w:t xml:space="preserve">74.</w:t>
      </w:r>
      <w:r>
        <w:t xml:space="preserve"> </w:t>
      </w:r>
      <w:r>
        <w:t xml:space="preserve">	</w:t>
      </w:r>
      <w:r>
        <w:t xml:space="preserve">Cook, E. R. &amp; Kairiukstis, L. A.</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2">
        <w:r>
          <w:rPr>
            <w:rStyle w:val="Hyperlink"/>
          </w:rPr>
          <w:t xml:space="preserve">10.1007/978-94-015-7879-0</w:t>
        </w:r>
      </w:hyperlink>
      <w:r>
        <w:t xml:space="preserve">.</w:t>
      </w:r>
    </w:p>
    <w:bookmarkEnd w:id="133"/>
    <w:bookmarkStart w:id="134"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(University of Arizona, 1985).</w:t>
      </w:r>
    </w:p>
    <w:bookmarkEnd w:id="134"/>
    <w:bookmarkStart w:id="135"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5"/>
    <w:bookmarkStart w:id="136"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6"/>
    <w:bookmarkStart w:id="137" w:name="ref-rcoreteam_language_2020"/>
    <w:p>
      <w:pPr>
        <w:pStyle w:val="Bibliography"/>
      </w:pPr>
      <w:r>
        <w:t xml:space="preserve">78.</w:t>
      </w:r>
      <w:r>
        <w:t xml:space="preserve"> </w:t>
      </w:r>
      <w:r>
        <w:t xml:space="preserve">	</w:t>
      </w:r>
      <w:r>
        <w:t xml:space="preserve">R Core Team.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r>
        <w:t xml:space="preserve"> (2020).</w:t>
      </w:r>
    </w:p>
    <w:bookmarkEnd w:id="137"/>
    <w:bookmarkStart w:id="138"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8"/>
    <w:bookmarkStart w:id="139"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9"/>
    <w:bookmarkEnd w:id="140"/>
    <w:bookmarkEnd w:id="141"/>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web/packages/climwin/index.html" TargetMode="External" /><Relationship Type="http://schemas.openxmlformats.org/officeDocument/2006/relationships/hyperlink" Id="rId44" Target="https://developers.google.com/earth-engine/datasets/catalog/MODIS_006_MCD12Q2#description" TargetMode="External" /><Relationship Type="http://schemas.openxmlformats.org/officeDocument/2006/relationships/hyperlink" Id="rId132" Target="https://doi.org/10.1007/978-94-015-7879-0" TargetMode="External" /><Relationship Type="http://schemas.openxmlformats.org/officeDocument/2006/relationships/hyperlink" Id="rId66" Target="https://doi.org/10.1038/s41558-020-00976-6" TargetMode="External" /><Relationship Type="http://schemas.openxmlformats.org/officeDocument/2006/relationships/hyperlink" Id="rId79" Target="https://doi.org/10.1038/s41559-022-01668-4" TargetMode="External" /><Relationship Type="http://schemas.openxmlformats.org/officeDocument/2006/relationships/hyperlink" Id="rId97" Target="https://doi.org/10.1073/pnas.2002713117" TargetMode="External" /><Relationship Type="http://schemas.openxmlformats.org/officeDocument/2006/relationships/hyperlink" Id="rId112" Target="https://doi.org/10.5067/MODIS/MCD12Q2.006" TargetMode="External" /><Relationship Type="http://schemas.openxmlformats.org/officeDocument/2006/relationships/hyperlink" Id="rId114" Target="https://doi.org/10.5281/ZENODO.4041609" TargetMode="External" /><Relationship Type="http://schemas.openxmlformats.org/officeDocument/2006/relationships/hyperlink" Id="rId117" Target="https://doi.org/10.6073/PASTA/213335F5DAA17222A738C105B9FA60C4" TargetMode="External" /><Relationship Type="http://schemas.openxmlformats.org/officeDocument/2006/relationships/hyperlink" Id="rId119" Target="https://doi.org/10.6073/PASTA/69E92642B512897032446CFE795CFFB8" TargetMode="External" /><Relationship Type="http://schemas.openxmlformats.org/officeDocument/2006/relationships/hyperlink" Id="rId28" Target="https://forestgeo.github.io/Climate/" TargetMode="External" /><Relationship Type="http://schemas.openxmlformats.org/officeDocument/2006/relationships/hyperlink" Id="rId36" Target="https://github.com/EcoClimLab/growth_phenology" TargetMode="External" /><Relationship Type="http://schemas.openxmlformats.org/officeDocument/2006/relationships/hyperlink" Id="rId37" Target="https://github.com/SCBI-ForestGEO/Dendrobands" TargetMode="External" /><Relationship Type="http://schemas.openxmlformats.org/officeDocument/2006/relationships/hyperlink" Id="rId42" Target="https://github.com/forestgeo/Climate/tree/master/Climate_Data/CRU" TargetMode="External" /><Relationship Type="http://schemas.openxmlformats.org/officeDocument/2006/relationships/hyperlink" Id="rId39" Target="https://github.com/forestgeo/Climate/tree/master/Climate_Data/Met_Stations/SCBI" TargetMode="External" /><Relationship Type="http://schemas.openxmlformats.org/officeDocument/2006/relationships/hyperlink" Id="rId43" Target="https://github.com/forestgeo/Climate/tree/master/Climate_Data/SPEI" TargetMode="External" /><Relationship Type="http://schemas.openxmlformats.org/officeDocument/2006/relationships/hyperlink" Id="rId50" Target="https://github.com/seanmcm/RDendrom/" TargetMode="External" /><Relationship Type="http://schemas.openxmlformats.org/officeDocument/2006/relationships/hyperlink" Id="rId47" Target="https://harvardforest.fas.harvard.edu/harvard-forest-data-archive" TargetMode="External" /><Relationship Type="http://schemas.openxmlformats.org/officeDocument/2006/relationships/hyperlink" Id="rId41" Target="https://harvardforest1.fas.harvard.edu/exist/apps/datasets/showData.html?id=HF000" TargetMode="External" /><Relationship Type="http://schemas.openxmlformats.org/officeDocument/2006/relationships/hyperlink" Id="rId40" Target="https://harvardforest1.fas.harvard.edu/exist/apps/datasets/showData.html?id=HF001" TargetMode="External" /><Relationship Type="http://schemas.openxmlformats.org/officeDocument/2006/relationships/hyperlink" Id="rId38" Target="https://harvardforest1.fas.harvard.edu/exist/apps/datasets/showData.html?id=HF149" TargetMode="External" /><Relationship Type="http://schemas.openxmlformats.org/officeDocument/2006/relationships/hyperlink" Id="rId29" Target="https://www.ncdc.noaa.gov/cdo-web/datasets/GHCND/stations/GHCND:USC00443229/detail" TargetMode="External" /><Relationship Type="http://schemas.openxmlformats.org/officeDocument/2006/relationships/hyperlink" Id="rId45" Target="https://www.ncei.noaa.gov/products/paleoclimatology/tree-ring" TargetMode="External" /><Relationship Type="http://schemas.openxmlformats.org/officeDocument/2006/relationships/hyperlink" Id="rId46" Target="https://www.uvm.edu/femc/dendro/"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2022-04-27T15:51:02Z</dcterms:created>
  <dcterms:modified xsi:type="dcterms:W3CDTF">2022-04-27T15:51:02Z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