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5.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Statistical &amp; Data Sciences; Smith College; Northampton, MA 01063, USA</w:t>
      </w:r>
    </w:p>
    <w:p>
      <w:pPr>
        <w:numPr>
          <w:numId w:val="1001"/>
          <w:ilvl w:val="0"/>
        </w:numPr>
      </w:pPr>
      <w:r>
        <w:t xml:space="preserve">Harvard Forest, Petersham, MA 01366, USA</w:t>
      </w:r>
    </w:p>
    <w:p>
      <w:pPr>
        <w:numPr>
          <w:numId w:val="1001"/>
          <w:ilvl w:val="0"/>
        </w:numPr>
      </w:pPr>
      <w:r>
        <w:t xml:space="preserve">Faculty of Forestry and Environmental Management, University of New Brunswick, Fredericton, NB, E3B 5A3, Canada.</w:t>
      </w:r>
    </w:p>
    <w:p>
      <w:pPr>
        <w:numPr>
          <w:numId w:val="1001"/>
          <w:ilvl w:val="0"/>
        </w:numPr>
      </w:pPr>
      <w:r>
        <w:t xml:space="preserve">Department of Geography &amp; Geological Sciences, University of Idaho, ID 83844, USA</w:t>
      </w:r>
    </w:p>
    <w:p>
      <w:pPr>
        <w:numPr>
          <w:numId w:val="1001"/>
          <w:ilvl w:val="0"/>
        </w:numPr>
      </w:pPr>
      <w:r>
        <w:t xml:space="preserve">Department of Geography, Indiana University, Bloomington, IN 47405, USA</w:t>
      </w:r>
    </w:p>
    <w:p>
      <w:pPr>
        <w:numPr>
          <w:numId w:val="1001"/>
          <w:ilvl w:val="0"/>
        </w:numPr>
      </w:pPr>
      <w:r>
        <w:t xml:space="preserve">Center for Geospatial Analytics; North Carolina State University; Raleigh, NC 27607, USA</w:t>
      </w:r>
    </w:p>
    <w:p>
      <w:pPr>
        <w:numPr>
          <w:numId w:val="1001"/>
          <w:ilvl w:val="0"/>
        </w:numPr>
      </w:pPr>
      <w:r>
        <w:t xml:space="preserve">Smithsonian Environmental Research Center, Edgewater, MD, USA</w:t>
      </w:r>
    </w:p>
    <w:p>
      <w:pPr>
        <w:numPr>
          <w:numId w:val="1001"/>
          <w:ilvl w:val="0"/>
        </w:numPr>
      </w:pPr>
      <w:r>
        <w:t xml:space="preserve">Canadian Forest Service, Northern Forestry Centre, Edmonton, Alberta, Canada</w:t>
      </w:r>
    </w:p>
    <w:p>
      <w:pPr>
        <w:numPr>
          <w:numId w:val="1001"/>
          <w:ilvl w:val="0"/>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
        </w:rPr>
        <w:t xml:space="preserve">As the climate changes, warmer spring temperatures are causing earlier leaf-out</w:t>
      </w:r>
      <w:r>
        <w:rPr>
          <w:vertAlign w:val="superscript"/>
          <w:b/>
        </w:rPr>
        <w:t xml:space="preserve">1–6</w:t>
      </w:r>
      <w:r>
        <w:rPr>
          <w:b/>
        </w:rPr>
        <w:t xml:space="preserve"> </w:t>
      </w:r>
      <w:r>
        <w:rPr>
          <w:b/>
        </w:rPr>
        <w:t xml:space="preserve">and commencement of net carbon dioxide (CO</w:t>
      </w:r>
      <w:r>
        <w:rPr>
          <w:vertAlign w:val="subscript"/>
          <w:b/>
        </w:rPr>
        <w:t xml:space="preserve">2</w:t>
      </w:r>
      <w:r>
        <w:rPr>
          <w:b/>
        </w:rPr>
        <w:t xml:space="preserve">) sequestration</w:t>
      </w:r>
      <w:r>
        <w:rPr>
          <w:vertAlign w:val="superscript"/>
          <w:b/>
        </w:rPr>
        <w:t xml:space="preserve">2,4</w:t>
      </w:r>
      <w:r>
        <w:rPr>
          <w:b/>
        </w:rPr>
        <w:t xml:space="preserve"> </w:t>
      </w:r>
      <w:r>
        <w:rPr>
          <w:b/>
        </w:rPr>
        <w:t xml:space="preserve">in temperate deciduous forests, resulting in a tendency towards increased growing season length</w:t>
      </w:r>
      <w:r>
        <w:rPr>
          <w:vertAlign w:val="superscript"/>
          <w:b/>
        </w:rPr>
        <w:t xml:space="preserve">1,4,5,7–9</w:t>
      </w:r>
      <w:r>
        <w:rPr>
          <w:b/>
        </w:rPr>
        <w:t xml:space="preserve"> </w:t>
      </w:r>
      <w:r>
        <w:rPr>
          <w:b/>
        </w:rPr>
        <w:t xml:space="preserve">and annual CO</w:t>
      </w:r>
      <w:r>
        <w:rPr>
          <w:vertAlign w:val="subscript"/>
          <w:b/>
        </w:rPr>
        <w:t xml:space="preserve">2</w:t>
      </w:r>
      <w:r>
        <w:rPr>
          <w:b/>
        </w:rPr>
        <w:t xml:space="preserve"> </w:t>
      </w:r>
      <w:r>
        <w:rPr>
          <w:b/>
        </w:rPr>
        <w:t xml:space="preserve">uptake</w:t>
      </w:r>
      <w:r>
        <w:rPr>
          <w:vertAlign w:val="superscript"/>
          <w:b/>
        </w:rPr>
        <w:t xml:space="preserve">2,4,10–14</w:t>
      </w:r>
      <w:r>
        <w:rPr>
          <w:b/>
        </w:rPr>
        <w:t xml:space="preserve">.</w:t>
      </w:r>
      <w:r>
        <w:t xml:space="preserve"> </w:t>
      </w:r>
      <w:r>
        <w:rPr>
          <w:b/>
        </w:rPr>
        <w:t xml:space="preserve">However, less is known about how spring temperatures affect tree stem growth, which sequesters carbon (C) in wood that has a long residence time in the ecosystem</w:t>
      </w:r>
      <w:r>
        <w:rPr>
          <w:vertAlign w:val="superscript"/>
          <w:b/>
        </w:rPr>
        <w:t xml:space="preserve">15,16</w:t>
      </w:r>
      <w:r>
        <w:rPr>
          <w:b/>
        </w:rPr>
        <w:t xml:space="preserve">.</w:t>
      </w:r>
      <w:r>
        <w:t xml:space="preserve"> </w:t>
      </w:r>
      <w:r>
        <w:rPr>
          <w:b/>
        </w:rPr>
        <w:t xml:space="preserve">Using dendrometer band measurements from 463 trees across two forests, we show that warmer spring temperatures shifted the woody growth of deciduous trees earlier but had no consistent effect on peak growing season length, maximum daily growth rates, or annual growth.</w:t>
      </w:r>
      <w:r>
        <w:t xml:space="preserve"> </w:t>
      </w:r>
      <w:r>
        <w:rPr>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
        </w:rPr>
        <w:t xml:space="preserve">These findings imply that extra CO</w:t>
      </w:r>
      <w:r>
        <w:rPr>
          <w:vertAlign w:val="subscript"/>
          <w:b/>
        </w:rPr>
        <w:t xml:space="preserve">2</w:t>
      </w:r>
      <w:r>
        <w:rPr>
          <w:b/>
        </w:rPr>
        <w:t xml:space="preserve"> </w:t>
      </w:r>
      <w:r>
        <w:rPr>
          <w:b/>
        </w:rPr>
        <w:t xml:space="preserve">uptake in years with warmer springs</w:t>
      </w:r>
      <w:r>
        <w:rPr>
          <w:vertAlign w:val="superscript"/>
          <w:b/>
        </w:rPr>
        <w:t xml:space="preserve">10–12</w:t>
      </w:r>
      <w:r>
        <w:rPr>
          <w:b/>
        </w:rPr>
        <w:t xml:space="preserve"> </w:t>
      </w:r>
      <w:r>
        <w:rPr>
          <w:b/>
        </w:rPr>
        <w:t xml:space="preserve">is not allocated to long-lived woody biomass, where it could have a substantial and lasting impact on the forest C balance.</w:t>
      </w:r>
      <w:r>
        <w:rPr>
          <w:b/>
        </w:rPr>
        <w:t xml:space="preserve"> </w:t>
      </w:r>
      <w:r>
        <w:t xml:space="preserve"> </w:t>
      </w:r>
      <w:r>
        <w:rPr>
          <w:b/>
        </w:rPr>
        <w:t xml:space="preserve">Rather, contradicting current projections from global C cycle models</w:t>
      </w:r>
      <w:r>
        <w:rPr>
          <w:vertAlign w:val="superscript"/>
          <w:b/>
        </w:rPr>
        <w:t xml:space="preserve">2,3,17,18</w:t>
      </w:r>
      <w:r>
        <w:rPr>
          <w:b/>
        </w:rPr>
        <w:t xml:space="preserve">, our empirical results imply that warming spring temperatures are unlikely to increase the woody productivity or strengthen the CO</w:t>
      </w:r>
      <w:r>
        <w:rPr>
          <w:vertAlign w:val="subscript"/>
          <w:b/>
        </w:rPr>
        <w:t xml:space="preserve">2</w:t>
      </w:r>
      <w:r>
        <w:rPr>
          <w:b/>
        </w:rPr>
        <w:t xml:space="preserve"> </w:t>
      </w:r>
      <w:r>
        <w:rPr>
          <w:b/>
        </w:rPr>
        <w:t xml:space="preserve">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19,20</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21</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20,22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CO</w:t>
      </w:r>
      <w:r>
        <w:rPr>
          <w:vertAlign w:val="subscript"/>
        </w:rPr>
        <w:t xml:space="preserve">2</w:t>
      </w:r>
      <w:r>
        <w:t xml:space="preserve"> </w:t>
      </w:r>
      <w:r>
        <w:t xml:space="preserve">uptake (i.e., net ecosystem exchange,</w:t>
      </w:r>
      <w:r>
        <w:t xml:space="preserve"> </w:t>
      </w:r>
      <w:r>
        <w:rPr>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productivity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forest CO</w:t>
      </w:r>
      <w:r>
        <w:rPr>
          <w:vertAlign w:val="subscript"/>
        </w:rPr>
        <w:t xml:space="preserve">2</w:t>
      </w:r>
      <w:r>
        <w:t xml:space="preserve"> </w:t>
      </w:r>
      <w:r>
        <w:t xml:space="preserve">sequestration.</w:t>
      </w:r>
    </w:p>
    <w:p>
      <w:pPr>
        <w:pStyle w:val="BodyText"/>
      </w:pPr>
      <w:r>
        <w:t xml:space="preserve">While the responses of leaf phenology and seasonal</w:t>
      </w:r>
      <w:r>
        <w:t xml:space="preserve"> </w:t>
      </w:r>
      <w:r>
        <w:rPr>
          <w:i/>
        </w:rPr>
        <w:t xml:space="preserve">NEE</w:t>
      </w:r>
      <w:r>
        <w:t xml:space="preserve"> </w:t>
      </w:r>
      <w:r>
        <w:t xml:space="preserve">to warming spring temperatures have been relatively well-studied</w:t>
      </w:r>
      <w:r>
        <w:rPr>
          <w:vertAlign w:val="superscript"/>
        </w:rPr>
        <w:t xml:space="preserve">1–4,7–9</w:t>
      </w:r>
      <w:r>
        <w:t xml:space="preserve">, very little is known about how the longest-lived component of fixed C in trees, the woody growth, is responding to warming spring temperatures.</w:t>
      </w:r>
      <w:r>
        <w:t xml:space="preserve"> </w:t>
      </w:r>
      <w:r>
        <w:t xml:space="preserve">In fact, we are aware of only one study that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across eastern North America.</w:t>
      </w:r>
      <w:r>
        <w:t xml:space="preserve"> </w:t>
      </w:r>
      <w:r>
        <w:t xml:space="preserve">To test whether warmer springs extend the period of stem growth, we used dendrometer band measurements on 463 trees across two mid-latitude forests.</w:t>
      </w:r>
      <w:r>
        <w:t xml:space="preserve"> </w:t>
      </w:r>
      <w:r>
        <w:t xml:space="preserve">To test whether spring temperatures consistently increased annual growth, we analyzed 207 tree-ring chronologies from 108 forests.</w:t>
      </w:r>
    </w:p>
    <w:p>
      <w:pPr>
        <w:pStyle w:val="Heading2"/>
      </w:pPr>
      <w:bookmarkStart w:id="21" w:name="Dendrometer"/>
      <w:r>
        <w:t xml:space="preserve">Dendrometer band analysis</w:t>
      </w:r>
      <w:bookmarkEnd w:id="21"/>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2"/>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less than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3"/>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w:t>
      </w:r>
      <w:r>
        <w:t xml:space="preserve"> </w:t>
      </w:r>
      <w:r>
        <w:t xml:space="preserve">Consistent with findings from previous studies</w:t>
      </w:r>
      <w:r>
        <w:rPr>
          <w:vertAlign w:val="superscript"/>
        </w:rPr>
        <w:t xml:space="preserve">29</w:t>
      </w:r>
      <w:r>
        <w:t xml:space="preserve">, leaf phenological milestones advanced at both sites (Fig. 2a-b, Extended Data Table 2), with greenup (DOY when EVI2 first crossed 15% of the segment EVI2 amplitude) advancing 4.5 days/</w:t>
      </w:r>
      <m:oMath>
        <m:sSup>
          <m:e>
            <m:r>
              <m:t>​</m:t>
            </m:r>
          </m:e>
          <m:sup>
            <m:r>
              <m:t>∘</m:t>
            </m:r>
          </m:sup>
        </m:sSup>
      </m:oMath>
      <w:r>
        <w:t xml:space="preserve">C at SCBI (p=0.001) and 2.4 days/</w:t>
      </w:r>
      <w:r>
        <w:t xml:space="preserve"> </w:t>
      </w:r>
      <m:oMath>
        <m:sSup>
          <m:e>
            <m:r>
              <m:t>​</m:t>
            </m:r>
          </m:e>
          <m:sup>
            <m:r>
              <m:t>∘</m:t>
            </m:r>
          </m:sup>
        </m:sSup>
      </m:oMath>
      <w:r>
        <w:t xml:space="preserve">C at Harvard Forest (p=0.1).</w:t>
      </w:r>
      <w:r>
        <w:t xml:space="preserve"> </w:t>
      </w:r>
      <w:r>
        <w:t xml:space="preserve">Similarly, at both sites,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t>∘</m:t>
            </m:r>
          </m:sup>
        </m:sSup>
      </m:oMath>
      <w:r>
        <w:t xml:space="preserve">C for ring-porous species and 3.5-3.6 days/</w:t>
      </w:r>
      <w:r>
        <w:t xml:space="preserve"> </w:t>
      </w:r>
      <m:oMath>
        <m:sSup>
          <m:e>
            <m:r>
              <m:t>​</m:t>
            </m:r>
          </m:e>
          <m:sup>
            <m:r>
              <m:t>∘</m:t>
            </m:r>
          </m:sup>
        </m:sSup>
      </m:oMath>
      <w:r>
        <w:t xml:space="preserve">C for diffuse-porous species at SCBI, and 2.8-7.2 days/</w:t>
      </w:r>
      <w:r>
        <w:t xml:space="preserve"> </w:t>
      </w:r>
      <m:oMath>
        <m:sSup>
          <m:e>
            <m:r>
              <m:t>​</m:t>
            </m:r>
          </m:e>
          <m:sup>
            <m:r>
              <m:t>∘</m:t>
            </m:r>
          </m:sup>
        </m:sSup>
      </m:oMath>
      <w:r>
        <w:t xml:space="preserve">C for ring-porous species and 6.6-7.9 days/</w:t>
      </w:r>
      <w:r>
        <w:t xml:space="preserve"> </w:t>
      </w:r>
      <m:oMath>
        <m:sSup>
          <m:e>
            <m:r>
              <m:t>​</m:t>
            </m:r>
          </m:e>
          <m:sup>
            <m:r>
              <m:t>∘</m:t>
            </m:r>
          </m:sup>
        </m:sSup>
      </m:oMath>
      <w:r>
        <w:t xml:space="preserve">C for diffuse-porous species at Harvard Forest (Extended Data Table 2).</w:t>
      </w:r>
    </w:p>
    <w:p>
      <w:pPr>
        <w:pStyle w:val="BodyText"/>
      </w:pPr>
      <w:r>
        <w:t xml:space="preserve">Whereas the length of time between canopy greenup and senescence (</w:t>
      </w:r>
      <w:r>
        <w:rPr>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p>
      <w:pPr>
        <w:pStyle w:val="Heading2"/>
      </w:pPr>
      <w:bookmarkStart w:id="24" w:name="Tree"/>
      <w:r>
        <w:t xml:space="preserve">Tree ring analysis</w:t>
      </w:r>
      <w:bookmarkEnd w:id="24"/>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43613"/>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5"/>
                    <a:stretch>
                      <a:fillRect/>
                    </a:stretch>
                  </pic:blipFill>
                  <pic:spPr bwMode="auto">
                    <a:xfrm>
                      <a:off x="0" y="0"/>
                      <a:ext cx="5943600" cy="5743613"/>
                    </a:xfrm>
                    <a:prstGeom prst="rect">
                      <a:avLst/>
                    </a:prstGeom>
                    <a:noFill/>
                    <a:ln w="9525">
                      <a:noFill/>
                      <a:headEnd/>
                      <a:tailEnd/>
                    </a:ln>
                  </pic:spPr>
                </pic:pic>
              </a:graphicData>
            </a:graphic>
          </wp:inline>
        </w:drawing>
      </w:r>
    </w:p>
    <w:p>
      <w:pPr>
        <w:pStyle w:val="ImageCaption"/>
      </w:pPr>
      <w:r>
        <w:rPr>
          <w:b/>
        </w:rPr>
        <w:t xml:space="preserve">Figure 3 | Sensitivity of annual growth, as derived from tree-rings, to monthly mean maximum temperatures (</w:t>
      </w:r>
      <m:oMath>
        <m:sSub>
          <m:e>
            <m:r>
              <m:t>T</m:t>
            </m:r>
          </m:e>
          <m:sub>
            <m:r>
              <m:t>m</m:t>
            </m:r>
            <m:r>
              <m:t>a</m:t>
            </m:r>
            <m:r>
              <m:t>x</m:t>
            </m:r>
          </m:sub>
        </m:sSub>
      </m:oMath>
      <w:r>
        <w:rPr>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p>
      <w:pPr>
        <w:pStyle w:val="Heading2"/>
      </w:pPr>
      <w:bookmarkStart w:id="26" w:name="Discussion"/>
      <w:r>
        <w:t xml:space="preserve">Discussion</w:t>
      </w:r>
      <w:bookmarkEnd w:id="26"/>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2a-b)</w:t>
      </w:r>
      <w:r>
        <w:rPr>
          <w:vertAlign w:val="superscript"/>
        </w:rPr>
        <w:t xml:space="preserve">2,4,5</w:t>
      </w:r>
      <w:r>
        <w:t xml:space="preserve"> </w:t>
      </w:r>
      <w:r>
        <w:t xml:space="preserve">and</w:t>
      </w:r>
      <w:r>
        <w:t xml:space="preserve"> </w:t>
      </w:r>
      <w:r>
        <w:rPr>
          <w:i/>
        </w:rPr>
        <w:t xml:space="preserve">NEE</w:t>
      </w:r>
      <w:r>
        <w:rPr>
          <w:vertAlign w:val="superscript"/>
        </w:rPr>
        <w:t xml:space="preserve">2,4</w:t>
      </w:r>
      <w:r>
        <w:t xml:space="preserve">.</w:t>
      </w:r>
      <w:r>
        <w:t xml:space="preserve"> </w:t>
      </w:r>
      <w:r>
        <w:t xml:space="preserve">However, inconsistent with the concept that an earlier start to growth would increase annual woody productivity, we demonstrate that warmer springs hasten the cessation of stem expansion and thereby have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photosynthate limitation, such as daylength or sink limitation, which also play an important role in autumn leaf senescence</w:t>
      </w:r>
      <w:r>
        <w:rPr>
          <w:vertAlign w:val="superscript"/>
        </w:rPr>
        <w:t xml:space="preserve">17,23,31</w:t>
      </w:r>
      <w:r>
        <w:t xml:space="preserve">.</w:t>
      </w:r>
      <w:r>
        <w:t xml:space="preserve"> </w:t>
      </w:r>
      <w:r>
        <w:t xml:space="preserve">Our tree-ring analysis (Fig. 3) demonstrates that the primary effect of warming temperatures on annual tree growth is not an augmentation through an earlier start to growth, but rather a reduction associated to drought stress during the peak growing season</w:t>
      </w:r>
      <w:r>
        <w:rPr>
          <w:vertAlign w:val="superscript"/>
        </w:rPr>
        <w:t xml:space="preserve">26</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3,32</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 implying that the effects of warm spring temperatures on growth phenology elucidated here (Fig. 1) were not attributable to summer drought.</w:t>
      </w:r>
    </w:p>
    <w:p>
      <w:pPr>
        <w:pStyle w:val="BodyText"/>
      </w:pPr>
      <w:r>
        <w:t xml:space="preserve">Our finding that interannual variation in woody growth is more strongly linked to conditions during the peak growing season than to growing season length aligns with parallel findings for</w:t>
      </w:r>
      <w:r>
        <w:t xml:space="preserve"> </w:t>
      </w:r>
      <w:r>
        <w:rPr>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w:t>
      </w:r>
      <w:r>
        <w:t xml:space="preserve">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woody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36</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3,42</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
        </w:rPr>
        <w:t xml:space="preserve">NEE</w:t>
      </w:r>
      <w:r>
        <w:rPr>
          <w:vertAlign w:val="superscript"/>
        </w:rPr>
        <w:t xml:space="preserve">48</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CO</w:t>
      </w:r>
      <w:r>
        <w:rPr>
          <w:vertAlign w:val="subscript"/>
        </w:rPr>
        <w:t xml:space="preserve">2</w:t>
      </w:r>
      <w:r>
        <w:t xml:space="preserve"> </w:t>
      </w:r>
      <w:r>
        <w:t xml:space="preserve">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p>
      <w:pPr>
        <w:pStyle w:val="Heading1"/>
      </w:pPr>
      <w:bookmarkStart w:id="27" w:name="Methods"/>
      <w:r>
        <w:t xml:space="preserve">Methods</w:t>
      </w:r>
      <w:bookmarkEnd w:id="27"/>
    </w:p>
    <w:p>
      <w:pPr>
        <w:pStyle w:val="Heading2"/>
      </w:pPr>
      <w:bookmarkStart w:id="28" w:name="Dendrometer"/>
      <w:r>
        <w:t xml:space="preserve">Dendrometer band analysis</w:t>
      </w:r>
      <w:bookmarkEnd w:id="28"/>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
        </w:rPr>
        <w:t xml:space="preserve">Liriodendron tulipifera</w:t>
      </w:r>
      <w:r>
        <w:t xml:space="preserve"> </w:t>
      </w:r>
      <w:r>
        <w:t xml:space="preserve">L.), oaks (</w:t>
      </w:r>
      <w:r>
        <w:rPr>
          <w:i/>
        </w:rPr>
        <w:t xml:space="preserve">Quercus spp.</w:t>
      </w:r>
      <w:r>
        <w:t xml:space="preserve">), and hickories (</w:t>
      </w:r>
      <w:r>
        <w:rPr>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
        </w:rPr>
        <w:t xml:space="preserve">Tsuga canadensis</w:t>
      </w:r>
      <w:r>
        <w:t xml:space="preserve"> </w:t>
      </w:r>
      <w:r>
        <w:t xml:space="preserve">(L.) Carrière), oak (</w:t>
      </w:r>
      <w:r>
        <w:rPr>
          <w:i/>
        </w:rPr>
        <w:t xml:space="preserve">Quercus spp.</w:t>
      </w:r>
      <w:r>
        <w:t xml:space="preserve">) and red maple (</w:t>
      </w:r>
      <w:r>
        <w:rPr>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w:t>
      </w:r>
      <w:r>
        <w:t xml:space="preserve"> </w:t>
      </w:r>
      <w:r>
        <w:rPr>
          <w:i/>
        </w:rPr>
        <w:t xml:space="preserve">i.e.</w:t>
      </w:r>
      <w:r>
        <w:t xml:space="preserve">, julian days) as:</w:t>
      </w:r>
    </w:p>
    <w:p>
      <w:pPr>
        <w:pStyle w:val="BodyText"/>
      </w:pPr>
      <m:oMathPara>
        <m:oMathParaPr>
          <m:jc m:val="center"/>
        </m:oMathParaPr>
        <m:oMath>
          <m:r>
            <m:t>D</m:t>
          </m:r>
          <m:r>
            <m:t>B</m:t>
          </m:r>
          <m:r>
            <m:t>H</m:t>
          </m:r>
          <m:r>
            <m:t>=</m:t>
          </m:r>
          <m:r>
            <m:t>L</m:t>
          </m:r>
          <m:r>
            <m:t>+</m:t>
          </m:r>
          <m:f>
            <m:fPr>
              <m:type m:val="bar"/>
            </m:fPr>
            <m:num>
              <m:r>
                <m:t>K</m:t>
              </m:r>
              <m:r>
                <m:t>−</m:t>
              </m:r>
              <m:r>
                <m:t>L</m:t>
              </m:r>
            </m:num>
            <m:den>
              <m:r>
                <m:t>1</m:t>
              </m:r>
              <m:r>
                <m:t>+</m:t>
              </m:r>
              <m:r>
                <m:t>1</m:t>
              </m:r>
              <m:r>
                <m:t>/</m:t>
              </m:r>
              <m:r>
                <m:t>θ</m:t>
              </m:r>
              <m:r>
                <m:t>⋅</m:t>
              </m:r>
              <m:r>
                <m:t>e</m:t>
              </m:r>
              <m:r>
                <m:t>x</m:t>
              </m:r>
              <m:r>
                <m:t>p</m:t>
              </m:r>
              <m:r>
                <m:t>[</m:t>
              </m:r>
              <m:r>
                <m:t>−</m:t>
              </m:r>
              <m:r>
                <m:t>r</m:t>
              </m:r>
              <m:r>
                <m:t>(</m:t>
              </m:r>
              <m:r>
                <m:t>D</m:t>
              </m:r>
              <m:r>
                <m:t>O</m:t>
              </m:r>
              <m:r>
                <m:t>Y</m:t>
              </m:r>
              <m:r>
                <m:t>−</m:t>
              </m:r>
              <m:r>
                <m:t>D</m:t>
              </m:r>
              <m:r>
                <m:t>O</m:t>
              </m:r>
              <m:sSub>
                <m:e>
                  <m:r>
                    <m:t>Y</m:t>
                  </m:r>
                </m:e>
                <m:sub>
                  <m:r>
                    <m:t>i</m:t>
                  </m:r>
                  <m:r>
                    <m:t>p</m:t>
                  </m:r>
                </m:sub>
              </m:sSub>
              <m:r>
                <m:t>)</m:t>
              </m:r>
              <m:r>
                <m:t>/</m:t>
              </m:r>
              <m:r>
                <m:t>θ</m:t>
              </m:r>
              <m:r>
                <m:t>)</m:t>
              </m:r>
              <m:sSup>
                <m:e>
                  <m: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The DOY on which maximum growth occurs,</w:t>
      </w:r>
      <w:r>
        <w:t xml:space="preserve"> </w:t>
      </w:r>
      <m:oMath>
        <m:r>
          <m:t>D</m:t>
        </m:r>
        <m:r>
          <m:t>O</m:t>
        </m:r>
        <m:sSub>
          <m:e>
            <m:r>
              <m:t>Y</m:t>
            </m:r>
          </m:e>
          <m:sub>
            <m:sSub>
              <m:e>
                <m:r>
                  <m:t>g</m:t>
                </m:r>
              </m:e>
              <m:sub>
                <m:r>
                  <m:t>m</m:t>
                </m:r>
                <m:r>
                  <m:t>a</m:t>
                </m:r>
                <m:r>
                  <m:t>x</m:t>
                </m:r>
              </m:sub>
            </m:sSub>
          </m:sub>
        </m:sSub>
      </m:oMath>
      <w:r>
        <w:t xml:space="preserve"> </w:t>
      </w:r>
      <w:r>
        <w:t xml:space="preserve">(Fig. 1), occurs on</w:t>
      </w:r>
      <w:r>
        <w:t xml:space="preserve"> </w:t>
      </w:r>
      <m:oMath>
        <m:r>
          <m:t>D</m:t>
        </m:r>
        <m:r>
          <m:t>O</m:t>
        </m:r>
        <m:sSub>
          <m:e>
            <m:r>
              <m:t>Y</m:t>
            </m:r>
          </m:e>
          <m:sub>
            <m:r>
              <m:t>i</m:t>
            </m:r>
            <m:r>
              <m:t>p</m:t>
            </m:r>
          </m:sub>
        </m:sSub>
      </m:oMath>
      <w:r>
        <w:t xml:space="preserve"> </w:t>
      </w:r>
      <w:r>
        <w:t xml:space="preserve">when</w:t>
      </w:r>
      <w:r>
        <w:t xml:space="preserve"> </w:t>
      </w:r>
      <m:oMath>
        <m:r>
          <m:t>θ</m:t>
        </m:r>
        <m:r>
          <m:t>=</m:t>
        </m:r>
        <m:r>
          <m:t>1</m:t>
        </m:r>
      </m:oMath>
      <w:r>
        <w:t xml:space="preserve">.</w:t>
      </w:r>
      <w:r>
        <w:t xml:space="preserve"> </w:t>
      </w:r>
      <w:r>
        <w:t xml:space="preserve">The model was fit in R v4.0 using the functions developed in the</w:t>
      </w:r>
      <w:r>
        <w:t xml:space="preserve"> </w:t>
      </w:r>
      <w:r>
        <w:rPr>
          <w:i/>
        </w:rPr>
        <w:t xml:space="preserve">Rdendrom</w:t>
      </w:r>
      <w:r>
        <w:t xml:space="preserve"> </w:t>
      </w:r>
      <w:r>
        <w:t xml:space="preserve">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(5) models with unexplained sharp spikes in growth rate (SCBI = 0, Harvard Forest = 3);</w:t>
      </w:r>
      <w:r>
        <w:t xml:space="preserve"> </w:t>
      </w:r>
      <w:r>
        <w:t xml:space="preserve">and (6) poorly fit models that did not meet any of the above criteria (SCBI = 2, Harvard Forest = 0).</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w:t>
      </w:r>
      <w:r>
        <w:t xml:space="preserve"> </w:t>
      </w:r>
      <w:r>
        <w:t xml:space="preserve">Extracted pixels were those containing the NEON tower at each site.</w:t>
      </w:r>
      <w:r>
        <w:t xml:space="preserve"> </w:t>
      </w:r>
      <w:r>
        <w:t xml:space="preserve">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9">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30">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55,56</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
        </w:rPr>
        <w:t xml:space="preserve">climwin</w:t>
      </w:r>
      <w:r>
        <w:rPr>
          <w:vertAlign w:val="superscript"/>
        </w:rPr>
        <w:t xml:space="preserve">57</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growth phenology parameters,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58,59</w:t>
      </w:r>
      <w:r>
        <w:t xml:space="preserve">. 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tempreatures and summer Standardized Precipitation Evapotranspiration Index</w:t>
      </w:r>
      <w:r>
        <w:rPr>
          <w:vertAlign w:val="superscript"/>
        </w:rPr>
        <w:t xml:space="preserve">33</w:t>
      </w:r>
      <w:r>
        <w:t xml:space="preserve">.</w:t>
      </w:r>
      <w:r>
        <w:t xml:space="preserve"> </w:t>
      </w:r>
      <w:r>
        <w:t xml:space="preserve">The latter was obtained from the ForestGEO Climate Data Portal v1.0 (</w:t>
      </w:r>
      <w:hyperlink r:id="rId29">
        <w:r>
          <w:rPr>
            <w:rStyle w:val="Hyperlink"/>
          </w:rPr>
          <w:t xml:space="preserve">https://forestgeo.github.io/Climate/</w:t>
        </w:r>
      </w:hyperlink>
      <w:r>
        <w:t xml:space="preserve">)</w:t>
      </w:r>
      <w:r>
        <w:rPr>
          <w:b/>
          <w:vertAlign w:val="superscript"/>
        </w:rPr>
        <w:t xml:space="preserve">???</w:t>
      </w:r>
      <w:r>
        <w:rPr>
          <w:vertAlign w:val="superscript"/>
        </w:rPr>
        <w:t xml:space="preserve">,53</w:t>
      </w:r>
      <w:r>
        <w:t xml:space="preserve">. 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lead to greater summer drought stress.</w:t>
      </w:r>
    </w:p>
    <w:p>
      <w:pPr>
        <w:pStyle w:val="Heading2"/>
      </w:pPr>
      <w:bookmarkStart w:id="31" w:name="Tree"/>
      <w:r>
        <w:t xml:space="preserve">Tree-ring analysis</w:t>
      </w:r>
      <w:bookmarkEnd w:id="31"/>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60</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4,61,62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
        </w:rPr>
        <w:t xml:space="preserve">Juglans nigra</w:t>
      </w:r>
      <w:r>
        <w:t xml:space="preserve"> </w:t>
      </w:r>
      <w:r>
        <w:t xml:space="preserve">L. at SCBI,</w:t>
      </w:r>
      <w:r>
        <w:t xml:space="preserve"> </w:t>
      </w:r>
      <w:r>
        <w:rPr>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26,63</w:t>
      </w:r>
      <w:r>
        <w:t xml:space="preserve">.</w:t>
      </w:r>
      <w:r>
        <w:t xml:space="preserve"> </w:t>
      </w:r>
      <w:r>
        <w:t xml:space="preserve">Again, records were limited to broadleaf deciduous species with clearly defined xylem porosity (</w:t>
      </w:r>
      <w:r>
        <w:rPr>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64</w:t>
      </w:r>
      <w:r>
        <w:t xml:space="preserve"> </w:t>
      </w:r>
      <w:r>
        <w:t xml:space="preserve">A 2/3rds</w:t>
      </w:r>
      <w:r>
        <w:t xml:space="preserve"> </w:t>
      </w:r>
      <w:r>
        <w:rPr>
          <w:i/>
        </w:rPr>
        <w:t xml:space="preserve">n</w:t>
      </w:r>
      <w:r>
        <w:t xml:space="preserve"> </w:t>
      </w:r>
      <w:r>
        <w:t xml:space="preserve">spline was applied to each core using ARSTAN to produce standardized ring-width series;</w:t>
      </w:r>
      <w:r>
        <w:t xml:space="preserve"> </w:t>
      </w:r>
      <w:r>
        <w:rPr>
          <w:i/>
        </w:rPr>
        <w:t xml:space="preserve">n</w:t>
      </w:r>
      <w:r>
        <w:t xml:space="preserve"> </w:t>
      </w:r>
      <w:r>
        <w:t xml:space="preserve">is the number of years in each series</w:t>
      </w:r>
      <w:r>
        <w:rPr>
          <w:vertAlign w:val="superscript"/>
        </w:rPr>
        <w:t xml:space="preserve">64,65</w:t>
      </w:r>
      <w:r>
        <w:t xml:space="preserve">.</w:t>
      </w:r>
      <w:r>
        <w:t xml:space="preserve"> </w:t>
      </w:r>
      <w:r>
        <w:t xml:space="preserve">An adaptive power transformation, a process that also stabilises the variance over time</w:t>
      </w:r>
      <w:r>
        <w:rPr>
          <w:vertAlign w:val="superscript"/>
        </w:rPr>
        <w:t xml:space="preserve">66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65</w:t>
      </w:r>
      <w:r>
        <w:t xml:space="preserve">.</w:t>
      </w:r>
      <w:r>
        <w:t xml:space="preserve"> </w:t>
      </w:r>
      <w:r>
        <w:t xml:space="preserve">We defined chronology start year (Extended Data Table 1) as the year where subsample signal strength (SSS) passed a threshold of SSS = 0.8, or where</w:t>
      </w:r>
      <w:r>
        <w:t xml:space="preserve"> </w:t>
      </w:r>
      <m:oMath>
        <m: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68</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p>
      <w:pPr>
        <w:pStyle w:val="Heading1"/>
      </w:pPr>
      <w:bookmarkStart w:id="32" w:name="Acknowledgements"/>
      <w:r>
        <w:t xml:space="preserve">Acknowledgements</w:t>
      </w:r>
      <w:bookmarkEnd w:id="32"/>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p>
      <w:pPr>
        <w:pStyle w:val="Heading1"/>
      </w:pPr>
      <w:bookmarkStart w:id="33" w:name="Author"/>
      <w:r>
        <w:t xml:space="preserve">Author Contributions</w:t>
      </w:r>
      <w:bookmarkEnd w:id="33"/>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p>
      <w:pPr>
        <w:pStyle w:val="Heading1"/>
      </w:pPr>
      <w:bookmarkStart w:id="34" w:name="Additional"/>
      <w:r>
        <w:t xml:space="preserve">Additional Information</w:t>
      </w:r>
      <w:bookmarkEnd w:id="34"/>
    </w:p>
    <w:p>
      <w:pPr>
        <w:pStyle w:val="FirstParagraph"/>
      </w:pPr>
      <w:r>
        <w:rPr>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p>
      <w:pPr>
        <w:pStyle w:val="Heading1"/>
      </w:pPr>
      <w:bookmarkStart w:id="35" w:name="References"/>
      <w:r>
        <w:t xml:space="preserve">References</w:t>
      </w:r>
      <w:bookmarkEnd w:id="35"/>
    </w:p>
    <w:bookmarkStart w:id="115" w:name="refs"/>
    <w:bookmarkStart w:id="36" w:name="ref-jeong_phenology_2011"/>
    <w:p>
      <w:pPr>
        <w:pStyle w:val="Bibliography"/>
      </w:pPr>
      <w:r>
        <w:t xml:space="preserve">1. Jeong, S.-J., Ho, C.-H., Gim, H.-J. &amp; Brown, M. E. Phenology shifts at start vs. End of growing season in temperate vegetation over the Northern Hemisphere for the period 19822008.</w:t>
      </w:r>
      <w:r>
        <w:t xml:space="preserve"> </w:t>
      </w:r>
      <w:r>
        <w:rPr>
          <w:i/>
        </w:rPr>
        <w:t xml:space="preserve">Global Change Biology</w:t>
      </w:r>
      <w:r>
        <w:t xml:space="preserve"> </w:t>
      </w:r>
      <w:r>
        <w:rPr>
          <w:b/>
        </w:rPr>
        <w:t xml:space="preserve">17</w:t>
      </w:r>
      <w:r>
        <w:t xml:space="preserve">, 2385–2399 (2011).</w:t>
      </w:r>
    </w:p>
    <w:bookmarkEnd w:id="36"/>
    <w:bookmarkStart w:id="37" w:name="ref-keenan_net_2014"/>
    <w:p>
      <w:pPr>
        <w:pStyle w:val="Bibliography"/>
      </w:pPr>
      <w:r>
        <w:t xml:space="preserve">2. Keenan, T. F.</w:t>
      </w:r>
      <w:r>
        <w:t xml:space="preserve"> </w:t>
      </w:r>
      <w:r>
        <w:rPr>
          <w:i/>
        </w:rPr>
        <w:t xml:space="preserve">et al.</w:t>
      </w:r>
      <w:r>
        <w:t xml:space="preserve"> </w:t>
      </w:r>
      <w:r>
        <w:t xml:space="preserve">Net carbon uptake has increased through warming-induced changes in temperate forest phenology.</w:t>
      </w:r>
      <w:r>
        <w:t xml:space="preserve"> </w:t>
      </w:r>
      <w:r>
        <w:rPr>
          <w:i/>
        </w:rPr>
        <w:t xml:space="preserve">Nature Climate Change</w:t>
      </w:r>
      <w:r>
        <w:t xml:space="preserve"> </w:t>
      </w:r>
      <w:r>
        <w:rPr>
          <w:b/>
        </w:rPr>
        <w:t xml:space="preserve">4</w:t>
      </w:r>
      <w:r>
        <w:t xml:space="preserve">, 598–604 (2014).</w:t>
      </w:r>
    </w:p>
    <w:bookmarkEnd w:id="37"/>
    <w:bookmarkStart w:id="38" w:name="ref-buermann_widespread_2018"/>
    <w:p>
      <w:pPr>
        <w:pStyle w:val="Bibliography"/>
      </w:pPr>
      <w:r>
        <w:t xml:space="preserve">3. Buermann, W.</w:t>
      </w:r>
      <w:r>
        <w:t xml:space="preserve"> </w:t>
      </w:r>
      <w:r>
        <w:rPr>
          <w:i/>
        </w:rPr>
        <w:t xml:space="preserve">et al.</w:t>
      </w:r>
      <w:r>
        <w:t xml:space="preserve"> </w:t>
      </w:r>
      <w:r>
        <w:t xml:space="preserve">Widespread seasonal compensation effects of spring warming on northern plant productivity.</w:t>
      </w:r>
      <w:r>
        <w:t xml:space="preserve"> </w:t>
      </w:r>
      <w:r>
        <w:rPr>
          <w:i/>
        </w:rPr>
        <w:t xml:space="preserve">Nature</w:t>
      </w:r>
      <w:r>
        <w:t xml:space="preserve"> </w:t>
      </w:r>
      <w:r>
        <w:rPr>
          <w:b/>
        </w:rPr>
        <w:t xml:space="preserve">562</w:t>
      </w:r>
      <w:r>
        <w:t xml:space="preserve">, 110–114 (2018).</w:t>
      </w:r>
    </w:p>
    <w:bookmarkEnd w:id="38"/>
    <w:bookmarkStart w:id="39" w:name="ref-finzi_carbon_2020"/>
    <w:p>
      <w:pPr>
        <w:pStyle w:val="Bibliography"/>
      </w:pPr>
      <w:r>
        <w:t xml:space="preserve">4. Finzi, A. C.</w:t>
      </w:r>
      <w:r>
        <w:t xml:space="preserve"> </w:t>
      </w:r>
      <w:r>
        <w:rPr>
          <w:i/>
        </w:rPr>
        <w:t xml:space="preserve">et al.</w:t>
      </w:r>
      <w:r>
        <w:t xml:space="preserve"> </w:t>
      </w:r>
      <w:r>
        <w:t xml:space="preserve">Carbon budget of the Harvard Forest Long-Term Ecological Research site: Pattern, process, and response to global change.</w:t>
      </w:r>
      <w:r>
        <w:t xml:space="preserve"> </w:t>
      </w:r>
      <w:r>
        <w:rPr>
          <w:i/>
        </w:rPr>
        <w:t xml:space="preserve">Ecological Monographs</w:t>
      </w:r>
      <w:r>
        <w:t xml:space="preserve"> </w:t>
      </w:r>
      <w:r>
        <w:rPr>
          <w:b/>
        </w:rPr>
        <w:t xml:space="preserve">90</w:t>
      </w:r>
      <w:r>
        <w:t xml:space="preserve">, e01423 (2020).</w:t>
      </w:r>
    </w:p>
    <w:bookmarkEnd w:id="39"/>
    <w:bookmarkStart w:id="40" w:name="ref-stuble_plant_2021"/>
    <w:p>
      <w:pPr>
        <w:pStyle w:val="Bibliography"/>
      </w:pPr>
      <w:r>
        <w:t xml:space="preserve">5. Stuble, K. L., Bennion, L. D. &amp; Kuebbing, S. E. Plant phenological responses to experimental warmingA synthesis.</w:t>
      </w:r>
      <w:r>
        <w:t xml:space="preserve"> </w:t>
      </w:r>
      <w:r>
        <w:rPr>
          <w:i/>
        </w:rPr>
        <w:t xml:space="preserve">Global Change Biology</w:t>
      </w:r>
      <w:r>
        <w:t xml:space="preserve"> </w:t>
      </w:r>
      <w:r>
        <w:rPr>
          <w:b/>
        </w:rPr>
        <w:t xml:space="preserve">27</w:t>
      </w:r>
      <w:r>
        <w:t xml:space="preserve">, 4110–4124 (2021).</w:t>
      </w:r>
    </w:p>
    <w:bookmarkEnd w:id="40"/>
    <w:bookmarkStart w:id="42" w:name="ref-delgado_differences_2020"/>
    <w:p>
      <w:pPr>
        <w:pStyle w:val="Bibliography"/>
      </w:pPr>
      <w:r>
        <w:t xml:space="preserve">6. Delgado, M. del M.</w:t>
      </w:r>
      <w:r>
        <w:t xml:space="preserve"> </w:t>
      </w:r>
      <w:r>
        <w:rPr>
          <w:i/>
        </w:rPr>
        <w:t xml:space="preserve">et al.</w:t>
      </w:r>
      <w:r>
        <w:t xml:space="preserve"> </w:t>
      </w:r>
      <w:r>
        <w:t xml:space="preserve">Differences in spatial versus temporal reaction norms for spring and autumn phenological events.</w:t>
      </w:r>
      <w:r>
        <w:t xml:space="preserve"> </w:t>
      </w:r>
      <w:r>
        <w:rPr>
          <w:i/>
        </w:rPr>
        <w:t xml:space="preserve">Proceedings of the National Academy of Sciences</w:t>
      </w:r>
      <w:r>
        <w:t xml:space="preserve"> </w:t>
      </w:r>
      <w:r>
        <w:t xml:space="preserve">202002713 (2020) doi:</w:t>
      </w:r>
      <w:hyperlink r:id="rId41">
        <w:r>
          <w:rPr>
            <w:rStyle w:val="Hyperlink"/>
          </w:rPr>
          <w:t xml:space="preserve">10.1073/pnas.2002713117</w:t>
        </w:r>
      </w:hyperlink>
      <w:r>
        <w:t xml:space="preserve">.</w:t>
      </w:r>
    </w:p>
    <w:bookmarkEnd w:id="42"/>
    <w:bookmarkStart w:id="43" w:name="ref-menzel_growing_1999"/>
    <w:p>
      <w:pPr>
        <w:pStyle w:val="Bibliography"/>
      </w:pPr>
      <w:r>
        <w:t xml:space="preserve">7. Menzel, A. &amp; Fabian, P. Growing season extended in Europe.</w:t>
      </w:r>
      <w:r>
        <w:t xml:space="preserve"> </w:t>
      </w:r>
      <w:r>
        <w:rPr>
          <w:i/>
        </w:rPr>
        <w:t xml:space="preserve">Nature</w:t>
      </w:r>
      <w:r>
        <w:t xml:space="preserve"> </w:t>
      </w:r>
      <w:r>
        <w:rPr>
          <w:b/>
        </w:rPr>
        <w:t xml:space="preserve">397</w:t>
      </w:r>
      <w:r>
        <w:t xml:space="preserve">, 659–659 (1999).</w:t>
      </w:r>
    </w:p>
    <w:bookmarkEnd w:id="43"/>
    <w:bookmarkStart w:id="44" w:name="ref-menzel_european_2006"/>
    <w:p>
      <w:pPr>
        <w:pStyle w:val="Bibliography"/>
      </w:pPr>
      <w:r>
        <w:t xml:space="preserve">8. Menzel, A.</w:t>
      </w:r>
      <w:r>
        <w:t xml:space="preserve"> </w:t>
      </w:r>
      <w:r>
        <w:rPr>
          <w:i/>
        </w:rPr>
        <w:t xml:space="preserve">et al.</w:t>
      </w:r>
      <w:r>
        <w:t xml:space="preserve"> </w:t>
      </w:r>
      <w:r>
        <w:t xml:space="preserve">European phenological response to climate change matches the warming pattern.</w:t>
      </w:r>
      <w:r>
        <w:t xml:space="preserve"> </w:t>
      </w:r>
      <w:r>
        <w:rPr>
          <w:i/>
        </w:rPr>
        <w:t xml:space="preserve">Global Change Biology</w:t>
      </w:r>
      <w:r>
        <w:t xml:space="preserve"> </w:t>
      </w:r>
      <w:r>
        <w:rPr>
          <w:b/>
        </w:rPr>
        <w:t xml:space="preserve">12</w:t>
      </w:r>
      <w:r>
        <w:t xml:space="preserve">, 1969–1976 (2006).</w:t>
      </w:r>
    </w:p>
    <w:bookmarkEnd w:id="44"/>
    <w:bookmarkStart w:id="45" w:name="ref-ibanez_forecasting_2010"/>
    <w:p>
      <w:pPr>
        <w:pStyle w:val="Bibliography"/>
      </w:pPr>
      <w:r>
        <w:t xml:space="preserve">9. Ibáñez, I.</w:t>
      </w:r>
      <w:r>
        <w:t xml:space="preserve"> </w:t>
      </w:r>
      <w:r>
        <w:rPr>
          <w:i/>
        </w:rPr>
        <w:t xml:space="preserve">et al.</w:t>
      </w:r>
      <w:r>
        <w:t xml:space="preserve"> </w:t>
      </w:r>
      <w:r>
        <w:t xml:space="preserve">Forecasting phenology under global warming.</w:t>
      </w:r>
      <w:r>
        <w:t xml:space="preserve"> </w:t>
      </w:r>
      <w:r>
        <w:rPr>
          <w:i/>
        </w:rPr>
        <w:t xml:space="preserve">Philosophical Transactions of the Royal Society B: Biological Sciences</w:t>
      </w:r>
      <w:r>
        <w:t xml:space="preserve"> </w:t>
      </w:r>
      <w:r>
        <w:rPr>
          <w:b/>
        </w:rPr>
        <w:t xml:space="preserve">365</w:t>
      </w:r>
      <w:r>
        <w:t xml:space="preserve">, 3247–3260 (2010).</w:t>
      </w:r>
    </w:p>
    <w:bookmarkEnd w:id="45"/>
    <w:bookmarkStart w:id="46" w:name="ref-keeling_increased_1996"/>
    <w:p>
      <w:pPr>
        <w:pStyle w:val="Bibliography"/>
      </w:pPr>
      <w:r>
        <w:t xml:space="preserve">10. Keeling, C. D., Chin, J. F. S. &amp; Whorf, T. P. Increased activity of northern vegetation inferred from atmospheric CO 2 measurements.</w:t>
      </w:r>
      <w:r>
        <w:t xml:space="preserve"> </w:t>
      </w:r>
      <w:r>
        <w:rPr>
          <w:i/>
        </w:rPr>
        <w:t xml:space="preserve">Nature</w:t>
      </w:r>
      <w:r>
        <w:t xml:space="preserve"> </w:t>
      </w:r>
      <w:r>
        <w:rPr>
          <w:b/>
        </w:rPr>
        <w:t xml:space="preserve">382</w:t>
      </w:r>
      <w:r>
        <w:t xml:space="preserve">, 146–149 (1996).</w:t>
      </w:r>
    </w:p>
    <w:bookmarkEnd w:id="46"/>
    <w:bookmarkStart w:id="47" w:name="ref-dragoni_evidence_2011"/>
    <w:p>
      <w:pPr>
        <w:pStyle w:val="Bibliography"/>
      </w:pPr>
      <w:r>
        <w:t xml:space="preserve">11. Dragoni, D.</w:t>
      </w:r>
      <w:r>
        <w:t xml:space="preserve"> </w:t>
      </w:r>
      <w:r>
        <w:rPr>
          <w:i/>
        </w:rPr>
        <w:t xml:space="preserve">et al.</w:t>
      </w:r>
      <w:r>
        <w:t xml:space="preserve"> </w:t>
      </w:r>
      <w:r>
        <w:t xml:space="preserve">Evidence of increased net ecosystem productivity associated with a longer vegetated season in a deciduous forest in south-central Indiana, USA.</w:t>
      </w:r>
      <w:r>
        <w:t xml:space="preserve"> </w:t>
      </w:r>
      <w:r>
        <w:rPr>
          <w:i/>
        </w:rPr>
        <w:t xml:space="preserve">Global Change Biology</w:t>
      </w:r>
      <w:r>
        <w:t xml:space="preserve"> </w:t>
      </w:r>
      <w:r>
        <w:rPr>
          <w:b/>
        </w:rPr>
        <w:t xml:space="preserve">17</w:t>
      </w:r>
      <w:r>
        <w:t xml:space="preserve">, 886–897 (2011).</w:t>
      </w:r>
    </w:p>
    <w:bookmarkEnd w:id="47"/>
    <w:bookmarkStart w:id="48" w:name="ref-crabbe_extreme_2016"/>
    <w:p>
      <w:pPr>
        <w:pStyle w:val="Bibliography"/>
      </w:pPr>
      <w:r>
        <w:t xml:space="preserve">12. Crabbe, R. A.</w:t>
      </w:r>
      <w:r>
        <w:t xml:space="preserve"> </w:t>
      </w:r>
      <w:r>
        <w:rPr>
          <w:i/>
        </w:rPr>
        <w:t xml:space="preserve">et al.</w:t>
      </w:r>
      <w:r>
        <w:t xml:space="preserve"> </w:t>
      </w:r>
      <w:r>
        <w:t xml:space="preserve">Extreme warm temperatures alter forest phenology and productivity in Europe.</w:t>
      </w:r>
      <w:r>
        <w:t xml:space="preserve"> </w:t>
      </w:r>
      <w:r>
        <w:rPr>
          <w:i/>
        </w:rPr>
        <w:t xml:space="preserve">Science of The Total Environment</w:t>
      </w:r>
      <w:r>
        <w:t xml:space="preserve"> </w:t>
      </w:r>
      <w:r>
        <w:rPr>
          <w:b/>
        </w:rPr>
        <w:t xml:space="preserve">563–564</w:t>
      </w:r>
      <w:r>
        <w:t xml:space="preserve">, 486–495 (2016).</w:t>
      </w:r>
    </w:p>
    <w:bookmarkEnd w:id="48"/>
    <w:bookmarkStart w:id="49" w:name="ref-zhou_explaining_2016"/>
    <w:p>
      <w:pPr>
        <w:pStyle w:val="Bibliography"/>
      </w:pPr>
      <w:r>
        <w:t xml:space="preserve">13. Zhou, S.</w:t>
      </w:r>
      <w:r>
        <w:t xml:space="preserve"> </w:t>
      </w:r>
      <w:r>
        <w:rPr>
          <w:i/>
        </w:rPr>
        <w:t xml:space="preserve">et al.</w:t>
      </w:r>
      <w:r>
        <w:t xml:space="preserve"> </w:t>
      </w:r>
      <w:r>
        <w:t xml:space="preserve">Explaining inter-annual variability of gross primary productivity from plant phenology and physiology.</w:t>
      </w:r>
      <w:r>
        <w:t xml:space="preserve"> </w:t>
      </w:r>
      <w:r>
        <w:rPr>
          <w:i/>
        </w:rPr>
        <w:t xml:space="preserve">Agricultural and Forest Meteorology</w:t>
      </w:r>
      <w:r>
        <w:t xml:space="preserve"> </w:t>
      </w:r>
      <w:r>
        <w:rPr>
          <w:b/>
        </w:rPr>
        <w:t xml:space="preserve">226–227</w:t>
      </w:r>
      <w:r>
        <w:t xml:space="preserve">, 246–256 (2016).</w:t>
      </w:r>
    </w:p>
    <w:bookmarkEnd w:id="49"/>
    <w:bookmarkStart w:id="50" w:name="ref-fu_maximum_2019"/>
    <w:p>
      <w:pPr>
        <w:pStyle w:val="Bibliography"/>
      </w:pPr>
      <w:r>
        <w:t xml:space="preserve">14. Fu, Z.</w:t>
      </w:r>
      <w:r>
        <w:t xml:space="preserve"> </w:t>
      </w:r>
      <w:r>
        <w:rPr>
          <w:i/>
        </w:rPr>
        <w:t xml:space="preserve">et al.</w:t>
      </w:r>
      <w:r>
        <w:t xml:space="preserve"> </w:t>
      </w:r>
      <w:r>
        <w:t xml:space="preserve">Maximum carbon uptake rate dominates the interannual variability of global net ecosystem exchange.</w:t>
      </w:r>
      <w:r>
        <w:t xml:space="preserve"> </w:t>
      </w:r>
      <w:r>
        <w:rPr>
          <w:i/>
        </w:rPr>
        <w:t xml:space="preserve">Global Change Biology</w:t>
      </w:r>
      <w:r>
        <w:t xml:space="preserve"> </w:t>
      </w:r>
      <w:r>
        <w:rPr>
          <w:b/>
        </w:rPr>
        <w:t xml:space="preserve">25</w:t>
      </w:r>
      <w:r>
        <w:t xml:space="preserve">, 3381–3394 (2019).</w:t>
      </w:r>
    </w:p>
    <w:bookmarkEnd w:id="50"/>
    <w:bookmarkStart w:id="51" w:name="ref-xue_global_2017"/>
    <w:p>
      <w:pPr>
        <w:pStyle w:val="Bibliography"/>
      </w:pPr>
      <w:r>
        <w:t xml:space="preserve">15. Xue, B.-L.</w:t>
      </w:r>
      <w:r>
        <w:t xml:space="preserve"> </w:t>
      </w:r>
      <w:r>
        <w:rPr>
          <w:i/>
        </w:rPr>
        <w:t xml:space="preserve">et al.</w:t>
      </w:r>
      <w:r>
        <w:t xml:space="preserve"> </w:t>
      </w:r>
      <w:r>
        <w:t xml:space="preserve">Global patterns of woody residence time and its influence on model simulation of aboveground biomass.</w:t>
      </w:r>
      <w:r>
        <w:t xml:space="preserve"> </w:t>
      </w:r>
      <w:r>
        <w:rPr>
          <w:i/>
        </w:rPr>
        <w:t xml:space="preserve">Global Biogeochemical Cycles</w:t>
      </w:r>
      <w:r>
        <w:t xml:space="preserve"> </w:t>
      </w:r>
      <w:r>
        <w:rPr>
          <w:b/>
        </w:rPr>
        <w:t xml:space="preserve">31</w:t>
      </w:r>
      <w:r>
        <w:t xml:space="preserve">, 821–835 (2017).</w:t>
      </w:r>
    </w:p>
    <w:bookmarkEnd w:id="51"/>
    <w:bookmarkStart w:id="52" w:name="ref-russell_residence_2014"/>
    <w:p>
      <w:pPr>
        <w:pStyle w:val="Bibliography"/>
      </w:pPr>
      <w:r>
        <w:t xml:space="preserve">16. Russell, M. B.</w:t>
      </w:r>
      <w:r>
        <w:t xml:space="preserve"> </w:t>
      </w:r>
      <w:r>
        <w:rPr>
          <w:i/>
        </w:rPr>
        <w:t xml:space="preserve">et al.</w:t>
      </w:r>
      <w:r>
        <w:t xml:space="preserve"> </w:t>
      </w:r>
      <w:r>
        <w:t xml:space="preserve">Residence Times and Decay Rates of Downed Woody Debris Biomass/Carbon in Eastern US Forests.</w:t>
      </w:r>
      <w:r>
        <w:t xml:space="preserve"> </w:t>
      </w:r>
      <w:r>
        <w:rPr>
          <w:i/>
        </w:rPr>
        <w:t xml:space="preserve">Ecosystems</w:t>
      </w:r>
      <w:r>
        <w:t xml:space="preserve"> </w:t>
      </w:r>
      <w:r>
        <w:rPr>
          <w:b/>
        </w:rPr>
        <w:t xml:space="preserve">17</w:t>
      </w:r>
      <w:r>
        <w:t xml:space="preserve">, 765–777 (2014).</w:t>
      </w:r>
    </w:p>
    <w:bookmarkEnd w:id="52"/>
    <w:bookmarkStart w:id="53" w:name="ref-zani_increased_2020"/>
    <w:p>
      <w:pPr>
        <w:pStyle w:val="Bibliography"/>
      </w:pPr>
      <w:r>
        <w:t xml:space="preserve">17. Zani, D., Crowther, T. W., Mo, L., Renner, S. S. &amp; Zohner, C. M. Increased growing-season productivity drives earlier autumn leaf senescence in temperate trees. 7 (2020).</w:t>
      </w:r>
    </w:p>
    <w:bookmarkEnd w:id="53"/>
    <w:bookmarkStart w:id="54" w:name="ref-ahlstrom_robustness_2012"/>
    <w:p>
      <w:pPr>
        <w:pStyle w:val="Bibliography"/>
      </w:pPr>
      <w:r>
        <w:t xml:space="preserve">18. Ahlström, A., Schurgers, G., Arneth, A. &amp; Smith, B. Robustness and uncertainty in terrestrial ecosystem carbon response to CMIP5 climate change projections.</w:t>
      </w:r>
      <w:r>
        <w:t xml:space="preserve"> </w:t>
      </w:r>
      <w:r>
        <w:rPr>
          <w:i/>
        </w:rPr>
        <w:t xml:space="preserve">Environmental Research Letters</w:t>
      </w:r>
      <w:r>
        <w:t xml:space="preserve"> </w:t>
      </w:r>
      <w:r>
        <w:rPr>
          <w:b/>
        </w:rPr>
        <w:t xml:space="preserve">7</w:t>
      </w:r>
      <w:r>
        <w:t xml:space="preserve">, 044008 (2012).</w:t>
      </w:r>
    </w:p>
    <w:bookmarkEnd w:id="54"/>
    <w:bookmarkStart w:id="55" w:name="ref-pan_large_2011"/>
    <w:p>
      <w:pPr>
        <w:pStyle w:val="Bibliography"/>
      </w:pPr>
      <w:r>
        <w:t xml:space="preserve">19. Pan, Y.</w:t>
      </w:r>
      <w:r>
        <w:t xml:space="preserve"> </w:t>
      </w:r>
      <w:r>
        <w:rPr>
          <w:i/>
        </w:rPr>
        <w:t xml:space="preserve">et al.</w:t>
      </w:r>
      <w:r>
        <w:t xml:space="preserve"> </w:t>
      </w:r>
      <w:r>
        <w:t xml:space="preserve">A Large and Persistent Carbon Sink in the World’s Forests.</w:t>
      </w:r>
      <w:r>
        <w:t xml:space="preserve"> </w:t>
      </w:r>
      <w:r>
        <w:rPr>
          <w:i/>
        </w:rPr>
        <w:t xml:space="preserve">Science</w:t>
      </w:r>
      <w:r>
        <w:t xml:space="preserve"> </w:t>
      </w:r>
      <w:r>
        <w:rPr>
          <w:b/>
        </w:rPr>
        <w:t xml:space="preserve">333</w:t>
      </w:r>
      <w:r>
        <w:t xml:space="preserve">, 988–993 (2011).</w:t>
      </w:r>
    </w:p>
    <w:bookmarkEnd w:id="55"/>
    <w:bookmarkStart w:id="56" w:name="ref-friedlingstein_global_2020"/>
    <w:p>
      <w:pPr>
        <w:pStyle w:val="Bibliography"/>
      </w:pPr>
      <w:r>
        <w:t xml:space="preserve">20. Friedlingstein, P.</w:t>
      </w:r>
      <w:r>
        <w:t xml:space="preserve"> </w:t>
      </w:r>
      <w:r>
        <w:rPr>
          <w:i/>
        </w:rPr>
        <w:t xml:space="preserve">et al.</w:t>
      </w:r>
      <w:r>
        <w:t xml:space="preserve"> </w:t>
      </w:r>
      <w:r>
        <w:t xml:space="preserve">Global Carbon Budget 2020.</w:t>
      </w:r>
      <w:r>
        <w:t xml:space="preserve"> </w:t>
      </w:r>
      <w:r>
        <w:rPr>
          <w:i/>
        </w:rPr>
        <w:t xml:space="preserve">Earth System Science Data</w:t>
      </w:r>
      <w:r>
        <w:t xml:space="preserve"> </w:t>
      </w:r>
      <w:r>
        <w:rPr>
          <w:b/>
        </w:rPr>
        <w:t xml:space="preserve">12</w:t>
      </w:r>
      <w:r>
        <w:t xml:space="preserve">, 3269–3340 (2020).</w:t>
      </w:r>
    </w:p>
    <w:bookmarkEnd w:id="56"/>
    <w:bookmarkStart w:id="57" w:name="ref-pugh_role_2019"/>
    <w:p>
      <w:pPr>
        <w:pStyle w:val="Bibliography"/>
      </w:pPr>
      <w:r>
        <w:t xml:space="preserve">21. Pugh, T. A. M.</w:t>
      </w:r>
      <w:r>
        <w:t xml:space="preserve"> </w:t>
      </w:r>
      <w:r>
        <w:rPr>
          <w:i/>
        </w:rPr>
        <w:t xml:space="preserve">et al.</w:t>
      </w:r>
      <w:r>
        <w:t xml:space="preserve"> </w:t>
      </w:r>
      <w:r>
        <w:t xml:space="preserve">Role of forest regrowth in global carbon sink dynamics.</w:t>
      </w:r>
      <w:r>
        <w:t xml:space="preserve"> </w:t>
      </w:r>
      <w:r>
        <w:rPr>
          <w:i/>
        </w:rPr>
        <w:t xml:space="preserve">Proceedings of the National Academy of Sciences</w:t>
      </w:r>
      <w:r>
        <w:t xml:space="preserve"> </w:t>
      </w:r>
      <w:r>
        <w:rPr>
          <w:b/>
        </w:rPr>
        <w:t xml:space="preserve">116</w:t>
      </w:r>
      <w:r>
        <w:t xml:space="preserve">, 4382–4387 (2019).</w:t>
      </w:r>
    </w:p>
    <w:bookmarkEnd w:id="57"/>
    <w:bookmarkStart w:id="58" w:name="ref-arora_carbon_2020"/>
    <w:p>
      <w:pPr>
        <w:pStyle w:val="Bibliography"/>
      </w:pPr>
      <w:r>
        <w:t xml:space="preserve">22. Arora, V. K.</w:t>
      </w:r>
      <w:r>
        <w:t xml:space="preserve"> </w:t>
      </w:r>
      <w:r>
        <w:rPr>
          <w:i/>
        </w:rPr>
        <w:t xml:space="preserve">et al.</w:t>
      </w:r>
      <w:r>
        <w:t xml:space="preserve"> </w:t>
      </w:r>
      <w:r>
        <w:t xml:space="preserve">CarbonConcentration and carbonClimate feedbacks in CMIP6 models and their comparison to CMIP5 models.</w:t>
      </w:r>
      <w:r>
        <w:t xml:space="preserve"> </w:t>
      </w:r>
      <w:r>
        <w:rPr>
          <w:i/>
        </w:rPr>
        <w:t xml:space="preserve">Biogeosciences</w:t>
      </w:r>
      <w:r>
        <w:t xml:space="preserve"> </w:t>
      </w:r>
      <w:r>
        <w:rPr>
          <w:b/>
        </w:rPr>
        <w:t xml:space="preserve">17</w:t>
      </w:r>
      <w:r>
        <w:t xml:space="preserve">, 4173–4222 (2020).</w:t>
      </w:r>
    </w:p>
    <w:bookmarkEnd w:id="58"/>
    <w:bookmarkStart w:id="59" w:name="ref-keenan_timing_2015"/>
    <w:p>
      <w:pPr>
        <w:pStyle w:val="Bibliography"/>
      </w:pPr>
      <w:r>
        <w:t xml:space="preserve">23. Keenan, T. F. &amp; Richardson, A. D. The timing of autumn senescence is affected by the timing of spring phenology: Implications for predictive models.</w:t>
      </w:r>
      <w:r>
        <w:t xml:space="preserve"> </w:t>
      </w:r>
      <w:r>
        <w:rPr>
          <w:i/>
        </w:rPr>
        <w:t xml:space="preserve">Global Change Biology</w:t>
      </w:r>
      <w:r>
        <w:t xml:space="preserve"> </w:t>
      </w:r>
      <w:r>
        <w:rPr>
          <w:b/>
        </w:rPr>
        <w:t xml:space="preserve">21</w:t>
      </w:r>
      <w:r>
        <w:t xml:space="preserve">, 2634–2641 (2015).</w:t>
      </w:r>
    </w:p>
    <w:bookmarkEnd w:id="59"/>
    <w:bookmarkStart w:id="60" w:name="ref-zohner_how_2021"/>
    <w:p>
      <w:pPr>
        <w:pStyle w:val="Bibliography"/>
      </w:pPr>
      <w:r>
        <w:t xml:space="preserve">24. Zohner, C. M., Renner, S. S., Sebald, V. &amp; Crowther, T. W. How changes in spring and autumn phenology translate into growth-experimental evidence of asymmetric effects.</w:t>
      </w:r>
      <w:r>
        <w:t xml:space="preserve"> </w:t>
      </w:r>
      <w:r>
        <w:rPr>
          <w:i/>
        </w:rPr>
        <w:t xml:space="preserve">Journal of Ecology</w:t>
      </w:r>
      <w:r>
        <w:t xml:space="preserve"> </w:t>
      </w:r>
      <w:r>
        <w:rPr>
          <w:b/>
        </w:rPr>
        <w:t xml:space="preserve">109</w:t>
      </w:r>
      <w:r>
        <w:t xml:space="preserve">, 2717–2728 (2021).</w:t>
      </w:r>
    </w:p>
    <w:bookmarkEnd w:id="60"/>
    <w:bookmarkStart w:id="62" w:name="ref-dorangeville_peak_2021"/>
    <w:p>
      <w:pPr>
        <w:pStyle w:val="Bibliography"/>
      </w:pPr>
      <w:r>
        <w:t xml:space="preserve">25. D’Orangeville, L.</w:t>
      </w:r>
      <w:r>
        <w:t xml:space="preserve"> </w:t>
      </w:r>
      <w:r>
        <w:rPr>
          <w:i/>
        </w:rPr>
        <w:t xml:space="preserve">et al.</w:t>
      </w:r>
      <w:r>
        <w:t xml:space="preserve"> </w:t>
      </w:r>
      <w:r>
        <w:t xml:space="preserve">Peak radial growth of diffuse-porous species occurs during periods of lower water availability than for ring-porous and coniferous trees.</w:t>
      </w:r>
      <w:r>
        <w:t xml:space="preserve"> </w:t>
      </w:r>
      <w:r>
        <w:rPr>
          <w:i/>
        </w:rPr>
        <w:t xml:space="preserve">Tree Physiology</w:t>
      </w:r>
      <w:r>
        <w:t xml:space="preserve"> </w:t>
      </w:r>
      <w:r>
        <w:t xml:space="preserve">(2021) doi:</w:t>
      </w:r>
      <w:hyperlink r:id="rId61">
        <w:r>
          <w:rPr>
            <w:rStyle w:val="Hyperlink"/>
          </w:rPr>
          <w:t xml:space="preserve">10.1093/treephys/tpab101</w:t>
        </w:r>
      </w:hyperlink>
      <w:r>
        <w:t xml:space="preserve">.</w:t>
      </w:r>
    </w:p>
    <w:bookmarkEnd w:id="62"/>
    <w:bookmarkStart w:id="63" w:name="ref-dorangeville_drought_2018"/>
    <w:p>
      <w:pPr>
        <w:pStyle w:val="Bibliography"/>
      </w:pPr>
      <w:r>
        <w:t xml:space="preserve">26. D’Orangeville, L.</w:t>
      </w:r>
      <w:r>
        <w:t xml:space="preserve"> </w:t>
      </w:r>
      <w:r>
        <w:rPr>
          <w:i/>
        </w:rPr>
        <w:t xml:space="preserve">et al.</w:t>
      </w:r>
      <w:r>
        <w:t xml:space="preserve"> </w:t>
      </w:r>
      <w:r>
        <w:t xml:space="preserve">Drought timing and local climate determine the sensitivity of eastern temperate forests to drought.</w:t>
      </w:r>
      <w:r>
        <w:t xml:space="preserve"> </w:t>
      </w:r>
      <w:r>
        <w:rPr>
          <w:i/>
        </w:rPr>
        <w:t xml:space="preserve">Global Change Biology</w:t>
      </w:r>
      <w:r>
        <w:t xml:space="preserve"> </w:t>
      </w:r>
      <w:r>
        <w:rPr>
          <w:b/>
        </w:rPr>
        <w:t xml:space="preserve">24</w:t>
      </w:r>
      <w:r>
        <w:t xml:space="preserve">, 2339–2351 (2018).</w:t>
      </w:r>
    </w:p>
    <w:bookmarkEnd w:id="63"/>
    <w:bookmarkStart w:id="64" w:name="ref-helcoski_growing_2019"/>
    <w:p>
      <w:pPr>
        <w:pStyle w:val="Bibliography"/>
      </w:pPr>
      <w:r>
        <w:t xml:space="preserve">27. Helcoski, R.</w:t>
      </w:r>
      <w:r>
        <w:t xml:space="preserve"> </w:t>
      </w:r>
      <w:r>
        <w:rPr>
          <w:i/>
        </w:rPr>
        <w:t xml:space="preserve">et al.</w:t>
      </w:r>
      <w:r>
        <w:t xml:space="preserve"> </w:t>
      </w:r>
      <w:r>
        <w:t xml:space="preserve">Growing season moisture drives interannual variation in woody productivity of a temperate deciduous forest.</w:t>
      </w:r>
      <w:r>
        <w:t xml:space="preserve"> </w:t>
      </w:r>
      <w:r>
        <w:rPr>
          <w:i/>
        </w:rPr>
        <w:t xml:space="preserve">New Phytologist</w:t>
      </w:r>
      <w:r>
        <w:t xml:space="preserve"> </w:t>
      </w:r>
      <w:r>
        <w:rPr>
          <w:b/>
        </w:rPr>
        <w:t xml:space="preserve">223</w:t>
      </w:r>
      <w:r>
        <w:t xml:space="preserve">, 1204–1216 (2019).</w:t>
      </w:r>
    </w:p>
    <w:bookmarkEnd w:id="64"/>
    <w:bookmarkStart w:id="65" w:name="ref-mcmahon_general_2015"/>
    <w:p>
      <w:pPr>
        <w:pStyle w:val="Bibliography"/>
      </w:pPr>
      <w:r>
        <w:t xml:space="preserve">28. McMahon, S. M. &amp; Parker, G. G. A general model of intra-annual tree growth using dendrometer bands.</w:t>
      </w:r>
      <w:r>
        <w:t xml:space="preserve"> </w:t>
      </w:r>
      <w:r>
        <w:rPr>
          <w:i/>
        </w:rPr>
        <w:t xml:space="preserve">Ecology and Evolution</w:t>
      </w:r>
      <w:r>
        <w:t xml:space="preserve"> </w:t>
      </w:r>
      <w:r>
        <w:rPr>
          <w:b/>
        </w:rPr>
        <w:t xml:space="preserve">5</w:t>
      </w:r>
      <w:r>
        <w:t xml:space="preserve">, 243–254 (2015).</w:t>
      </w:r>
    </w:p>
    <w:bookmarkEnd w:id="65"/>
    <w:bookmarkStart w:id="66" w:name="ref-parmesan_globally_2003"/>
    <w:p>
      <w:pPr>
        <w:pStyle w:val="Bibliography"/>
      </w:pPr>
      <w:r>
        <w:t xml:space="preserve">29. Parmesan, C. &amp; Yohe, G. A globally coherent fingerprint of climate change impacts across natural systems.</w:t>
      </w:r>
      <w:r>
        <w:t xml:space="preserve"> </w:t>
      </w:r>
      <w:r>
        <w:rPr>
          <w:i/>
        </w:rPr>
        <w:t xml:space="preserve">Nature</w:t>
      </w:r>
      <w:r>
        <w:t xml:space="preserve"> </w:t>
      </w:r>
      <w:r>
        <w:rPr>
          <w:b/>
        </w:rPr>
        <w:t xml:space="preserve">421</w:t>
      </w:r>
      <w:r>
        <w:t xml:space="preserve">, 37–42 (2003).</w:t>
      </w:r>
    </w:p>
    <w:bookmarkEnd w:id="66"/>
    <w:bookmarkStart w:id="67" w:name="ref-friedl_tale_2014"/>
    <w:p>
      <w:pPr>
        <w:pStyle w:val="Bibliography"/>
      </w:pPr>
      <w:r>
        <w:t xml:space="preserve">30. Friedl, M. A.</w:t>
      </w:r>
      <w:r>
        <w:t xml:space="preserve"> </w:t>
      </w:r>
      <w:r>
        <w:rPr>
          <w:i/>
        </w:rPr>
        <w:t xml:space="preserve">et al.</w:t>
      </w:r>
      <w:r>
        <w:t xml:space="preserve"> </w:t>
      </w:r>
      <w:r>
        <w:t xml:space="preserve">A tale of two springs: Using recent climate anomalies to characterize the sensitivity of temperate forest phenology to climate change.</w:t>
      </w:r>
      <w:r>
        <w:t xml:space="preserve"> </w:t>
      </w:r>
      <w:r>
        <w:rPr>
          <w:i/>
        </w:rPr>
        <w:t xml:space="preserve">Environmental Research Letters</w:t>
      </w:r>
      <w:r>
        <w:t xml:space="preserve"> </w:t>
      </w:r>
      <w:r>
        <w:rPr>
          <w:b/>
        </w:rPr>
        <w:t xml:space="preserve">9</w:t>
      </w:r>
      <w:r>
        <w:t xml:space="preserve">, 054006 (2014).</w:t>
      </w:r>
    </w:p>
    <w:bookmarkEnd w:id="67"/>
    <w:bookmarkStart w:id="68" w:name="ref-fu_variation_2014"/>
    <w:p>
      <w:pPr>
        <w:pStyle w:val="Bibliography"/>
      </w:pPr>
      <w:r>
        <w:t xml:space="preserve">31. Fu, Y. S. H.</w:t>
      </w:r>
      <w:r>
        <w:t xml:space="preserve"> </w:t>
      </w:r>
      <w:r>
        <w:rPr>
          <w:i/>
        </w:rPr>
        <w:t xml:space="preserve">et al.</w:t>
      </w:r>
      <w:r>
        <w:t xml:space="preserve"> </w:t>
      </w:r>
      <w:r>
        <w:t xml:space="preserve">Variation in leaf flushing date influences autumnal senescence and next year’s flushing date in two temperate tree species.</w:t>
      </w:r>
      <w:r>
        <w:t xml:space="preserve"> </w:t>
      </w:r>
      <w:r>
        <w:rPr>
          <w:i/>
        </w:rPr>
        <w:t xml:space="preserve">Proceedings of the National Academy of Sciences</w:t>
      </w:r>
      <w:r>
        <w:t xml:space="preserve"> </w:t>
      </w:r>
      <w:r>
        <w:rPr>
          <w:b/>
        </w:rPr>
        <w:t xml:space="preserve">111</w:t>
      </w:r>
      <w:r>
        <w:t xml:space="preserve">, 7355–7360 (2014).</w:t>
      </w:r>
    </w:p>
    <w:bookmarkEnd w:id="68"/>
    <w:bookmarkStart w:id="69" w:name="ref-zhang_drought_2021"/>
    <w:p>
      <w:pPr>
        <w:pStyle w:val="Bibliography"/>
      </w:pPr>
      <w:r>
        <w:t xml:space="preserve">32. Zhang, J.</w:t>
      </w:r>
      <w:r>
        <w:t xml:space="preserve"> </w:t>
      </w:r>
      <w:r>
        <w:rPr>
          <w:i/>
        </w:rPr>
        <w:t xml:space="preserve">et al.</w:t>
      </w:r>
      <w:r>
        <w:t xml:space="preserve"> </w:t>
      </w:r>
      <w:r>
        <w:t xml:space="preserve">Drought limits wood production of Juniperus przewalskii even as growing seasons lengthens in a cold and arid environment.</w:t>
      </w:r>
      <w:r>
        <w:t xml:space="preserve"> </w:t>
      </w:r>
      <w:r>
        <w:rPr>
          <w:i/>
        </w:rPr>
        <w:t xml:space="preserve">CATENA</w:t>
      </w:r>
      <w:r>
        <w:t xml:space="preserve"> </w:t>
      </w:r>
      <w:r>
        <w:rPr>
          <w:b/>
        </w:rPr>
        <w:t xml:space="preserve">196</w:t>
      </w:r>
      <w:r>
        <w:t xml:space="preserve">, 104936 (2021).</w:t>
      </w:r>
    </w:p>
    <w:bookmarkEnd w:id="69"/>
    <w:bookmarkStart w:id="70" w:name="ref-vicente-serrano_multiscalar_2010"/>
    <w:p>
      <w:pPr>
        <w:pStyle w:val="Bibliography"/>
      </w:pPr>
      <w:r>
        <w:t xml:space="preserve">33. Vicente-Serrano, S. M., Beguería, S. &amp; López-Moreno, J. I. A Multiscalar Drought Index Sensitive to Global Warming: The Standardized Precipitation Evapotranspiration Index.</w:t>
      </w:r>
      <w:r>
        <w:t xml:space="preserve"> </w:t>
      </w:r>
      <w:r>
        <w:rPr>
          <w:i/>
        </w:rPr>
        <w:t xml:space="preserve">Journal of Climate</w:t>
      </w:r>
      <w:r>
        <w:t xml:space="preserve"> </w:t>
      </w:r>
      <w:r>
        <w:rPr>
          <w:b/>
        </w:rPr>
        <w:t xml:space="preserve">23</w:t>
      </w:r>
      <w:r>
        <w:t xml:space="preserve">, 1696–1718 (2010).</w:t>
      </w:r>
    </w:p>
    <w:bookmarkEnd w:id="70"/>
    <w:bookmarkStart w:id="71" w:name="ref-zohner_ongoing_2019"/>
    <w:p>
      <w:pPr>
        <w:pStyle w:val="Bibliography"/>
      </w:pPr>
      <w:r>
        <w:t xml:space="preserve">34. Zohner, C. M. &amp; Renner, S. S.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 (2019).</w:t>
      </w:r>
    </w:p>
    <w:bookmarkEnd w:id="71"/>
    <w:bookmarkStart w:id="72" w:name="ref-xie_predicting_2018"/>
    <w:p>
      <w:pPr>
        <w:pStyle w:val="Bibliography"/>
      </w:pPr>
      <w:r>
        <w:t xml:space="preserve">35. Xie, Y., Wang, X., Wilson, A. M. &amp; Silander, J. A. Predicting autumn phenology: How deciduous tree species respond to weather stressors.</w:t>
      </w:r>
      <w:r>
        <w:t xml:space="preserve"> </w:t>
      </w:r>
      <w:r>
        <w:rPr>
          <w:i/>
        </w:rPr>
        <w:t xml:space="preserve">Agricultural and Forest Meteorology</w:t>
      </w:r>
      <w:r>
        <w:t xml:space="preserve"> </w:t>
      </w:r>
      <w:r>
        <w:rPr>
          <w:b/>
        </w:rPr>
        <w:t xml:space="preserve">250–251</w:t>
      </w:r>
      <w:r>
        <w:t xml:space="preserve">, 127–137 (2018).</w:t>
      </w:r>
    </w:p>
    <w:bookmarkEnd w:id="72"/>
    <w:bookmarkStart w:id="73" w:name="ref-cuny_woody_2015"/>
    <w:p>
      <w:pPr>
        <w:pStyle w:val="Bibliography"/>
      </w:pPr>
      <w:r>
        <w:t xml:space="preserve">36. Cuny, H. E.</w:t>
      </w:r>
      <w:r>
        <w:t xml:space="preserve"> </w:t>
      </w:r>
      <w:r>
        <w:rPr>
          <w:i/>
        </w:rPr>
        <w:t xml:space="preserve">et al.</w:t>
      </w:r>
      <w:r>
        <w:t xml:space="preserve"> </w:t>
      </w:r>
      <w:r>
        <w:t xml:space="preserve">Woody biomass production lags stem-girth increase by over one month in coniferous forests.</w:t>
      </w:r>
      <w:r>
        <w:t xml:space="preserve"> </w:t>
      </w:r>
      <w:r>
        <w:rPr>
          <w:i/>
        </w:rPr>
        <w:t xml:space="preserve">Nature Plants</w:t>
      </w:r>
      <w:r>
        <w:t xml:space="preserve"> </w:t>
      </w:r>
      <w:r>
        <w:rPr>
          <w:b/>
        </w:rPr>
        <w:t xml:space="preserve">1</w:t>
      </w:r>
      <w:r>
        <w:t xml:space="preserve">, 15160 (2015).</w:t>
      </w:r>
    </w:p>
    <w:bookmarkEnd w:id="73"/>
    <w:bookmarkStart w:id="74" w:name="ref-tardif_influence_2006"/>
    <w:p>
      <w:pPr>
        <w:pStyle w:val="Bibliography"/>
      </w:pPr>
      <w:r>
        <w:t xml:space="preserve">37. Tardif, J. C. &amp; Conciatori, F. Influence of climate on tree rings and vessel features in red oak and white oak growing near their northern distribution limit, southwestern Quebec, Canada.</w:t>
      </w:r>
      <w:r>
        <w:t xml:space="preserve"> </w:t>
      </w:r>
      <w:r>
        <w:rPr>
          <w:i/>
        </w:rPr>
        <w:t xml:space="preserve">Canadian Journal of Forest Research</w:t>
      </w:r>
      <w:r>
        <w:t xml:space="preserve"> </w:t>
      </w:r>
      <w:r>
        <w:rPr>
          <w:b/>
        </w:rPr>
        <w:t xml:space="preserve">36</w:t>
      </w:r>
      <w:r>
        <w:t xml:space="preserve">, 2317–2330 (2006).</w:t>
      </w:r>
    </w:p>
    <w:bookmarkEnd w:id="74"/>
    <w:bookmarkStart w:id="75" w:name="ref-roibu_climatic_2020"/>
    <w:p>
      <w:pPr>
        <w:pStyle w:val="Bibliography"/>
      </w:pPr>
      <w:r>
        <w:t xml:space="preserve">38. Roibu, C.-C.</w:t>
      </w:r>
      <w:r>
        <w:t xml:space="preserve"> </w:t>
      </w:r>
      <w:r>
        <w:rPr>
          <w:i/>
        </w:rPr>
        <w:t xml:space="preserve">et al.</w:t>
      </w:r>
      <w:r>
        <w:t xml:space="preserve"> </w:t>
      </w:r>
      <w:r>
        <w:t xml:space="preserve">The Climatic Response of Tree Ring Width Components of Ash (Fraxinus excelsior L.) And Common Oak (Quercus robur L.) From Eastern Europe.</w:t>
      </w:r>
      <w:r>
        <w:t xml:space="preserve"> </w:t>
      </w:r>
      <w:r>
        <w:rPr>
          <w:i/>
        </w:rPr>
        <w:t xml:space="preserve">Forests</w:t>
      </w:r>
      <w:r>
        <w:t xml:space="preserve"> </w:t>
      </w:r>
      <w:r>
        <w:rPr>
          <w:b/>
        </w:rPr>
        <w:t xml:space="preserve">11</w:t>
      </w:r>
      <w:r>
        <w:t xml:space="preserve">, 600 (2020).</w:t>
      </w:r>
    </w:p>
    <w:bookmarkEnd w:id="75"/>
    <w:bookmarkStart w:id="76" w:name="ref-kern_multiple_2013"/>
    <w:p>
      <w:pPr>
        <w:pStyle w:val="Bibliography"/>
      </w:pPr>
      <w:r>
        <w:t xml:space="preserve">39. Kern, Z.</w:t>
      </w:r>
      <w:r>
        <w:t xml:space="preserve"> </w:t>
      </w:r>
      <w:r>
        <w:rPr>
          <w:i/>
        </w:rPr>
        <w:t xml:space="preserve">et al.</w:t>
      </w:r>
      <w:r>
        <w:t xml:space="preserve"> </w:t>
      </w:r>
      <w:r>
        <w:t xml:space="preserve">Multiple tree-ring proxies (earlywood width, latewood width and</w:t>
      </w:r>
      <w:r>
        <w:t xml:space="preserve"> </w:t>
      </w:r>
      <m:oMath>
        <m:r>
          <m:t>δ</m:t>
        </m:r>
      </m:oMath>
      <w:r>
        <w:t xml:space="preserve">13C) from pedunculate oak (Quercus robur L.), Hungary.</w:t>
      </w:r>
      <w:r>
        <w:t xml:space="preserve"> </w:t>
      </w:r>
      <w:r>
        <w:rPr>
          <w:i/>
        </w:rPr>
        <w:t xml:space="preserve">Quaternary International</w:t>
      </w:r>
      <w:r>
        <w:t xml:space="preserve"> </w:t>
      </w:r>
      <w:r>
        <w:rPr>
          <w:b/>
        </w:rPr>
        <w:t xml:space="preserve">293</w:t>
      </w:r>
      <w:r>
        <w:t xml:space="preserve">, 257–267 (2013).</w:t>
      </w:r>
    </w:p>
    <w:bookmarkEnd w:id="76"/>
    <w:bookmarkStart w:id="77" w:name="ref-trumbore_quantifying_2002"/>
    <w:p>
      <w:pPr>
        <w:pStyle w:val="Bibliography"/>
      </w:pPr>
      <w:r>
        <w:t xml:space="preserve">40. Trumbore, S., Gaudinski, J. B., Hanson, P. J. &amp; Southon, J. R. Quantifying ecosystem-atmosphere carbon exchange with a 14C label.</w:t>
      </w:r>
      <w:r>
        <w:t xml:space="preserve"> </w:t>
      </w:r>
      <w:r>
        <w:rPr>
          <w:i/>
        </w:rPr>
        <w:t xml:space="preserve">Eos, Transactions American Geophysical Union</w:t>
      </w:r>
      <w:r>
        <w:t xml:space="preserve"> </w:t>
      </w:r>
      <w:r>
        <w:rPr>
          <w:b/>
        </w:rPr>
        <w:t xml:space="preserve">83</w:t>
      </w:r>
      <w:r>
        <w:t xml:space="preserve">, 265–268 (2002).</w:t>
      </w:r>
    </w:p>
    <w:bookmarkEnd w:id="77"/>
    <w:bookmarkStart w:id="78" w:name="ref-richardson_seasonal_2013"/>
    <w:p>
      <w:pPr>
        <w:pStyle w:val="Bibliography"/>
      </w:pPr>
      <w:r>
        <w:t xml:space="preserve">41. Richardson, A. D.</w:t>
      </w:r>
      <w:r>
        <w:t xml:space="preserve"> </w:t>
      </w:r>
      <w:r>
        <w:rPr>
          <w:i/>
        </w:rPr>
        <w:t xml:space="preserve">et al.</w:t>
      </w:r>
      <w:r>
        <w:t xml:space="preserve"> </w:t>
      </w:r>
      <w:r>
        <w:t xml:space="preserve">Seasonal dynamics and age of stemwood nonstructural carbohydrates in temperate forest trees.</w:t>
      </w:r>
      <w:r>
        <w:t xml:space="preserve"> </w:t>
      </w:r>
      <w:r>
        <w:rPr>
          <w:i/>
        </w:rPr>
        <w:t xml:space="preserve">New Phytologist</w:t>
      </w:r>
      <w:r>
        <w:t xml:space="preserve"> </w:t>
      </w:r>
      <w:r>
        <w:rPr>
          <w:b/>
        </w:rPr>
        <w:t xml:space="preserve">197</w:t>
      </w:r>
      <w:r>
        <w:t xml:space="preserve">, 850–861 (2013).</w:t>
      </w:r>
    </w:p>
    <w:bookmarkEnd w:id="78"/>
    <w:bookmarkStart w:id="79" w:name="ref-oishi_warmer_2018"/>
    <w:p>
      <w:pPr>
        <w:pStyle w:val="Bibliography"/>
      </w:pPr>
      <w:r>
        <w:t xml:space="preserve">42. Oishi, A. C.</w:t>
      </w:r>
      <w:r>
        <w:t xml:space="preserve"> </w:t>
      </w:r>
      <w:r>
        <w:rPr>
          <w:i/>
        </w:rPr>
        <w:t xml:space="preserve">et al.</w:t>
      </w:r>
      <w:r>
        <w:t xml:space="preserve"> </w:t>
      </w:r>
      <w:r>
        <w:t xml:space="preserve">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 (2018).</w:t>
      </w:r>
    </w:p>
    <w:bookmarkEnd w:id="79"/>
    <w:bookmarkStart w:id="80" w:name="ref-kannenberg_linking_2019"/>
    <w:p>
      <w:pPr>
        <w:pStyle w:val="Bibliography"/>
      </w:pPr>
      <w:r>
        <w:t xml:space="preserve">43. Kannenberg, S. A.</w:t>
      </w:r>
      <w:r>
        <w:t xml:space="preserve"> </w:t>
      </w:r>
      <w:r>
        <w:rPr>
          <w:i/>
        </w:rPr>
        <w:t xml:space="preserve">et al.</w:t>
      </w:r>
      <w:r>
        <w:t xml:space="preserve"> </w:t>
      </w:r>
      <w:r>
        <w:t xml:space="preserve">Linking drought legacy effects across scales: From leaves to tree rings to ecosystems.</w:t>
      </w:r>
      <w:r>
        <w:t xml:space="preserve"> </w:t>
      </w:r>
      <w:r>
        <w:rPr>
          <w:i/>
        </w:rPr>
        <w:t xml:space="preserve">Global Change Biology</w:t>
      </w:r>
      <w:r>
        <w:t xml:space="preserve"> </w:t>
      </w:r>
      <w:r>
        <w:rPr>
          <w:b/>
        </w:rPr>
        <w:t xml:space="preserve">25</w:t>
      </w:r>
      <w:r>
        <w:t xml:space="preserve">, 2978–2992 (2019).</w:t>
      </w:r>
    </w:p>
    <w:bookmarkEnd w:id="80"/>
    <w:bookmarkStart w:id="81" w:name="ref-gessler_way_2020"/>
    <w:p>
      <w:pPr>
        <w:pStyle w:val="Bibliography"/>
      </w:pPr>
      <w:r>
        <w:t xml:space="preserve">44. Gessler, A., Bottero, A., Marshall, J. &amp; Arend, M. The way back: Recovery of trees from drought and its implication for acclimation.</w:t>
      </w:r>
      <w:r>
        <w:t xml:space="preserve"> </w:t>
      </w:r>
      <w:r>
        <w:rPr>
          <w:i/>
        </w:rPr>
        <w:t xml:space="preserve">The New phytologist</w:t>
      </w:r>
      <w:r>
        <w:t xml:space="preserve"> </w:t>
      </w:r>
      <w:r>
        <w:rPr>
          <w:b/>
        </w:rPr>
        <w:t xml:space="preserve">228</w:t>
      </w:r>
      <w:r>
        <w:t xml:space="preserve">, 1704–1709 (2020).</w:t>
      </w:r>
    </w:p>
    <w:bookmarkEnd w:id="81"/>
    <w:bookmarkStart w:id="82" w:name="ref-fisichelli_temperate_2014"/>
    <w:p>
      <w:pPr>
        <w:pStyle w:val="Bibliography"/>
      </w:pPr>
      <w:r>
        <w:t xml:space="preserve">45. Fisichelli, N. A., Frelich, L. E. &amp; Reich, P. B. Temperate tree expansion into adjacent boreal forest patches facilitated by warmer temperatures.</w:t>
      </w:r>
      <w:r>
        <w:t xml:space="preserve"> </w:t>
      </w:r>
      <w:r>
        <w:rPr>
          <w:i/>
        </w:rPr>
        <w:t xml:space="preserve">Ecography</w:t>
      </w:r>
      <w:r>
        <w:t xml:space="preserve"> </w:t>
      </w:r>
      <w:r>
        <w:rPr>
          <w:b/>
        </w:rPr>
        <w:t xml:space="preserve">37</w:t>
      </w:r>
      <w:r>
        <w:t xml:space="preserve">, 152–161 (2014).</w:t>
      </w:r>
    </w:p>
    <w:bookmarkEnd w:id="82"/>
    <w:bookmarkStart w:id="83" w:name="ref-anderson-teixeira_joint_2021"/>
    <w:p>
      <w:pPr>
        <w:pStyle w:val="Bibliography"/>
      </w:pPr>
      <w:r>
        <w:t xml:space="preserve">46. Anderson-Teixeira, K. J.</w:t>
      </w:r>
      <w:r>
        <w:t xml:space="preserve"> </w:t>
      </w:r>
      <w:r>
        <w:rPr>
          <w:i/>
        </w:rPr>
        <w:t xml:space="preserve">et al.</w:t>
      </w:r>
      <w:r>
        <w:t xml:space="preserve"> </w:t>
      </w:r>
      <w:r>
        <w:t xml:space="preserve">Joint effects of climate, tree size, and year on annual tree growth derived from tree-ring records of ten globally distributed forests.</w:t>
      </w:r>
      <w:r>
        <w:t xml:space="preserve"> </w:t>
      </w:r>
      <w:r>
        <w:rPr>
          <w:i/>
        </w:rPr>
        <w:t xml:space="preserve">Global Change Biology</w:t>
      </w:r>
      <w:r>
        <w:t xml:space="preserve"> </w:t>
      </w:r>
      <w:r>
        <w:rPr>
          <w:b/>
        </w:rPr>
        <w:t xml:space="preserve">n/a</w:t>
      </w:r>
      <w:r>
        <w:t xml:space="preserve">, (2021).</w:t>
      </w:r>
    </w:p>
    <w:bookmarkEnd w:id="83"/>
    <w:bookmarkStart w:id="85" w:name="ref-banburymorgan_global_2021"/>
    <w:p>
      <w:pPr>
        <w:pStyle w:val="Bibliography"/>
      </w:pPr>
      <w:r>
        <w:t xml:space="preserve">47. Banbury Morgan, R.</w:t>
      </w:r>
      <w:r>
        <w:t xml:space="preserve"> </w:t>
      </w:r>
      <w:r>
        <w:rPr>
          <w:i/>
        </w:rPr>
        <w:t xml:space="preserve">et al.</w:t>
      </w:r>
      <w:r>
        <w:t xml:space="preserve"> </w:t>
      </w:r>
      <w:r>
        <w:t xml:space="preserve">Global patterns of forest autotrophic carbon fluxes.</w:t>
      </w:r>
      <w:r>
        <w:t xml:space="preserve"> </w:t>
      </w:r>
      <w:r>
        <w:rPr>
          <w:i/>
        </w:rPr>
        <w:t xml:space="preserve">Global Change Biology</w:t>
      </w:r>
      <w:r>
        <w:t xml:space="preserve"> </w:t>
      </w:r>
      <w:r>
        <w:t xml:space="preserve">gcb.15574 (2021) doi:</w:t>
      </w:r>
      <w:hyperlink r:id="rId84">
        <w:r>
          <w:rPr>
            <w:rStyle w:val="Hyperlink"/>
          </w:rPr>
          <w:t xml:space="preserve">10.1111/gcb.15574</w:t>
        </w:r>
      </w:hyperlink>
      <w:r>
        <w:t xml:space="preserve">.</w:t>
      </w:r>
    </w:p>
    <w:bookmarkEnd w:id="85"/>
    <w:bookmarkStart w:id="86" w:name="ref-churkina_spatial_2005"/>
    <w:p>
      <w:pPr>
        <w:pStyle w:val="Bibliography"/>
      </w:pPr>
      <w:r>
        <w:t xml:space="preserve">48. Churkina, G., Schimel, D., Braswell, B. H. &amp; Xiao, X. Spatial analysis of growing season length control over net ecosystem exchange.</w:t>
      </w:r>
      <w:r>
        <w:t xml:space="preserve"> </w:t>
      </w:r>
      <w:r>
        <w:rPr>
          <w:i/>
        </w:rPr>
        <w:t xml:space="preserve">Global Change Biology</w:t>
      </w:r>
      <w:r>
        <w:t xml:space="preserve"> </w:t>
      </w:r>
      <w:r>
        <w:rPr>
          <w:b/>
        </w:rPr>
        <w:t xml:space="preserve">11</w:t>
      </w:r>
      <w:r>
        <w:t xml:space="preserve">, 1777–1787 (2005).</w:t>
      </w:r>
    </w:p>
    <w:bookmarkEnd w:id="86"/>
    <w:bookmarkStart w:id="87" w:name="ref-bourg_initial_2013"/>
    <w:p>
      <w:pPr>
        <w:pStyle w:val="Bibliography"/>
      </w:pPr>
      <w:r>
        <w:t xml:space="preserve">49. Bourg, N. A., McShea, W. J., Thompson, J. R., McGarvey, J. C. &amp; Shen, X. Initial census, woody seedling, seed rain, and stand structure data for the SCBI SIGEO Large Forest Dynamics Plot:</w:t>
      </w:r>
      <w:r>
        <w:t xml:space="preserve"> </w:t>
      </w:r>
      <w:r>
        <w:rPr>
          <w:i/>
        </w:rPr>
        <w:t xml:space="preserve">Ecological</w:t>
      </w:r>
      <w:r>
        <w:t xml:space="preserve"> </w:t>
      </w:r>
      <w:r>
        <w:rPr>
          <w:i/>
        </w:rPr>
        <w:t xml:space="preserve">Archives</w:t>
      </w:r>
      <w:r>
        <w:t xml:space="preserve"> </w:t>
      </w:r>
      <w:r>
        <w:t xml:space="preserve">E094-195.</w:t>
      </w:r>
      <w:r>
        <w:t xml:space="preserve"> </w:t>
      </w:r>
      <w:r>
        <w:rPr>
          <w:i/>
        </w:rPr>
        <w:t xml:space="preserve">Ecology</w:t>
      </w:r>
      <w:r>
        <w:t xml:space="preserve"> </w:t>
      </w:r>
      <w:r>
        <w:rPr>
          <w:b/>
        </w:rPr>
        <w:t xml:space="preserve">94</w:t>
      </w:r>
      <w:r>
        <w:t xml:space="preserve">, 2111–2112 (2013).</w:t>
      </w:r>
    </w:p>
    <w:bookmarkEnd w:id="87"/>
    <w:bookmarkStart w:id="88" w:name="ref-anderson-teixeira_ctfsforestgeo_2015"/>
    <w:p>
      <w:pPr>
        <w:pStyle w:val="Bibliography"/>
      </w:pPr>
      <w:r>
        <w:t xml:space="preserve">50. Anderson-Teixeira, K. J.</w:t>
      </w:r>
      <w:r>
        <w:t xml:space="preserve"> </w:t>
      </w:r>
      <w:r>
        <w:rPr>
          <w:i/>
        </w:rPr>
        <w:t xml:space="preserve">et al.</w:t>
      </w:r>
      <w:r>
        <w:t xml:space="preserve"> </w:t>
      </w:r>
      <w:r>
        <w:t xml:space="preserve">CTFS-ForestGEO : A worldwide network monitoring forests in an era of global change.</w:t>
      </w:r>
      <w:r>
        <w:t xml:space="preserve"> </w:t>
      </w:r>
      <w:r>
        <w:rPr>
          <w:i/>
        </w:rPr>
        <w:t xml:space="preserve">Global Change Biology</w:t>
      </w:r>
      <w:r>
        <w:t xml:space="preserve"> </w:t>
      </w:r>
      <w:r>
        <w:rPr>
          <w:b/>
        </w:rPr>
        <w:t xml:space="preserve">21</w:t>
      </w:r>
      <w:r>
        <w:t xml:space="preserve">, 528–549 (2015).</w:t>
      </w:r>
    </w:p>
    <w:bookmarkEnd w:id="88"/>
    <w:bookmarkStart w:id="89" w:name="ref-davies_forestgeo_2021"/>
    <w:p>
      <w:pPr>
        <w:pStyle w:val="Bibliography"/>
      </w:pPr>
      <w:r>
        <w:t xml:space="preserve">51. Davies, S. J.</w:t>
      </w:r>
      <w:r>
        <w:t xml:space="preserve"> </w:t>
      </w:r>
      <w:r>
        <w:rPr>
          <w:i/>
        </w:rPr>
        <w:t xml:space="preserve">et al.</w:t>
      </w:r>
      <w:r>
        <w:t xml:space="preserve"> </w:t>
      </w:r>
      <w:r>
        <w:t xml:space="preserve">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108907 (2021).</w:t>
      </w:r>
    </w:p>
    <w:bookmarkEnd w:id="89"/>
    <w:bookmarkStart w:id="91" w:name="ref-friedl_mcd12q2_2019"/>
    <w:p>
      <w:pPr>
        <w:pStyle w:val="Bibliography"/>
      </w:pPr>
      <w:r>
        <w:t xml:space="preserve">52. Friedl, M., Gray, J. &amp; Sulla-Menashe, D. MCD12Q2 MODIS/Terra+Aqua Land Cover Dynamics Yearly L3 Global 500m SIN Grid V006. (2019) doi:</w:t>
      </w:r>
      <w:hyperlink r:id="rId90">
        <w:r>
          <w:rPr>
            <w:rStyle w:val="Hyperlink"/>
          </w:rPr>
          <w:t xml:space="preserve">10.5067/MODIS/MCD12Q2.006</w:t>
        </w:r>
      </w:hyperlink>
      <w:r>
        <w:t xml:space="preserve">.</w:t>
      </w:r>
    </w:p>
    <w:bookmarkEnd w:id="91"/>
    <w:bookmarkStart w:id="93" w:name="ref-anderson-teixeira_forestgeo_2020"/>
    <w:p>
      <w:pPr>
        <w:pStyle w:val="Bibliography"/>
      </w:pPr>
      <w:r>
        <w:t xml:space="preserve">53. Anderson-Teixeira, K.</w:t>
      </w:r>
      <w:r>
        <w:t xml:space="preserve"> </w:t>
      </w:r>
      <w:r>
        <w:rPr>
          <w:i/>
        </w:rPr>
        <w:t xml:space="preserve">et al.</w:t>
      </w:r>
      <w:r>
        <w:t xml:space="preserve"> </w:t>
      </w:r>
      <w:r>
        <w:t xml:space="preserve">Forestgeo/Climate: Initial release. (2020) doi:</w:t>
      </w:r>
      <w:hyperlink r:id="rId92">
        <w:r>
          <w:rPr>
            <w:rStyle w:val="Hyperlink"/>
          </w:rPr>
          <w:t xml:space="preserve">10.5281/ZENODO.4041609</w:t>
        </w:r>
      </w:hyperlink>
      <w:r>
        <w:t xml:space="preserve">.</w:t>
      </w:r>
    </w:p>
    <w:bookmarkEnd w:id="93"/>
    <w:bookmarkStart w:id="94" w:name="ref-benestad_empiricalstatistical_2008"/>
    <w:p>
      <w:pPr>
        <w:pStyle w:val="Bibliography"/>
      </w:pPr>
      <w:r>
        <w:t xml:space="preserve">54. Benestad, R. E., Hanssen-Bauer, I. &amp; Chen, D.</w:t>
      </w:r>
      <w:r>
        <w:t xml:space="preserve"> </w:t>
      </w:r>
      <w:r>
        <w:rPr>
          <w:i/>
        </w:rPr>
        <w:t xml:space="preserve">Empirical-statistical downscaling</w:t>
      </w:r>
      <w:r>
        <w:t xml:space="preserve">. (World Scientific Pub Co Inc, 2008).</w:t>
      </w:r>
    </w:p>
    <w:bookmarkEnd w:id="94"/>
    <w:bookmarkStart w:id="96" w:name="ref-boose_shaler_2021"/>
    <w:p>
      <w:pPr>
        <w:pStyle w:val="Bibliography"/>
      </w:pPr>
      <w:r>
        <w:t xml:space="preserve">55. Boose, E. &amp; Gould, E. Shaler Meteorological Station at Harvard Forest 1964-2002. (2021) doi:</w:t>
      </w:r>
      <w:hyperlink r:id="rId95">
        <w:r>
          <w:rPr>
            <w:rStyle w:val="Hyperlink"/>
          </w:rPr>
          <w:t xml:space="preserve">10.6073/PASTA/213335F5DAA17222A738C105B9FA60C4</w:t>
        </w:r>
      </w:hyperlink>
      <w:r>
        <w:t xml:space="preserve">.</w:t>
      </w:r>
    </w:p>
    <w:bookmarkEnd w:id="96"/>
    <w:bookmarkStart w:id="98" w:name="ref-boose_fisher_2021"/>
    <w:p>
      <w:pPr>
        <w:pStyle w:val="Bibliography"/>
      </w:pPr>
      <w:r>
        <w:t xml:space="preserve">56. Boose, E. Fisher Meteorological Station at Harvard Forest since 2001. (2021) doi:</w:t>
      </w:r>
      <w:hyperlink r:id="rId97">
        <w:r>
          <w:rPr>
            <w:rStyle w:val="Hyperlink"/>
          </w:rPr>
          <w:t xml:space="preserve">10.6073/PASTA/69E92642B512897032446CFE795CFFB8</w:t>
        </w:r>
      </w:hyperlink>
      <w:r>
        <w:t xml:space="preserve">.</w:t>
      </w:r>
    </w:p>
    <w:bookmarkEnd w:id="98"/>
    <w:bookmarkStart w:id="99" w:name="ref-vandepol_identifying_2016"/>
    <w:p>
      <w:pPr>
        <w:pStyle w:val="Bibliography"/>
      </w:pPr>
      <w:r>
        <w:t xml:space="preserve">57. van de Pol, M.</w:t>
      </w:r>
      <w:r>
        <w:t xml:space="preserve"> </w:t>
      </w:r>
      <w:r>
        <w:rPr>
          <w:i/>
        </w:rPr>
        <w:t xml:space="preserve">et al.</w:t>
      </w:r>
      <w:r>
        <w:t xml:space="preserve"> </w:t>
      </w:r>
      <w:r>
        <w:t xml:space="preserve">Identifying the best climatic predictors in ecology and evolution.</w:t>
      </w:r>
      <w:r>
        <w:t xml:space="preserve"> </w:t>
      </w:r>
      <w:r>
        <w:rPr>
          <w:i/>
        </w:rPr>
        <w:t xml:space="preserve">Methods in Ecology and Evolution</w:t>
      </w:r>
      <w:r>
        <w:t xml:space="preserve"> </w:t>
      </w:r>
      <w:r>
        <w:rPr>
          <w:b/>
        </w:rPr>
        <w:t xml:space="preserve">7</w:t>
      </w:r>
      <w:r>
        <w:t xml:space="preserve">, 1246–1257 (2016).</w:t>
      </w:r>
    </w:p>
    <w:bookmarkEnd w:id="99"/>
    <w:bookmarkStart w:id="100" w:name="ref-gabry_rstanarm_2020"/>
    <w:p>
      <w:pPr>
        <w:pStyle w:val="Bibliography"/>
      </w:pPr>
      <w:r>
        <w:t xml:space="preserve">58. Gabry, J.</w:t>
      </w:r>
      <w:r>
        <w:t xml:space="preserve"> </w:t>
      </w:r>
      <w:r>
        <w:rPr>
          <w:i/>
        </w:rPr>
        <w:t xml:space="preserve">et al.</w:t>
      </w:r>
      <w:r>
        <w:t xml:space="preserve"> </w:t>
      </w:r>
      <w:r>
        <w:t xml:space="preserve">Rstanarm: Bayesian Applied Regression Modeling via Stan. (2020).</w:t>
      </w:r>
    </w:p>
    <w:bookmarkEnd w:id="100"/>
    <w:bookmarkStart w:id="101" w:name="ref-stan_development_team_stan_2019"/>
    <w:p>
      <w:pPr>
        <w:pStyle w:val="Bibliography"/>
      </w:pPr>
      <w:r>
        <w:t xml:space="preserve">59. Stan_Development_Team. Stan Modeling Language Users Guide and Reference Manual, 2.28. (2019).</w:t>
      </w:r>
    </w:p>
    <w:bookmarkEnd w:id="101"/>
    <w:bookmarkStart w:id="102" w:name="ref-stokes_introduction_1968"/>
    <w:p>
      <w:pPr>
        <w:pStyle w:val="Bibliography"/>
      </w:pPr>
      <w:r>
        <w:t xml:space="preserve">60. Stokes, M. A. &amp; Smiley, T. L.</w:t>
      </w:r>
      <w:r>
        <w:t xml:space="preserve"> </w:t>
      </w:r>
      <w:r>
        <w:rPr>
          <w:i/>
        </w:rPr>
        <w:t xml:space="preserve">An Introduction to Tree-ring Dating</w:t>
      </w:r>
      <w:r>
        <w:t xml:space="preserve">. (University of Arizona Press, 1968).</w:t>
      </w:r>
    </w:p>
    <w:bookmarkEnd w:id="102"/>
    <w:bookmarkStart w:id="103" w:name="ref-alexander_potential_2019"/>
    <w:p>
      <w:pPr>
        <w:pStyle w:val="Bibliography"/>
      </w:pPr>
      <w:r>
        <w:t xml:space="preserve">61. Alexander, M. R.</w:t>
      </w:r>
      <w:r>
        <w:t xml:space="preserve"> </w:t>
      </w:r>
      <w:r>
        <w:rPr>
          <w:i/>
        </w:rPr>
        <w:t xml:space="preserve">et al.</w:t>
      </w:r>
      <w:r>
        <w:t xml:space="preserve"> </w:t>
      </w:r>
      <w:r>
        <w:t xml:space="preserve">The potential to strengthen temperature reconstructions in ecoregions with limited tree line using a multispecies approach.</w:t>
      </w:r>
      <w:r>
        <w:t xml:space="preserve"> </w:t>
      </w:r>
      <w:r>
        <w:rPr>
          <w:i/>
        </w:rPr>
        <w:t xml:space="preserve">Quaternary Research</w:t>
      </w:r>
      <w:r>
        <w:t xml:space="preserve"> </w:t>
      </w:r>
      <w:r>
        <w:rPr>
          <w:b/>
        </w:rPr>
        <w:t xml:space="preserve">92</w:t>
      </w:r>
      <w:r>
        <w:t xml:space="preserve">, 583–597 (2019).</w:t>
      </w:r>
    </w:p>
    <w:bookmarkEnd w:id="103"/>
    <w:bookmarkStart w:id="104" w:name="ref-dye_comparing_2016"/>
    <w:p>
      <w:pPr>
        <w:pStyle w:val="Bibliography"/>
      </w:pPr>
      <w:r>
        <w:t xml:space="preserve">62. Dye, A.</w:t>
      </w:r>
      <w:r>
        <w:t xml:space="preserve"> </w:t>
      </w:r>
      <w:r>
        <w:rPr>
          <w:i/>
        </w:rPr>
        <w:t xml:space="preserve">et al.</w:t>
      </w:r>
      <w:r>
        <w:t xml:space="preserve"> </w:t>
      </w:r>
      <w:r>
        <w:t xml:space="preserve">Comparing tree-ring and permanent plot estimates of aboveground net primary production in three eastern U.S. Forests.</w:t>
      </w:r>
      <w:r>
        <w:t xml:space="preserve"> </w:t>
      </w:r>
      <w:r>
        <w:rPr>
          <w:i/>
        </w:rPr>
        <w:t xml:space="preserve">Ecosphere</w:t>
      </w:r>
      <w:r>
        <w:t xml:space="preserve"> </w:t>
      </w:r>
      <w:r>
        <w:rPr>
          <w:b/>
        </w:rPr>
        <w:t xml:space="preserve">7</w:t>
      </w:r>
      <w:r>
        <w:t xml:space="preserve">, e01454 (2016).</w:t>
      </w:r>
    </w:p>
    <w:bookmarkEnd w:id="104"/>
    <w:bookmarkStart w:id="105" w:name="ref-maxwell_sampling_2020"/>
    <w:p>
      <w:pPr>
        <w:pStyle w:val="Bibliography"/>
      </w:pPr>
      <w:r>
        <w:t xml:space="preserve">63. Maxwell, J. T.</w:t>
      </w:r>
      <w:r>
        <w:t xml:space="preserve"> </w:t>
      </w:r>
      <w:r>
        <w:rPr>
          <w:i/>
        </w:rPr>
        <w:t xml:space="preserve">et al.</w:t>
      </w:r>
      <w:r>
        <w:t xml:space="preserve"> </w:t>
      </w:r>
      <w:r>
        <w:t xml:space="preserve">Sampling density and date along with species selection influence spatial representation of tree-ring reconstructions.</w:t>
      </w:r>
      <w:r>
        <w:t xml:space="preserve"> </w:t>
      </w:r>
      <w:r>
        <w:rPr>
          <w:i/>
        </w:rPr>
        <w:t xml:space="preserve">Climate of the Past</w:t>
      </w:r>
      <w:r>
        <w:t xml:space="preserve"> </w:t>
      </w:r>
      <w:r>
        <w:rPr>
          <w:b/>
        </w:rPr>
        <w:t xml:space="preserve">16</w:t>
      </w:r>
      <w:r>
        <w:t xml:space="preserve">, 1901–1916 (2020).</w:t>
      </w:r>
    </w:p>
    <w:bookmarkEnd w:id="105"/>
    <w:bookmarkStart w:id="107" w:name="ref-cook_methods_1990"/>
    <w:p>
      <w:pPr>
        <w:pStyle w:val="Bibliography"/>
      </w:pPr>
      <w:r>
        <w:t xml:space="preserve">64.</w:t>
      </w:r>
      <w:r>
        <w:t xml:space="preserve"> </w:t>
      </w:r>
      <w:r>
        <w:rPr>
          <w:i/>
        </w:rPr>
        <w:t xml:space="preserve">Methods of Dendrochronology: Applications in the Environmental Sciences</w:t>
      </w:r>
      <w:r>
        <w:t xml:space="preserve">. (Springer Netherlands,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65. Cook, E. R. A Time Series Analysis Approach to Tree Ring Standardization. vol. PhD (University of Arizona, 1985).</w:t>
      </w:r>
    </w:p>
    <w:bookmarkEnd w:id="108"/>
    <w:bookmarkStart w:id="109" w:name="ref-cook_calculating_1997"/>
    <w:p>
      <w:pPr>
        <w:pStyle w:val="Bibliography"/>
      </w:pPr>
      <w:r>
        <w:t xml:space="preserve">66. Cook, E. R. &amp; Peters, K. Calculating unbiased tree-ring indices for the study of climatic and environmental change.</w:t>
      </w:r>
      <w:r>
        <w:t xml:space="preserve"> </w:t>
      </w:r>
      <w:r>
        <w:rPr>
          <w:i/>
        </w:rPr>
        <w:t xml:space="preserve">The Holocene</w:t>
      </w:r>
      <w:r>
        <w:t xml:space="preserve"> </w:t>
      </w:r>
      <w:r>
        <w:rPr>
          <w:b/>
        </w:rPr>
        <w:t xml:space="preserve">7</w:t>
      </w:r>
      <w:r>
        <w:t xml:space="preserve">, 361–370 (1997).</w:t>
      </w:r>
    </w:p>
    <w:bookmarkEnd w:id="109"/>
    <w:bookmarkStart w:id="110" w:name="ref-jones_estimating_1997"/>
    <w:p>
      <w:pPr>
        <w:pStyle w:val="Bibliography"/>
      </w:pPr>
      <w:r>
        <w:t xml:space="preserve">67. Jones, P. D., Osborn, T. J. &amp; Briffa, K. R. Estimating sampling errors in large-scale temperature averages.</w:t>
      </w:r>
      <w:r>
        <w:t xml:space="preserve"> </w:t>
      </w:r>
      <w:r>
        <w:rPr>
          <w:i/>
        </w:rPr>
        <w:t xml:space="preserve">Journal of Climate</w:t>
      </w:r>
      <w:r>
        <w:t xml:space="preserve"> </w:t>
      </w:r>
      <w:r>
        <w:rPr>
          <w:b/>
        </w:rPr>
        <w:t xml:space="preserve">10</w:t>
      </w:r>
      <w:r>
        <w:t xml:space="preserve">, 2548–2568 (1997).</w:t>
      </w:r>
    </w:p>
    <w:bookmarkEnd w:id="110"/>
    <w:bookmarkStart w:id="111" w:name="ref-harris_version_2020"/>
    <w:p>
      <w:pPr>
        <w:pStyle w:val="Bibliography"/>
      </w:pPr>
      <w:r>
        <w:t xml:space="preserve">68. Harris, I., Osborn, T. J., Jones, P. &amp; Lister, D. Version 4 of the CRU TS monthly high-resolution gridded multivariate climate dataset.</w:t>
      </w:r>
      <w:r>
        <w:t xml:space="preserve"> </w:t>
      </w:r>
      <w:r>
        <w:rPr>
          <w:i/>
        </w:rPr>
        <w:t xml:space="preserve">Scientific Data</w:t>
      </w:r>
      <w:r>
        <w:t xml:space="preserve"> </w:t>
      </w:r>
      <w:r>
        <w:rPr>
          <w:b/>
        </w:rPr>
        <w:t xml:space="preserve">7</w:t>
      </w:r>
      <w:r>
        <w:t xml:space="preserve">, (2020).</w:t>
      </w:r>
    </w:p>
    <w:bookmarkEnd w:id="111"/>
    <w:bookmarkStart w:id="112" w:name="ref-bunn_dendrochronology_2008"/>
    <w:p>
      <w:pPr>
        <w:pStyle w:val="Bibliography"/>
      </w:pPr>
      <w:r>
        <w:t xml:space="preserve">69. Bunn, A. G. A dendrochronology program library in R (dplR).</w:t>
      </w:r>
      <w:r>
        <w:t xml:space="preserve"> </w:t>
      </w:r>
      <w:r>
        <w:rPr>
          <w:i/>
        </w:rPr>
        <w:t xml:space="preserve">Dendrochronologia</w:t>
      </w:r>
      <w:r>
        <w:t xml:space="preserve"> </w:t>
      </w:r>
      <w:r>
        <w:rPr>
          <w:b/>
        </w:rPr>
        <w:t xml:space="preserve">26</w:t>
      </w:r>
      <w:r>
        <w:t xml:space="preserve">, 115–124 (2008).</w:t>
      </w:r>
    </w:p>
    <w:bookmarkEnd w:id="112"/>
    <w:bookmarkStart w:id="113" w:name="ref-zang_dendroclimatic_2013"/>
    <w:p>
      <w:pPr>
        <w:pStyle w:val="Bibliography"/>
      </w:pPr>
      <w:r>
        <w:t xml:space="preserve">70. Zang, C. &amp; Biondi, F. Dendroclimatic calibration in R: The bootRes package for response and correlation function analysis.</w:t>
      </w:r>
      <w:r>
        <w:t xml:space="preserve"> </w:t>
      </w:r>
      <w:r>
        <w:rPr>
          <w:i/>
        </w:rPr>
        <w:t xml:space="preserve">Dendrochronologia</w:t>
      </w:r>
      <w:r>
        <w:t xml:space="preserve"> </w:t>
      </w:r>
      <w:r>
        <w:rPr>
          <w:b/>
        </w:rPr>
        <w:t xml:space="preserve">31</w:t>
      </w:r>
      <w:r>
        <w:t xml:space="preserve">, 68–74 (2013).</w:t>
      </w:r>
    </w:p>
    <w:bookmarkEnd w:id="113"/>
    <w:bookmarkStart w:id="114" w:name="ref-biondi_dendroclim2002_2004"/>
    <w:p>
      <w:pPr>
        <w:pStyle w:val="Bibliography"/>
      </w:pPr>
      <w:r>
        <w:t xml:space="preserve">71. Biondi, F. &amp; Waikul, K. DENDROCLIM2002 : A C++ program for statistical calibration of climate signals in tree-ring chronologies.</w:t>
      </w:r>
      <w:r>
        <w:t xml:space="preserve"> </w:t>
      </w:r>
      <w:r>
        <w:rPr>
          <w:i/>
        </w:rPr>
        <w:t xml:space="preserve">Computers &amp; Geosciences</w:t>
      </w:r>
      <w:r>
        <w:t xml:space="preserve"> </w:t>
      </w:r>
      <w:r>
        <w:rPr>
          <w:b/>
        </w:rPr>
        <w:t xml:space="preserve">30</w:t>
      </w:r>
      <w:r>
        <w:t xml:space="preserve">, 303–311 (2004).</w:t>
      </w:r>
    </w:p>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hyperlink" Id="rId106"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1" Target="https://doi.org/10.1073/pnas.2002713117" TargetMode="External" /><Relationship Type="http://schemas.openxmlformats.org/officeDocument/2006/relationships/hyperlink" Id="rId61" Target="https://doi.org/10.1093/treephys/tpab101" TargetMode="External" /><Relationship Type="http://schemas.openxmlformats.org/officeDocument/2006/relationships/hyperlink" Id="rId84" Target="https://doi.org/10.1111/gcb.15574" TargetMode="External" /><Relationship Type="http://schemas.openxmlformats.org/officeDocument/2006/relationships/hyperlink" Id="rId90" Target="https://doi.org/10.5067/MODIS/MCD12Q2.006" TargetMode="External" /><Relationship Type="http://schemas.openxmlformats.org/officeDocument/2006/relationships/hyperlink" Id="rId92" Target="https://doi.org/10.5281/ZENODO.4041609" TargetMode="External" /><Relationship Type="http://schemas.openxmlformats.org/officeDocument/2006/relationships/hyperlink" Id="rId95" Target="https://doi.org/10.6073/PASTA/213335F5DAA17222A738C105B9FA60C4" TargetMode="External" /><Relationship Type="http://schemas.openxmlformats.org/officeDocument/2006/relationships/hyperlink" Id="rId97" Target="https://doi.org/10.6073/PASTA/69E92642B512897032446CFE795CFFB8" TargetMode="External" /><Relationship Type="http://schemas.openxmlformats.org/officeDocument/2006/relationships/hyperlink" Id="rId29" Target="https://forestgeo.github.io/Climate/" TargetMode="External" /><Relationship Type="http://schemas.openxmlformats.org/officeDocument/2006/relationships/hyperlink" Id="rId30"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2021-11-17T16:15:06Z</dcterms:created>
  <dcterms:modified xsi:type="dcterms:W3CDTF">2021-11-17T16:15:06Z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