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We’re probably pretty close to the upper length limit. The typical length of an article with 3-4 modest display items (figures and tables) is 2000-2500 words (summary paragraph plus body text). We’re currently at ~2512 words (1609 intro + results, discussion 903) and 1 modest + 2 large display items. Articles typically have 30-50 references (currently ok there)</w:t>
      </w:r>
    </w:p>
    <w:bookmarkStart w:id="21"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1–5,</w:t>
      </w:r>
      <w:r>
        <w:rPr>
          <w:bCs/>
          <w:b/>
          <w:vertAlign w:val="superscript"/>
        </w:rPr>
        <w:t xml:space="preserve">stuble_plant_2021?</w:t>
      </w:r>
      <w:r>
        <w:t xml:space="preserve"> </w:t>
      </w:r>
      <w:r>
        <w:t xml:space="preserve">and commencement of net carbon dioxide (CO</w:t>
      </w:r>
      <w:r>
        <w:rPr>
          <w:vertAlign w:val="subscript"/>
        </w:rPr>
        <w:t xml:space="preserve">2</w:t>
      </w:r>
      <w:r>
        <w:t xml:space="preserve">) sequestration</w:t>
      </w:r>
      <w:r>
        <w:rPr>
          <w:vertAlign w:val="superscript"/>
        </w:rPr>
        <w:t xml:space="preserve">2,4</w:t>
      </w:r>
      <w:r>
        <w:t xml:space="preserve"> </w:t>
      </w:r>
      <w:r>
        <w:t xml:space="preserve">in temperate deciduous forests, resulting in a tendency towards increased growing season length</w:t>
      </w:r>
      <w:r>
        <w:rPr>
          <w:vertAlign w:val="superscript"/>
        </w:rPr>
        <w:t xml:space="preserve">1,4,6–8,</w:t>
      </w:r>
      <w:r>
        <w:rPr>
          <w:bCs/>
          <w:b/>
          <w:vertAlign w:val="superscript"/>
        </w:rPr>
        <w:t xml:space="preserve">stuble_plant_2021?</w:t>
      </w:r>
      <w:r>
        <w:t xml:space="preserve"> </w:t>
      </w:r>
      <w:r>
        <w:t xml:space="preserve">and annual CO</w:t>
      </w:r>
      <w:r>
        <w:rPr>
          <w:vertAlign w:val="subscript"/>
        </w:rPr>
        <w:t xml:space="preserve">2</w:t>
      </w:r>
      <w:r>
        <w:t xml:space="preserve"> </w:t>
      </w:r>
      <w:r>
        <w:t xml:space="preserve">sequestration</w:t>
      </w:r>
      <w:r>
        <w:rPr>
          <w:vertAlign w:val="superscript"/>
        </w:rPr>
        <w:t xml:space="preserve">2,4,9–13</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14,15</w:t>
      </w:r>
      <w:r>
        <w:t xml:space="preserve"> </w:t>
      </w:r>
      <w:r>
        <w:t xml:space="preserve">or as wood products</w:t>
      </w:r>
      <w:r>
        <w:rPr>
          <w:vertAlign w:val="superscript"/>
        </w:rPr>
        <w:t xml:space="preserve">16</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9–11</w:t>
      </w:r>
      <w:r>
        <w:t xml:space="preserve"> </w:t>
      </w:r>
      <w:r>
        <w:t xml:space="preserve">is not allocated to long-lived woody biomass, where it could have a substantial and lasting impact on the forest C balance.</w:t>
      </w:r>
      <w:r>
        <w:t xml:space="preserve"> </w:t>
      </w:r>
      <w:r>
        <w:t xml:space="preserve">Thus, in contrast to global carbon cycle model expectations</w:t>
      </w:r>
      <w:r>
        <w:rPr>
          <w:vertAlign w:val="superscript"/>
        </w:rPr>
        <w:t xml:space="preserve">2,3,17,18</w:t>
      </w:r>
      <w:r>
        <w:t xml:space="preserve">, warming spring temperatures are unlikely to increase the woody productivity or strengthen the carbon sink of temperate deciduous forests.</w:t>
      </w:r>
    </w:p>
    <w:bookmarkEnd w:id="21"/>
    <w:bookmarkStart w:id="28" w:name="body"/>
    <w:p>
      <w:pPr>
        <w:pStyle w:val="Heading1"/>
      </w:pPr>
      <w:r>
        <w:rPr>
          <w:rStyle w:val="SectionNumber"/>
        </w:rPr>
        <w:t xml:space="preserve">2</w:t>
      </w:r>
      <w:r>
        <w:tab/>
      </w:r>
      <w:r>
        <w:t xml:space="preserve">(Body)</w:t>
      </w:r>
    </w:p>
    <w:p>
      <w:pPr>
        <w:pStyle w:val="FirstParagraph"/>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19</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20</w:t>
      </w:r>
      <w:r>
        <w:t xml:space="preserve">.</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21,22</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1,6–8</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t>
      </w:r>
      <w:r>
        <w:rPr>
          <w:iCs/>
          <w:i/>
        </w:rPr>
        <w:t xml:space="preserve">i.e.</w:t>
      </w:r>
      <w:r>
        <w:t xml:space="preserve">, net ecosystem exchange,</w:t>
      </w:r>
      <w:r>
        <w:t xml:space="preserve"> </w:t>
      </w:r>
      <w:r>
        <w:rPr>
          <w:iCs/>
          <w:i/>
        </w:rPr>
        <w:t xml:space="preserve">NEE</w:t>
      </w:r>
      <w:r>
        <w:t xml:space="preserve">) will increase as well</w:t>
      </w:r>
      <w:r>
        <w:rPr>
          <w:vertAlign w:val="superscript"/>
        </w:rPr>
        <w:t xml:space="preserve">2,12,13,23</w:t>
      </w:r>
      <w:r>
        <w:t xml:space="preserve">, and this expectation is represented in models</w:t>
      </w:r>
      <w:r>
        <w:rPr>
          <w:vertAlign w:val="superscript"/>
        </w:rPr>
        <w:t xml:space="preserve">2,3,17</w:t>
      </w:r>
      <w:r>
        <w:t xml:space="preserve">.</w:t>
      </w:r>
      <w:r>
        <w:t xml:space="preserve"> </w:t>
      </w:r>
      <w:r>
        <w:t xml:space="preserve">However, recent findings that sink factors can limit annual growth</w:t>
      </w:r>
      <w:r>
        <w:rPr>
          <w:vertAlign w:val="superscript"/>
        </w:rPr>
        <w:t xml:space="preserve">17,24,25</w:t>
      </w:r>
      <w:r>
        <w:t xml:space="preserve"> </w:t>
      </w:r>
      <w:r>
        <w:t xml:space="preserve">and that positive effects of warm springs are compensated by negative effects of accumulation of seasonal water deficits</w:t>
      </w:r>
      <w:r>
        <w:rPr>
          <w:vertAlign w:val="superscript"/>
        </w:rPr>
        <w:t xml:space="preserve">3</w:t>
      </w:r>
      <w:r>
        <w:t xml:space="preserve"> </w:t>
      </w:r>
      <w:r>
        <w:t xml:space="preserve">suggest that warmer spring temperatures may not have the expected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1–3,6–8</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one site</w:t>
      </w:r>
      <w:r>
        <w:t xml:space="preserve"> </w:t>
      </w:r>
      <w:r>
        <w:rPr>
          <w:iCs/>
          <w:i/>
        </w:rPr>
        <w:t xml:space="preserve">(to our knowledge)</w:t>
      </w:r>
      <w:r>
        <w:rPr>
          <w:vertAlign w:val="superscript"/>
        </w:rPr>
        <w:t xml:space="preserve">26</w:t>
      </w:r>
      <w:r>
        <w:t xml:space="preserve">.</w:t>
      </w:r>
      <w:r>
        <w:t xml:space="preserve"> </w:t>
      </w:r>
      <w:r>
        <w:t xml:space="preserve"> </w:t>
      </w:r>
      <w:r>
        <w:t xml:space="preserve">The climate sensitivity of woody growth phenology and its link to annual growth has never been studied</w:t>
      </w:r>
      <w:r>
        <w:t xml:space="preserve"> </w:t>
      </w:r>
      <w:r>
        <w:rPr>
          <w:iCs/>
          <w:i/>
        </w:rPr>
        <w:t xml:space="preserve">in-situ</w:t>
      </w:r>
      <w:r>
        <w:t xml:space="preserve"> </w:t>
      </w:r>
      <w:r>
        <w:t xml:space="preserve">(but see Ref.</w:t>
      </w:r>
      <w:r>
        <w:rPr>
          <w:vertAlign w:val="superscript"/>
        </w:rPr>
        <w:t xml:space="preserve">25</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27,28</w:t>
      </w:r>
      <w:r>
        <w:t xml:space="preserve">,</w:t>
      </w:r>
      <w:r>
        <w:t xml:space="preserve"> </w:t>
      </w:r>
      <w:r>
        <w:t xml:space="preserve"> </w:t>
      </w:r>
      <w:r>
        <w:t xml:space="preserve">with some hints that warmer springs may have a modest positive effect on growth</w:t>
      </w:r>
      <w:r>
        <w:rPr>
          <w:vertAlign w:val="superscript"/>
        </w:rPr>
        <w:t xml:space="preserve">28</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describe how early spring temperatures affect stem growth phenology, growth rates, and annual growth of temperate deciduous trees in two forests and annual growth across forests spanning eastern North America.</w:t>
      </w:r>
    </w:p>
    <w:bookmarkStart w:id="24" w:name="Dendrometer"/>
    <w:p>
      <w:pPr>
        <w:pStyle w:val="Heading2"/>
      </w:pPr>
      <w:r>
        <w:t xml:space="preserve">Dendrometer band analysis</w:t>
      </w:r>
    </w:p>
    <w:p>
      <w:pPr>
        <w:pStyle w:val="FirstParagraph"/>
      </w:pPr>
      <w:r>
        <w:t xml:space="preserve">Using dendrometer band measurements taken throughout the growing season at the Smithsonian Conservation Biology Institute (SCBI; Virginia, USA; n =</w:t>
      </w:r>
      <w:r>
        <w:t xml:space="preserve"> </w:t>
      </w:r>
      <w:r>
        <w:rPr>
          <w:bCs/>
          <w:b/>
        </w:rPr>
        <w:t xml:space="preserve">125</w:t>
      </w:r>
      <w:r>
        <w:t xml:space="preserve"> </w:t>
      </w:r>
      <w:r>
        <w:t xml:space="preserve">trees from 2011-2020) and Harvard Forest (Massachusetts, USA; n =</w:t>
      </w:r>
      <w:r>
        <w:t xml:space="preserve"> </w:t>
      </w:r>
      <w:r>
        <w:rPr>
          <w:bCs/>
          <w:b/>
        </w:rPr>
        <w:t xml:space="preserve">340</w:t>
      </w:r>
      <w:r>
        <w:t xml:space="preserve"> </w:t>
      </w:r>
      <w:r>
        <w:t xml:space="preserve">trees from 1998-2003), we fit a growth model</w:t>
      </w:r>
      <w:r>
        <w:rPr>
          <w:vertAlign w:val="superscript"/>
        </w:rPr>
        <w:t xml:space="preserve">29</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26</w:t>
      </w:r>
      <w:r>
        <w:t xml:space="preserve">, and set in the context of canopy foliage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canopy foliage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26</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Foliage (a,b) and stem growth (c,d) phenology at the Smithsonian Conservation Biology Institute (a,c) and Harvard Forest (b,d).</w:t>
      </w:r>
      <w:r>
        <w:t xml:space="preserve"> </w:t>
      </w:r>
      <w:r>
        <w:t xml:space="preserve">Panels (a-b) show ecosystem-level canopy foliage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canopy foliage and stem growth phenology were sensitive to spring temperatures (Fig. 2, Extended Data Figures 4-5).</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3-5),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31</w:t>
      </w:r>
      <w:r>
        <w:t xml:space="preserve">, the DOY of canopy greenup advanced with increasing</w:t>
      </w:r>
      <w:r>
        <w:t xml:space="preserve"> </w:t>
      </w:r>
      <m:oMath>
        <m:sSub>
          <m:e>
            <m:r>
              <m:t>T</m:t>
            </m:r>
          </m:e>
          <m:sub>
            <m:r>
              <m:t>m</m:t>
            </m:r>
            <m:r>
              <m:t>a</m:t>
            </m:r>
            <m:r>
              <m:t>x</m:t>
            </m:r>
          </m:sub>
        </m:sSub>
      </m:oMath>
      <w:r>
        <w:t xml:space="preserve"> </w:t>
      </w:r>
      <w:r>
        <w:t xml:space="preserve">during the critical temperature window (p= 0.001 at SCBI; p= 0.1 at HF).</w:t>
      </w:r>
      <w:r>
        <w:t xml:space="preserve"> </w:t>
      </w:r>
      <w:r>
        <w:t xml:space="preserve">Specifically, greenup DOY advanced 4.5 days/</w:t>
      </w:r>
      <m:oMath>
        <m:sSup>
          <m:e>
            <m:r>
              <m:t>​</m:t>
            </m:r>
          </m:e>
          <m:sup>
            <m:r>
              <m:rPr>
                <m:sty m:val="p"/>
              </m:rPr>
              <m:t>∘</m:t>
            </m:r>
          </m:sup>
        </m:sSup>
      </m:oMath>
      <w:r>
        <w:t xml:space="preserve">C at SCBI and 2.4 days/</w:t>
      </w:r>
      <w:r>
        <w:t xml:space="preserve"> </w:t>
      </w:r>
      <m:oMath>
        <m:sSup>
          <m:e>
            <m:r>
              <m:t>​</m:t>
            </m:r>
          </m:e>
          <m:sup>
            <m:r>
              <m:rPr>
                <m:sty m:val="p"/>
              </m:rPr>
              <m:t>∘</m:t>
            </m:r>
          </m:sup>
        </m:sSup>
      </m:oMath>
      <w:r>
        <w:t xml:space="preserve">C at Harvard Forest, and mid-greenup also advanced, but to a lesser extent (Fig. 2, Extended Data Table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rPr>
                <m:sty m:val="p"/>
              </m:rPr>
              <m:t>∘</m:t>
            </m:r>
          </m:sup>
        </m:sSup>
      </m:oMath>
      <w:r>
        <w:t xml:space="preserve">C for ring-porous species and 3.5-3.6 days/</w:t>
      </w:r>
      <w:r>
        <w:t xml:space="preserve"> </w:t>
      </w:r>
      <m:oMath>
        <m:sSup>
          <m:e>
            <m:r>
              <m:t>​</m:t>
            </m:r>
          </m:e>
          <m:sup>
            <m:r>
              <m:rPr>
                <m:sty m:val="p"/>
              </m:rPr>
              <m:t>∘</m:t>
            </m:r>
          </m:sup>
        </m:sSup>
      </m:oMath>
      <w:r>
        <w:t xml:space="preserve">C for diffuse-porous species at SCBI, and 2.8-7.2 days/</w:t>
      </w:r>
      <w:r>
        <w:t xml:space="preserve"> </w:t>
      </w:r>
      <m:oMath>
        <m:sSup>
          <m:e>
            <m:r>
              <m:t>​</m:t>
            </m:r>
          </m:e>
          <m:sup>
            <m:r>
              <m:rPr>
                <m:sty m:val="p"/>
              </m:rPr>
              <m:t>∘</m:t>
            </m:r>
          </m:sup>
        </m:sSup>
      </m:oMath>
      <w:r>
        <w:t xml:space="preserve">C for ring-porous species and 6.6-7.9 days/</w:t>
      </w:r>
      <w:r>
        <w:t xml:space="preserve"> </w:t>
      </w:r>
      <m:oMath>
        <m:sSup>
          <m:e>
            <m:r>
              <m:t>​</m:t>
            </m:r>
          </m:e>
          <m:sup>
            <m:r>
              <m:rPr>
                <m:sty m:val="p"/>
              </m:rPr>
              <m:t>∘</m:t>
            </m:r>
          </m:sup>
        </m:sSup>
      </m:oMath>
      <w:r>
        <w:t xml:space="preserve">C for diffuse-porous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bookmarkEnd w:id="24"/>
    <w:bookmarkStart w:id="26"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28</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27</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a positive effect of spring temperatures might be offset by a negative effect of summer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813685"/>
            <wp:effectExtent b="0" l="0" r="0" t="0"/>
            <wp:docPr descr="Figure 3 | Sensitivity of annual growth, as derived from tree-rings, to monthly maximum temperatures, for 207 chronologies from 108 sites across eastern North America (Extended Data Figure 1). Chronologies are grouped by xylem porosity and ordered by mean maximum April temperature.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81368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207 chronologies from 108 sites across eastern North America</w:t>
      </w:r>
      <w:r>
        <w:t xml:space="preserve"> </w:t>
      </w:r>
      <w:r>
        <w:t xml:space="preserve">(Extended Data Figure 1). Chronologies are grouped by xylem porosity and ordered by mean maximum April temperature. Chronology details are given in SI Table 1.</w:t>
      </w:r>
    </w:p>
    <w:bookmarkEnd w:id="26"/>
    <w:bookmarkStart w:id="27"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w:t>
      </w:r>
      <w:r>
        <w:rPr>
          <w:vertAlign w:val="superscript"/>
        </w:rPr>
        <w:t xml:space="preserve">2,4,</w:t>
      </w:r>
      <w:r>
        <w:rPr>
          <w:bCs/>
          <w:b/>
          <w:vertAlign w:val="superscript"/>
        </w:rPr>
        <w:t xml:space="preserve">stuble_plant_2021?</w:t>
      </w:r>
      <w:r>
        <w:t xml:space="preserve"> </w:t>
      </w:r>
      <w:r>
        <w:t xml:space="preserve">and NEE.</w:t>
      </w:r>
      <w:r>
        <w:rPr>
          <w:vertAlign w:val="superscript"/>
        </w:rPr>
        <w:t xml:space="preserve">2,4</w:t>
      </w:r>
      <w:r>
        <w:t xml:space="preserve"> </w:t>
      </w:r>
      <w:r>
        <w:t xml:space="preserve">However, inconsistent with the concept that an earlier start to growth would increase annual woody productivity, we demonstrate that warmer springs advance the end to the period of most active stem growth and have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carbon limitation, such as daylength or sink limitation, which also play an important role in autumn leaf senesence</w:t>
      </w:r>
      <w:r>
        <w:rPr>
          <w:vertAlign w:val="superscript"/>
        </w:rPr>
        <w:t xml:space="preserve">17,24,32</w:t>
      </w:r>
      <w:r>
        <w:t xml:space="preserve">.</w:t>
      </w:r>
      <w:r>
        <w:t xml:space="preserve"> </w:t>
      </w:r>
      <w:r>
        <w:t xml:space="preserve">Rather than growing season length, the primary effect of temperature on annual growth is a negative effect of</w:t>
      </w:r>
      <w:r>
        <w:t xml:space="preserve"> </w:t>
      </w:r>
      <m:oMath>
        <m:sSub>
          <m:e>
            <m:r>
              <m:t>T</m:t>
            </m:r>
          </m:e>
          <m:sub>
            <m:r>
              <m:t>m</m:t>
            </m:r>
            <m:r>
              <m:t>a</m:t>
            </m:r>
            <m:r>
              <m:t>x</m:t>
            </m:r>
          </m:sub>
        </m:sSub>
      </m:oMath>
      <w:r>
        <w:t xml:space="preserve"> </w:t>
      </w:r>
      <w:r>
        <w:t xml:space="preserve">and associated drought stress during the peak growing season</w:t>
      </w:r>
      <w:r>
        <w:rPr>
          <w:vertAlign w:val="superscript"/>
        </w:rPr>
        <w:t xml:space="preserve">27</w:t>
      </w:r>
      <w:r>
        <w:t xml:space="preserve">, offsetting any benefit of a lengthened growing season</w:t>
      </w:r>
      <w:r>
        <w:rPr>
          <w:vertAlign w:val="superscript"/>
        </w:rPr>
        <w:t xml:space="preserve">33</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34</w:t>
      </w:r>
      <w:r>
        <w:t xml:space="preserve"> </w:t>
      </w:r>
      <w:r>
        <w:t xml:space="preserve">were uncorrelated within our dendrometer band analysis.</w:t>
      </w:r>
    </w:p>
    <w:p>
      <w:pPr>
        <w:pStyle w:val="BodyText"/>
      </w:pPr>
      <w:r>
        <w:t xml:space="preserve">Our finding that interannual variation in woody growth is more strongly linked to conditions during the peak growing season (Fig. 3) than to growing season length aligns with parallel findings for NEE.</w:t>
      </w:r>
      <w:r>
        <w:rPr>
          <w:vertAlign w:val="superscript"/>
        </w:rPr>
        <w:t xml:space="preserve">12,13</w:t>
      </w:r>
      <w:r>
        <w:t xml:space="preserve"> </w:t>
      </w:r>
      <w:r>
        <w:t xml:space="preserve">However, there is also a disconnect with findings that NEE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4,12,13</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11,35,36</w:t>
      </w:r>
      <w:r>
        <w:t xml:space="preserve">, with delays more common across eastern North America,</w:t>
      </w:r>
      <w:r>
        <w:rPr>
          <w:vertAlign w:val="superscript"/>
        </w:rPr>
        <w:t xml:space="preserve">2–4</w:t>
      </w:r>
      <w:r>
        <w:t xml:space="preserve"> implying that warming temperatures are resulting in a lengthening of the period between the slowing of stem growth and the cessation of ecosystem C uptake.</w:t>
      </w:r>
      <w:r>
        <w:t xml:space="preserve"> </w:t>
      </w:r>
      <w:r>
        <w:t xml:space="preserve">As the extra C sequestration in years with warm springs does not substantially augment woody growth,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First, extra C production in years with warm springs may be allocated to woody growth without affecting diameter growth in the current year.</w:t>
      </w:r>
      <w:r>
        <w:t xml:space="preserve"> </w:t>
      </w:r>
      <w:r>
        <w:t xml:space="preserve">It is possible that extra carbon is allocated to cell wall thickening, a process that lags behind stem expansion</w:t>
      </w:r>
      <w:r>
        <w:rPr>
          <w:vertAlign w:val="superscript"/>
        </w:rPr>
        <w:t xml:space="preserve">37</w:t>
      </w:r>
      <w:r>
        <w:t xml:space="preserve">, resulting in formation of more carbon-dense cell walls in years with warm springs (</w:t>
      </w:r>
      <w:r>
        <w:rPr>
          <w:bCs/>
          <w:b/>
        </w:rPr>
        <w:t xml:space="preserve">coauthors, do any of you know studies that have looked at this?</w:t>
      </w:r>
      <w:r>
        <w:t xml:space="preserve">).</w:t>
      </w:r>
      <w:r>
        <w:t xml:space="preserve"> </w:t>
      </w:r>
      <w:r>
        <w:t xml:space="preserve">Extra carbon could also be saved within trees as non-structural carbohydrates and used towards growth the following year</w:t>
      </w:r>
      <w:r>
        <w:rPr>
          <w:vertAlign w:val="superscript"/>
        </w:rPr>
        <w:t xml:space="preserve">38,39</w:t>
      </w:r>
      <w:r>
        <w:t xml:space="preserve">, potentially including an earlier start to growth</w:t>
      </w:r>
      <w:r>
        <w:rPr>
          <w:vertAlign w:val="superscript"/>
        </w:rPr>
        <w:t xml:space="preserve">32</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25</w:t>
      </w:r>
      <w:r>
        <w:t xml:space="preserve">, or root exudates.</w:t>
      </w:r>
      <w:r>
        <w:t xml:space="preserve"> </w:t>
      </w:r>
      <w:r>
        <w:t xml:space="preserve">Much of this carbon would have a relatively short residence time within the ecosystem, and C loss though fall or winter respiration may offset gains from an earlier spring.</w:t>
      </w:r>
      <w:r>
        <w:rPr>
          <w:vertAlign w:val="superscript"/>
        </w:rPr>
        <w:t xml:space="preserve">3,40</w:t>
      </w:r>
      <w:r>
        <w:t xml:space="preserve"> </w:t>
      </w:r>
      <w:r>
        <w:t xml:space="preserve">However, C allocated to nonstructural carbohydrates or relatively short-lived plant tissues would typically remain in the ecosystem beyond the end of the year</w:t>
      </w:r>
      <w:r>
        <w:rPr>
          <w:vertAlign w:val="superscript"/>
        </w:rPr>
        <w:t xml:space="preserve">38</w:t>
      </w:r>
      <w:r>
        <w:t xml:space="preserve">, such that the long-term effect of warm springs on the forest C balance would not be captured in analyses of interannual variation</w:t>
      </w:r>
      <w:r>
        <w:rPr>
          <w:vertAlign w:val="superscript"/>
        </w:rPr>
        <w:t xml:space="preserve">2,12,13</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2,4,9,10</w:t>
      </w:r>
      <w:r>
        <w:t xml:space="preserve"> </w:t>
      </w:r>
      <w:r>
        <w:t xml:space="preserve">– as opposed to their interannual variation – showed increasing trends in both variables, suggesting that the C not allocated to woody productivity within the current year growth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carbon cycling are unlikely to be apparent in analyses of interannual variation (including this analysis).</w:t>
      </w:r>
      <w:r>
        <w:t xml:space="preserve"> </w:t>
      </w:r>
      <w:r>
        <w:t xml:space="preserve">Moreover, acclimation of trees to warming temperatures[</w:t>
      </w:r>
      <w:r>
        <w:rPr>
          <w:bCs/>
          <w:b/>
        </w:rPr>
        <w:t xml:space="preserve">REFS</w:t>
      </w:r>
      <w:r>
        <w:t xml:space="preserve">]</w:t>
      </w:r>
      <w:r>
        <w:t xml:space="preserve"> </w:t>
      </w:r>
      <w:r>
        <w:t xml:space="preserve"> </w:t>
      </w:r>
      <w:r>
        <w:t xml:space="preserve">and, on longer time scales, species adaptations and shifts in community composition[</w:t>
      </w:r>
      <w:r>
        <w:rPr>
          <w:bCs/>
          <w:b/>
        </w:rPr>
        <w:t xml:space="preserve">REFS</w:t>
      </w:r>
      <w:r>
        <w:t xml:space="preserve">] are likely to alter the phenology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5</w:t>
      </w:r>
      <w:r>
        <w:t xml:space="preserve"> </w:t>
      </w:r>
      <w:r>
        <w:t xml:space="preserve">and longer growing seasons, which in turn are are correlated with greater tree growth</w:t>
      </w:r>
      <w:r>
        <w:rPr>
          <w:vertAlign w:val="superscript"/>
        </w:rPr>
        <w:t xml:space="preserve">41</w:t>
      </w:r>
      <w:r>
        <w:t xml:space="preserve">, woody productivity</w:t>
      </w:r>
      <w:r>
        <w:rPr>
          <w:vertAlign w:val="superscript"/>
        </w:rPr>
        <w:t xml:space="preserve">42</w:t>
      </w:r>
      <w:r>
        <w:t xml:space="preserve">, and NEE.</w:t>
      </w:r>
      <w:r>
        <w:rPr>
          <w:vertAlign w:val="superscript"/>
        </w:rPr>
        <w:t xml:space="preserve">23</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this is unlikely to provide the sustained increase in carbon sequestration and ensuant negative climate change feedback that is anticipated in most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7"/>
    <w:bookmarkEnd w:id="28"/>
    <w:bookmarkStart w:id="33" w:name="Methods"/>
    <w:p>
      <w:pPr>
        <w:pStyle w:val="Heading1"/>
      </w:pPr>
      <w:r>
        <w:t xml:space="preserve">Methods</w:t>
      </w:r>
    </w:p>
    <w:bookmarkStart w:id="31" w:name="Dendrometer"/>
    <w:p>
      <w:pPr>
        <w:pStyle w:val="Heading2"/>
      </w:pPr>
      <w:r>
        <w:t xml:space="preserve">Dendrometer band analysis</w:t>
      </w:r>
    </w:p>
    <w:p>
      <w:pPr>
        <w:pStyle w:val="FirstParagraph"/>
      </w:pPr>
      <w:r>
        <w:t xml:space="preserve">Dendrometer band were collected at SCBI</w:t>
      </w:r>
      <w:r>
        <w:rPr>
          <w:vertAlign w:val="superscript"/>
        </w:rPr>
        <w:t xml:space="preserve">43</w:t>
      </w:r>
      <w:r>
        <w:t xml:space="preserve"> </w:t>
      </w:r>
      <w:r>
        <w:t xml:space="preserve">and Harvard Forest</w:t>
      </w:r>
      <w:r>
        <w:rPr>
          <w:vertAlign w:val="superscript"/>
        </w:rPr>
        <w:t xml:space="preserve">4,26</w:t>
      </w:r>
      <w:r>
        <w:t xml:space="preserve">, both part of the Forest Global Earth Observatory (ForestGEO)</w:t>
      </w:r>
      <w:r>
        <w:rPr>
          <w:vertAlign w:val="superscript"/>
        </w:rPr>
        <w:t xml:space="preserve">44,45</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43</w:t>
      </w:r>
      <w:r>
        <w:t xml:space="preserve">.</w:t>
      </w:r>
      <w:r>
        <w:t xml:space="preserve"> </w:t>
      </w:r>
      <w:r>
        <w:t xml:space="preserve">Dominate canopy species within the 25.6 ha ForestGEO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rPr>
          <w:vertAlign w:val="superscript"/>
        </w:rPr>
        <w:t xml:space="preserve">28</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41</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1950-2019 mean annual precipitation of 1104 mm and temperatures averaging -5° C in January and 22° C in July</w:t>
      </w:r>
      <w:r>
        <w:rPr>
          <w:vertAlign w:val="superscript"/>
        </w:rPr>
        <w:t xml:space="preserve">41</w:t>
      </w:r>
      <w:r>
        <w:t xml:space="preserve">.</w:t>
      </w:r>
    </w:p>
    <w:p>
      <w:pPr>
        <w:pStyle w:val="BodyText"/>
      </w:pPr>
      <w:r>
        <w:t xml:space="preserve">Metal dendrometer bands were installed on a total of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measurement was drastically different from previous and following measurements, this was assumed to be 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when data points deviated substantially from normal growth patterns, but with unknown causes, they were removed. 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29</w:t>
      </w:r>
      <w:r>
        <w:t xml:space="preserve"> </w:t>
      </w:r>
      <w:r>
        <w:t xml:space="preserve">to dendrometer band data from each tree-year to define phenological dates and growth rates (Fig. 1):</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stem diameter at breast height (DBH) 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The model was fit in R v 1.3.1093 using the functions developed in.</w:t>
      </w:r>
      <w:r>
        <w:rPr>
          <w:vertAlign w:val="superscript"/>
        </w:rPr>
        <w:t xml:space="preserve">29</w:t>
      </w:r>
      <w:r>
        <w:t xml:space="preserve"> These functions take the timeseries of manual dendrometer band measurements and return the optimized parameters to predict DBH throughout the year.</w:t>
      </w:r>
      <w:r>
        <w:t xml:space="preserve"> </w:t>
      </w:r>
      <w:r>
        <w:t xml:space="preserve">We then modeled DBH throughout the year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m:oMath>
        <m:r>
          <m:rPr>
            <m:sty m:val="p"/>
          </m:rPr>
          <m:t>≤</m:t>
        </m:r>
        <m:r>
          <m:t>0.02</m:t>
        </m:r>
      </m:oMath>
      <w:r>
        <w:t xml:space="preserve"> </w:t>
      </w:r>
      <w:r>
        <w:t xml:space="preserve">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RP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46</w:t>
      </w:r>
      <w:r>
        <w:t xml:space="preserve">.</w:t>
      </w:r>
      <w:r>
        <w:t xml:space="preserve"> </w:t>
      </w:r>
      <w:r>
        <w:t xml:space="preserve">These data were used to determine timing of greenup, midgreenup, senescence, and enhanced vegetation index (EVI2) values for each year.</w:t>
      </w:r>
      <w:r>
        <w:t xml:space="preserve"> </w:t>
      </w:r>
      <w:r>
        <w:t xml:space="preserve">(</w:t>
      </w:r>
      <w:r>
        <w:rPr>
          <w:bCs/>
          <w:b/>
        </w:rPr>
        <w:t xml:space="preserve">IAN, I think this could use a bit more detail.</w:t>
      </w:r>
      <w:r>
        <w:t xml:space="preserve">)</w:t>
      </w:r>
    </w:p>
    <w:p>
      <w:pPr>
        <w:pStyle w:val="BodyText"/>
      </w:pPr>
      <w:r>
        <w:t xml:space="preserve"> </w:t>
      </w:r>
      <w:r>
        <w:t xml:space="preserve">Climate data corresponding to the measurement periods at both sites were obtained from local weather stations.</w:t>
      </w:r>
      <w:r>
        <w:t xml:space="preserve"> </w:t>
      </w:r>
      <w:r>
        <w:t xml:space="preserve">For SCBI, weather data were obtained from a meteorological tower adjacent to the SCBI ForestGEO plot, via the ForestGEO Climate Data Portal v1.0 (</w:t>
      </w:r>
      <w:hyperlink r:id="rId29">
        <w:r>
          <w:rPr>
            <w:rStyle w:val="Hyperlink"/>
          </w:rPr>
          <w:t xml:space="preserve">https://forestgeo.github.io/Climate/</w:t>
        </w:r>
      </w:hyperlink>
      <w:r>
        <w:t xml:space="preserve">)</w:t>
      </w:r>
      <w:r>
        <w:rPr>
          <w:vertAlign w:val="superscript"/>
        </w:rPr>
        <w:t xml:space="preserve">47</w:t>
      </w:r>
      <w:r>
        <w:t xml:space="preserve">.</w:t>
      </w:r>
      <w:r>
        <w:t xml:space="preserve"> </w:t>
      </w:r>
      <w:r>
        <w:t xml:space="preserve">The R package</w:t>
      </w:r>
      <w:r>
        <w:t xml:space="preserve"> </w:t>
      </w:r>
      <w:r>
        <w:rPr>
          <w:iCs/>
          <w:i/>
        </w:rPr>
        <w:t xml:space="preserve">clim.pact</w:t>
      </w:r>
      <w:r>
        <w:rPr>
          <w:vertAlign w:val="superscript"/>
        </w:rPr>
        <w:t xml:space="preserve">48,</w:t>
      </w:r>
      <w:r>
        <w:rPr>
          <w:bCs/>
          <w:b/>
          <w:vertAlign w:val="superscript"/>
        </w:rPr>
        <w:t xml:space="preserve">climpact_REF?</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0">
        <w:r>
          <w:rPr>
            <w:rStyle w:val="Hyperlink"/>
          </w:rPr>
          <w:t xml:space="preserve">https://www.ncdc.noaa.gov/cdo-web/datasets/GHCND/stations/GHCND:USC00443229/detail</w:t>
        </w:r>
      </w:hyperlink>
      <w:r>
        <w:t xml:space="preserve">).</w:t>
      </w:r>
      <w:r>
        <w:t xml:space="preserve"> </w:t>
      </w:r>
      <w:r>
        <w:t xml:space="preserve">For each site, we extracted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r>
        <w:t xml:space="preserve"> </w:t>
      </w:r>
      <w:r>
        <w:t xml:space="preserve">Daily temperature records for Harvard Forest were obtained from the Harvard Forest weather station</w:t>
      </w:r>
      <w:r>
        <w:rPr>
          <w:bCs/>
          <w:b/>
          <w:vertAlign w:val="superscript"/>
        </w:rPr>
        <w:t xml:space="preserve">boose_shaler_2021-1?</w:t>
      </w:r>
      <w:r>
        <w:rPr>
          <w:vertAlign w:val="superscript"/>
        </w:rPr>
        <w:t xml:space="preserve">,</w:t>
      </w:r>
      <w:r>
        <w:rPr>
          <w:bCs/>
          <w:b/>
          <w:vertAlign w:val="superscript"/>
        </w:rPr>
        <w:t xml:space="preserve">boose_fisher_2021-2?</w:t>
      </w:r>
      <w:r>
        <w:t xml:space="preserve">.</w:t>
      </w:r>
      <w:r>
        <w:t xml:space="preserve"> </w:t>
      </w:r>
      <w:r>
        <w:rPr>
          <w:bCs/>
          <w:b/>
        </w:rPr>
        <w:t xml:space="preserve">(Cam, please be sure to sync these in Zotero.)</w:t>
      </w:r>
      <w:r>
        <w:t xml:space="preserve"> </w:t>
      </w:r>
      <w:r>
        <w:t xml:space="preserve">Climate data for Harvard Forest were complete and used as is.</w:t>
      </w:r>
    </w:p>
    <w:p>
      <w:pPr>
        <w:pStyle w:val="BodyText"/>
      </w:pPr>
      <w:r>
        <w:t xml:space="preserve">The critical temperature window (Fig. 1), defined as the period over which</w:t>
      </w:r>
      <w:r>
        <w:t xml:space="preserve"> </w:t>
      </w:r>
      <m:oMath>
        <m:r>
          <m:t>D</m:t>
        </m:r>
        <m:r>
          <m:t>O</m:t>
        </m:r>
        <m:sSub>
          <m:e>
            <m:r>
              <m:t>Y</m:t>
            </m:r>
          </m:e>
          <m:sub>
            <m:r>
              <m:t>25</m:t>
            </m:r>
          </m:sub>
        </m:sSub>
      </m:oMath>
      <w:r>
        <w:t xml:space="preserve"> </w:t>
      </w:r>
      <w:r>
        <w:t xml:space="preserve">was most strongly affected by early spring</w:t>
      </w:r>
      <w:r>
        <w:t xml:space="preserve"> </w:t>
      </w:r>
      <m:oMath>
        <m:sSub>
          <m:e>
            <m:r>
              <m:t>T</m:t>
            </m:r>
          </m:e>
          <m:sub>
            <m:r>
              <m:t>m</m:t>
            </m:r>
            <m:r>
              <m:t>a</m:t>
            </m:r>
            <m:r>
              <m:t>x</m:t>
            </m:r>
          </m:sub>
        </m:sSub>
      </m:oMath>
      <w:r>
        <w:t xml:space="preserve">, was determined using the R package</w:t>
      </w:r>
      <w:r>
        <w:t xml:space="preserve"> </w:t>
      </w:r>
      <w:r>
        <w:rPr>
          <w:iCs/>
          <w:i/>
        </w:rPr>
        <w:t xml:space="preserve">climwin</w:t>
      </w:r>
      <w:r>
        <w:rPr>
          <w:vertAlign w:val="superscript"/>
        </w:rPr>
        <w:t xml:space="preserve">49</w:t>
      </w:r>
      <w:r>
        <w:t xml:space="preserve">.</w:t>
      </w:r>
      <w:r>
        <w:t xml:space="preserve"> </w:t>
      </w:r>
      <w:r>
        <w:t xml:space="preserve">This package tests the correlation between one or more climate variables and a biological variable over all consecutive time windows within a specified time-frame, reporting correlation and difference in Akaike information criterion corrected for small sample size relative to the null model,</w:t>
      </w:r>
      <w:r>
        <w:t xml:space="preserve"> </w:t>
      </w:r>
      <m:oMath>
        <m:r>
          <m:t>Δ</m:t>
        </m:r>
        <m:r>
          <m:t>A</m:t>
        </m:r>
        <m:r>
          <m:t>I</m:t>
        </m:r>
        <m:r>
          <m:t>C</m:t>
        </m:r>
        <m:r>
          <m:t>c</m:t>
        </m:r>
      </m:oMath>
      <w:r>
        <w:t xml:space="preserve">, 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(by xylem porosity) and site (Extended Data Table 2), selecting the critical temperature window as that with the lowest</w:t>
      </w:r>
      <w:r>
        <w:t xml:space="preserve"> </w:t>
      </w:r>
      <m:oMath>
        <m:r>
          <m:t>Δ</m:t>
        </m:r>
        <m:r>
          <m:t>A</m:t>
        </m:r>
        <m:r>
          <m:t>I</m:t>
        </m:r>
        <m:r>
          <m:t>C</m:t>
        </m:r>
        <m:r>
          <m:t>c</m:t>
        </m:r>
      </m:oMath>
      <w:r>
        <w:t xml:space="preserve">.</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as opposed to</w:t>
      </w:r>
      <w:r>
        <w:t xml:space="preserve"> </w:t>
      </w:r>
      <m:oMath>
        <m:sSub>
          <m:e>
            <m:r>
              <m:t>T</m:t>
            </m:r>
          </m:e>
          <m:sub>
            <m:r>
              <m:t>m</m:t>
            </m:r>
            <m:r>
              <m:t>i</m:t>
            </m:r>
            <m:r>
              <m:t>n</m:t>
            </m:r>
          </m:sub>
        </m:sSub>
      </m:oMath>
      <w:r>
        <w:t xml:space="preserve">.</w:t>
      </w:r>
      <w:r>
        <w:t xml:space="preserve"> </w:t>
      </w:r>
      <w:r>
        <w:t xml:space="preserve">We focused on defining critical temperature windows for</w:t>
      </w:r>
      <w:r>
        <w:t xml:space="preserve"> </w:t>
      </w:r>
      <m:oMath>
        <m:r>
          <m:t>D</m:t>
        </m:r>
        <m:r>
          <m:t>O</m:t>
        </m:r>
        <m:sSub>
          <m:e>
            <m:r>
              <m:t>Y</m:t>
            </m:r>
          </m:e>
          <m:sub>
            <m:r>
              <m:t>25</m:t>
            </m:r>
          </m:sub>
        </m:sSub>
      </m:oMath>
      <w:r>
        <w:t xml:space="preserve">, as opposed to other growth phenology parameters, because we were interested in the influence of temperature on the initiation of woody growth.</w:t>
      </w:r>
    </w:p>
    <w:p>
      <w:pPr>
        <w:pStyle w:val="BodyText"/>
      </w:pPr>
      <w:r>
        <w:t xml:space="preserve">To ensure that patterns were robust under an alternative definition of critical temperature window, and to parallel the monthly time windows used in our tree-ring analysis (detailed below; Fig. 3, Extended Data Figure 6-7), we also ran analyses defining the critical temperature window as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50</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51</w:t>
      </w:r>
      <w:r>
        <w:t xml:space="preserve">. In all cases unless otherwise specified, all prior distributions are set to be the weakly informative defaults.</w:t>
      </w:r>
      <w:r>
        <w:t xml:space="preserve"> </w:t>
      </w:r>
    </w:p>
    <w:bookmarkEnd w:id="31"/>
    <w:bookmarkStart w:id="32" w:name="Tree"/>
    <w:p>
      <w:pPr>
        <w:pStyle w:val="Heading2"/>
      </w:pPr>
      <w:r>
        <w:t xml:space="preserve">Tree-ring analysis</w:t>
      </w:r>
    </w:p>
    <w:p>
      <w:pPr>
        <w:pStyle w:val="FirstParagraph"/>
      </w:pPr>
      <w:r>
        <w:t xml:space="preserve">We analyzed tree-ring records for 108, including our focal sites.</w:t>
      </w:r>
      <w:r>
        <w:t xml:space="preserve"> </w:t>
      </w:r>
      <w:r>
        <w:t xml:space="preserve">All cores had been previously collected, cross-dated, and measured using standard methodology</w:t>
      </w:r>
      <w:r>
        <w:rPr>
          <w:vertAlign w:val="superscript"/>
        </w:rPr>
        <w:t xml:space="preserve">52</w:t>
      </w:r>
      <w:r>
        <w:t xml:space="preserve">.</w:t>
      </w:r>
    </w:p>
    <w:p>
      <w:pPr>
        <w:pStyle w:val="BodyText"/>
      </w:pPr>
      <w:r>
        <w:t xml:space="preserve">Dominant tree species were cored at both SCBI</w:t>
      </w:r>
      <w:r>
        <w:rPr>
          <w:vertAlign w:val="superscript"/>
        </w:rPr>
        <w:t xml:space="preserve">28,43</w:t>
      </w:r>
      <w:r>
        <w:t xml:space="preserve"> </w:t>
      </w:r>
      <w:r>
        <w:t xml:space="preserve">and Harvard Forest</w:t>
      </w:r>
      <w:r>
        <w:rPr>
          <w:vertAlign w:val="superscript"/>
        </w:rPr>
        <w:t xml:space="preserve">4,53,54</w:t>
      </w:r>
      <w:r>
        <w:t xml:space="preserve"> </w:t>
      </w:r>
      <w:r>
        <w:t xml:space="preserve">following sampling designs that covered a broad range of DBH.</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In total, we analyzed 976 cores from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27,55–64</w:t>
      </w:r>
      <w:r>
        <w:t xml:space="preserve"> </w:t>
      </w:r>
      <w:r>
        <w:t xml:space="preserve">(</w:t>
      </w:r>
      <w:r>
        <w:rPr>
          <w:bCs/>
          <w:b/>
        </w:rPr>
        <w:t xml:space="preserve">JUSTIN, please confirm that we got all the appropriate references here.</w:t>
      </w:r>
      <w:r>
        <w:t xml:space="preserve">).</w:t>
      </w:r>
      <w:r>
        <w:t xml:space="preserve"> </w:t>
      </w:r>
      <w:r>
        <w:t xml:space="preserve">Again, species were limited to broadleaf deciduous species with clearly defined xylem porosity (</w:t>
      </w:r>
      <w:r>
        <w:rPr>
          <w:iCs/>
          <w:i/>
        </w:rPr>
        <w:t xml:space="preserve">i.e.</w:t>
      </w:r>
      <w:r>
        <w:t xml:space="preserve">, excluding semi-ring porous).</w:t>
      </w:r>
    </w:p>
    <w:p>
      <w:pPr>
        <w:pStyle w:val="BodyText"/>
      </w:pP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65,66</w:t>
      </w:r>
      <w:r>
        <w:t xml:space="preserve"> </w:t>
      </w:r>
      <w:r>
        <w:rPr>
          <w:iCs/>
          <w:i/>
        </w:rPr>
        <w:t xml:space="preserve">Chronologies were built using the methods described in Ref.</w:t>
      </w:r>
      <w:r>
        <w:rPr>
          <w:vertAlign w:val="superscript"/>
          <w:iCs/>
          <w:i/>
        </w:rPr>
        <w:t xml:space="preserve">28</w:t>
      </w:r>
      <w:r>
        <w:rPr>
          <w:iCs/>
          <w:i/>
        </w:rPr>
        <w:t xml:space="preserve">.</w:t>
      </w:r>
      <w:r>
        <w:t xml:space="preserve"> </w:t>
      </w:r>
      <w:r>
        <w:t xml:space="preserve">(</w:t>
      </w:r>
      <w:r>
        <w:rPr>
          <w:bCs/>
          <w:b/>
        </w:rPr>
        <w:t xml:space="preserve">(NEIL/JUSTIN, is this accurate, and do you think it’s sufficient? If not, could you please provide a brief summary?</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67</w:t>
      </w:r>
    </w:p>
    <w:p>
      <w:pPr>
        <w:pStyle w:val="BodyText"/>
      </w:pP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68</w:t>
      </w:r>
      <w:r>
        <w:t xml:space="preserve"> </w:t>
      </w:r>
      <w:r>
        <w:t xml:space="preserve">and</w:t>
      </w:r>
      <w:r>
        <w:t xml:space="preserve"> </w:t>
      </w:r>
      <w:r>
        <w:t xml:space="preserve">‘</w:t>
      </w:r>
      <w:r>
        <w:t xml:space="preserve">bootRes</w:t>
      </w:r>
      <w:r>
        <w:t xml:space="preserve">’</w:t>
      </w:r>
      <w:r>
        <w:rPr>
          <w:vertAlign w:val="superscript"/>
        </w:rPr>
        <w:t xml:space="preserve">69</w:t>
      </w:r>
      <w:r>
        <w:t xml:space="preserve"> </w:t>
      </w:r>
      <w:r>
        <w:t xml:space="preserve">in R v.1.3.1093 (R Core Team, 2020), which correlated functions and bootstrapped confidence intervals for these relationships</w:t>
      </w:r>
      <w:r>
        <w:rPr>
          <w:vertAlign w:val="superscript"/>
        </w:rPr>
        <w:t xml:space="preserve">70</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effects of spring temperatures on the following year’s growth,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p>
    <w:bookmarkEnd w:id="32"/>
    <w:bookmarkEnd w:id="33"/>
    <w:bookmarkStart w:id="34" w:name="Acknowledgements"/>
    <w:p>
      <w:pPr>
        <w:pStyle w:val="Heading1"/>
      </w:pPr>
      <w:r>
        <w:t xml:space="preserve">Acknowledgements</w:t>
      </w:r>
    </w:p>
    <w:p>
      <w:pPr>
        <w:numPr>
          <w:ilvl w:val="0"/>
          <w:numId w:val="1002"/>
        </w:numPr>
      </w:pPr>
      <w:r>
        <w:t xml:space="preserve">people: (everyone who helped collect data– see list on GitHub), Jess Shue (data)</w:t>
      </w:r>
    </w:p>
    <w:p>
      <w:pPr>
        <w:numPr>
          <w:ilvl w:val="0"/>
          <w:numId w:val="1002"/>
        </w:numPr>
      </w:pPr>
      <w:r>
        <w:t xml:space="preserve">Funding: ForestGEO</w:t>
      </w:r>
    </w:p>
    <w:p>
      <w:pPr>
        <w:pStyle w:val="FirstParagraph"/>
      </w:pPr>
      <w:r>
        <w:rPr>
          <w:bCs/>
          <w:b/>
        </w:rPr>
        <w:t xml:space="preserve">COAUTHORS, PLEASE ADD.</w:t>
      </w:r>
    </w:p>
    <w:bookmarkEnd w:id="34"/>
    <w:bookmarkStart w:id="35"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David A. Orwig,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5"/>
    <w:bookmarkStart w:id="36"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36"/>
    <w:bookmarkStart w:id="114" w:name="References"/>
    <w:p>
      <w:pPr>
        <w:pStyle w:val="Heading1"/>
      </w:pPr>
      <w:r>
        <w:t xml:space="preserve">References</w:t>
      </w:r>
    </w:p>
    <w:bookmarkStart w:id="113" w:name="refs"/>
    <w:bookmarkStart w:id="37"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37"/>
    <w:bookmarkStart w:id="38"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38"/>
    <w:bookmarkStart w:id="39"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39"/>
    <w:bookmarkStart w:id="40"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40"/>
    <w:bookmarkStart w:id="42" w:name="ref-delgado_differences_2020"/>
    <w:p>
      <w:pPr>
        <w:pStyle w:val="Bibliography"/>
      </w:pPr>
      <w:r>
        <w:t xml:space="preserve">5.</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41">
        <w:r>
          <w:rPr>
            <w:rStyle w:val="Hyperlink"/>
          </w:rPr>
          <w:t xml:space="preserve">10.1073/pnas.2002713117</w:t>
        </w:r>
      </w:hyperlink>
      <w:r>
        <w:t xml:space="preserve">.</w:t>
      </w:r>
    </w:p>
    <w:bookmarkEnd w:id="42"/>
    <w:bookmarkStart w:id="43" w:name="ref-menzel_growing_1999"/>
    <w:p>
      <w:pPr>
        <w:pStyle w:val="Bibliography"/>
      </w:pPr>
      <w:r>
        <w:t xml:space="preserve">6.</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3"/>
    <w:bookmarkStart w:id="44" w:name="ref-menzel_european_2006"/>
    <w:p>
      <w:pPr>
        <w:pStyle w:val="Bibliography"/>
      </w:pPr>
      <w:r>
        <w:t xml:space="preserve">7.</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44"/>
    <w:bookmarkStart w:id="45" w:name="ref-ibanez_forecasting_2010"/>
    <w:p>
      <w:pPr>
        <w:pStyle w:val="Bibliography"/>
      </w:pPr>
      <w:r>
        <w:t xml:space="preserve">8.</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45"/>
    <w:bookmarkStart w:id="46" w:name="ref-keeling_increased_1996"/>
    <w:p>
      <w:pPr>
        <w:pStyle w:val="Bibliography"/>
      </w:pPr>
      <w:r>
        <w:t xml:space="preserve">9.</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46"/>
    <w:bookmarkStart w:id="47" w:name="ref-dragoni_evidence_2011"/>
    <w:p>
      <w:pPr>
        <w:pStyle w:val="Bibliography"/>
      </w:pPr>
      <w:r>
        <w:t xml:space="preserve">10.</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47"/>
    <w:bookmarkStart w:id="48" w:name="ref-crabbe_extreme_2016"/>
    <w:p>
      <w:pPr>
        <w:pStyle w:val="Bibliography"/>
      </w:pPr>
      <w:r>
        <w:t xml:space="preserve">11.</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48"/>
    <w:bookmarkStart w:id="49" w:name="ref-zhou_explaining_2016"/>
    <w:p>
      <w:pPr>
        <w:pStyle w:val="Bibliography"/>
      </w:pPr>
      <w:r>
        <w:t xml:space="preserve">12.</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49"/>
    <w:bookmarkStart w:id="50" w:name="ref-fu_maximum_2019"/>
    <w:p>
      <w:pPr>
        <w:pStyle w:val="Bibliography"/>
      </w:pPr>
      <w:r>
        <w:t xml:space="preserve">13.</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0"/>
    <w:bookmarkStart w:id="51" w:name="ref-xue_global_2017"/>
    <w:p>
      <w:pPr>
        <w:pStyle w:val="Bibliography"/>
      </w:pPr>
      <w:r>
        <w:t xml:space="preserve">14.</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1"/>
    <w:bookmarkStart w:id="52" w:name="ref-russell_residence_2014"/>
    <w:p>
      <w:pPr>
        <w:pStyle w:val="Bibliography"/>
      </w:pPr>
      <w:r>
        <w:t xml:space="preserve">15.</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2"/>
    <w:bookmarkStart w:id="53" w:name="ref-profft_forest_2009"/>
    <w:p>
      <w:pPr>
        <w:pStyle w:val="Bibliography"/>
      </w:pPr>
      <w:r>
        <w:t xml:space="preserve">16.</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53"/>
    <w:bookmarkStart w:id="54"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54"/>
    <w:bookmarkStart w:id="55"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55"/>
    <w:bookmarkStart w:id="56" w:name="ref-pan_large_2011"/>
    <w:p>
      <w:pPr>
        <w:pStyle w:val="Bibliography"/>
      </w:pPr>
      <w:r>
        <w:t xml:space="preserve">19.</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56"/>
    <w:bookmarkStart w:id="57" w:name="ref-pugh_role_2019"/>
    <w:p>
      <w:pPr>
        <w:pStyle w:val="Bibliography"/>
      </w:pPr>
      <w:r>
        <w:t xml:space="preserve">20.</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57"/>
    <w:bookmarkStart w:id="58" w:name="ref-arora_carbon_2020"/>
    <w:p>
      <w:pPr>
        <w:pStyle w:val="Bibliography"/>
      </w:pPr>
      <w:r>
        <w:t xml:space="preserve">21.</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58"/>
    <w:bookmarkStart w:id="59" w:name="ref-friedlingstein_global_2020"/>
    <w:p>
      <w:pPr>
        <w:pStyle w:val="Bibliography"/>
      </w:pPr>
      <w:r>
        <w:t xml:space="preserve">22.</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59"/>
    <w:bookmarkStart w:id="60" w:name="ref-churkina_spatial_2005"/>
    <w:p>
      <w:pPr>
        <w:pStyle w:val="Bibliography"/>
      </w:pPr>
      <w:r>
        <w:t xml:space="preserve">23.</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60"/>
    <w:bookmarkStart w:id="61" w:name="ref-keenan_timing_2015"/>
    <w:p>
      <w:pPr>
        <w:pStyle w:val="Bibliography"/>
      </w:pPr>
      <w:r>
        <w:t xml:space="preserve">24.</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61"/>
    <w:bookmarkStart w:id="62" w:name="ref-zohner_how_2021"/>
    <w:p>
      <w:pPr>
        <w:pStyle w:val="Bibliography"/>
      </w:pPr>
      <w:r>
        <w:t xml:space="preserve">25.</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62"/>
    <w:bookmarkStart w:id="64" w:name="ref-dorangeville_peak_2021"/>
    <w:p>
      <w:pPr>
        <w:pStyle w:val="Bibliography"/>
      </w:pPr>
      <w:r>
        <w:t xml:space="preserve">26.</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3">
        <w:r>
          <w:rPr>
            <w:rStyle w:val="Hyperlink"/>
          </w:rPr>
          <w:t xml:space="preserve">10.1093/treephys/tpab101</w:t>
        </w:r>
      </w:hyperlink>
      <w:r>
        <w:t xml:space="preserve">.</w:t>
      </w:r>
    </w:p>
    <w:bookmarkEnd w:id="64"/>
    <w:bookmarkStart w:id="65" w:name="ref-dorangeville_drought_2018"/>
    <w:p>
      <w:pPr>
        <w:pStyle w:val="Bibliography"/>
      </w:pPr>
      <w:r>
        <w:t xml:space="preserve">27.</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65"/>
    <w:bookmarkStart w:id="66" w:name="ref-helcoski_growing_2019"/>
    <w:p>
      <w:pPr>
        <w:pStyle w:val="Bibliography"/>
      </w:pPr>
      <w:r>
        <w:t xml:space="preserve">28.</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66"/>
    <w:bookmarkStart w:id="67" w:name="ref-mcmahon_general_2015"/>
    <w:p>
      <w:pPr>
        <w:pStyle w:val="Bibliography"/>
      </w:pPr>
      <w:r>
        <w:t xml:space="preserve">29.</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67"/>
    <w:bookmarkStart w:id="68" w:name="ref-parmesan_globally_2003"/>
    <w:p>
      <w:pPr>
        <w:pStyle w:val="Bibliography"/>
      </w:pPr>
      <w:r>
        <w:t xml:space="preserve">30.</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8"/>
    <w:bookmarkStart w:id="69" w:name="ref-friedl_tale_2014"/>
    <w:p>
      <w:pPr>
        <w:pStyle w:val="Bibliography"/>
      </w:pPr>
      <w:r>
        <w:t xml:space="preserve">31.</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9"/>
    <w:bookmarkStart w:id="70" w:name="ref-fu_variation_2014"/>
    <w:p>
      <w:pPr>
        <w:pStyle w:val="Bibliography"/>
      </w:pPr>
      <w:r>
        <w:t xml:space="preserve">32.</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70"/>
    <w:bookmarkStart w:id="71" w:name="ref-zhang_drought_2021"/>
    <w:p>
      <w:pPr>
        <w:pStyle w:val="Bibliography"/>
      </w:pPr>
      <w:r>
        <w:t xml:space="preserve">33.</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71"/>
    <w:bookmarkStart w:id="72" w:name="ref-vicente-serrano_multiscalar_2010"/>
    <w:p>
      <w:pPr>
        <w:pStyle w:val="Bibliography"/>
      </w:pPr>
      <w:r>
        <w:t xml:space="preserve">34.</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72"/>
    <w:bookmarkStart w:id="73" w:name="ref-zohner_ongoing_2019"/>
    <w:p>
      <w:pPr>
        <w:pStyle w:val="Bibliography"/>
      </w:pPr>
      <w:r>
        <w:t xml:space="preserve">35.</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73"/>
    <w:bookmarkStart w:id="74" w:name="ref-xie_predicting_2018"/>
    <w:p>
      <w:pPr>
        <w:pStyle w:val="Bibliography"/>
      </w:pPr>
      <w:r>
        <w:t xml:space="preserve">36.</w:t>
      </w:r>
      <w:r>
        <w:t xml:space="preserve"> </w:t>
      </w:r>
      <w:r>
        <w:t xml:space="preserve">	</w:t>
      </w:r>
      <w:r>
        <w:t xml:space="preserve">Xie, Y., Wang, X., Wilson, A. M. &amp; Silander, J. A. Predicting autumn phenology: How 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74"/>
    <w:bookmarkStart w:id="75" w:name="ref-cuny_woody_2015"/>
    <w:p>
      <w:pPr>
        <w:pStyle w:val="Bibliography"/>
      </w:pPr>
      <w:r>
        <w:t xml:space="preserve">37.</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5"/>
    <w:bookmarkStart w:id="76" w:name="ref-trumbore_quantifying_2002"/>
    <w:p>
      <w:pPr>
        <w:pStyle w:val="Bibliography"/>
      </w:pPr>
      <w:r>
        <w:t xml:space="preserve">38.</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6"/>
    <w:bookmarkStart w:id="77" w:name="ref-richardson_seasonal_2013"/>
    <w:p>
      <w:pPr>
        <w:pStyle w:val="Bibliography"/>
      </w:pPr>
      <w:r>
        <w:t xml:space="preserve">39.</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7"/>
    <w:bookmarkStart w:id="78" w:name="ref-oishi_warmer_2018"/>
    <w:p>
      <w:pPr>
        <w:pStyle w:val="Bibliography"/>
      </w:pPr>
      <w:r>
        <w:t xml:space="preserve">40.</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8"/>
    <w:bookmarkStart w:id="79" w:name="ref-anderson-teixeira_joint_2021"/>
    <w:p>
      <w:pPr>
        <w:pStyle w:val="Bibliography"/>
      </w:pPr>
      <w:r>
        <w:t xml:space="preserve">41.</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79"/>
    <w:bookmarkStart w:id="81" w:name="ref-banburymorgan_global_2021"/>
    <w:p>
      <w:pPr>
        <w:pStyle w:val="Bibliography"/>
      </w:pPr>
      <w:r>
        <w:t xml:space="preserve">42.</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0">
        <w:r>
          <w:rPr>
            <w:rStyle w:val="Hyperlink"/>
          </w:rPr>
          <w:t xml:space="preserve">10.1111/gcb.15574</w:t>
        </w:r>
      </w:hyperlink>
      <w:r>
        <w:t xml:space="preserve">.</w:t>
      </w:r>
    </w:p>
    <w:bookmarkEnd w:id="81"/>
    <w:bookmarkStart w:id="82" w:name="ref-bourg_initial_2013"/>
    <w:p>
      <w:pPr>
        <w:pStyle w:val="Bibliography"/>
      </w:pPr>
      <w:r>
        <w:t xml:space="preserve">43.</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2"/>
    <w:bookmarkStart w:id="83" w:name="ref-anderson-teixeira_ctfsforestgeo_2015"/>
    <w:p>
      <w:pPr>
        <w:pStyle w:val="Bibliography"/>
      </w:pPr>
      <w:r>
        <w:t xml:space="preserve">44.</w:t>
      </w:r>
      <w:r>
        <w:t xml:space="preserve"> </w:t>
      </w:r>
      <w:r>
        <w:t xml:space="preserve">	</w:t>
      </w:r>
      <w:r>
        <w:t xml:space="preserve">Anderson-Teixeira, K. J.</w:t>
      </w:r>
      <w:r>
        <w:t xml:space="preserve"> </w:t>
      </w:r>
      <w:r>
        <w:rPr>
          <w:iCs/>
          <w:i/>
        </w:rPr>
        <w:t xml:space="preserve">et al.</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83"/>
    <w:bookmarkStart w:id="84" w:name="ref-davies_forestgeo_2021"/>
    <w:p>
      <w:pPr>
        <w:pStyle w:val="Bibliography"/>
      </w:pPr>
      <w:r>
        <w:t xml:space="preserve">45.</w:t>
      </w:r>
      <w:r>
        <w:t xml:space="preserve"> </w:t>
      </w:r>
      <w:r>
        <w:t xml:space="preserve">	</w:t>
      </w:r>
      <w:r>
        <w:t xml:space="preserve">Davies, S. J.</w:t>
      </w:r>
      <w:r>
        <w:t xml:space="preserve"> </w:t>
      </w:r>
      <w:r>
        <w:rPr>
          <w:iCs/>
          <w:i/>
        </w:rPr>
        <w:t xml:space="preserve">et al.</w:t>
      </w:r>
      <w:r>
        <w:t xml:space="preserve"> </w:t>
      </w:r>
      <w:r>
        <w:t xml:space="preserve">ForestGEO</w:t>
      </w:r>
      <w:r>
        <w:t xml:space="preserve">: Understanding 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84"/>
    <w:bookmarkStart w:id="86" w:name="ref-friedl_mcd12q2_2019"/>
    <w:p>
      <w:pPr>
        <w:pStyle w:val="Bibliography"/>
      </w:pPr>
      <w:r>
        <w:t xml:space="preserve">46.</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5">
        <w:r>
          <w:rPr>
            <w:rStyle w:val="Hyperlink"/>
          </w:rPr>
          <w:t xml:space="preserve">10.5067/MODIS/MCD12Q2.006</w:t>
        </w:r>
      </w:hyperlink>
      <w:r>
        <w:t xml:space="preserve">.</w:t>
      </w:r>
    </w:p>
    <w:bookmarkEnd w:id="86"/>
    <w:bookmarkStart w:id="88" w:name="ref-anderson-teixeira_forestgeo_2020"/>
    <w:p>
      <w:pPr>
        <w:pStyle w:val="Bibliography"/>
      </w:pPr>
      <w:r>
        <w:t xml:space="preserve">47.</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87">
        <w:r>
          <w:rPr>
            <w:rStyle w:val="Hyperlink"/>
          </w:rPr>
          <w:t xml:space="preserve">10.5281/ZENODO.4041609</w:t>
        </w:r>
      </w:hyperlink>
      <w:r>
        <w:t xml:space="preserve">.</w:t>
      </w:r>
    </w:p>
    <w:bookmarkEnd w:id="88"/>
    <w:bookmarkStart w:id="89" w:name="ref-benestad_empiricalstatistical_2008"/>
    <w:p>
      <w:pPr>
        <w:pStyle w:val="Bibliography"/>
      </w:pPr>
      <w:r>
        <w:t xml:space="preserve">48.</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89"/>
    <w:bookmarkStart w:id="90" w:name="ref-vandepol_identifying_2016"/>
    <w:p>
      <w:pPr>
        <w:pStyle w:val="Bibliography"/>
      </w:pPr>
      <w:r>
        <w:t xml:space="preserve">49.</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0"/>
    <w:bookmarkStart w:id="91" w:name="ref-bates_fitting_2015"/>
    <w:p>
      <w:pPr>
        <w:pStyle w:val="Bibliography"/>
      </w:pPr>
      <w:r>
        <w:t xml:space="preserve">50.</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91"/>
    <w:bookmarkStart w:id="92" w:name="ref-gabry_rstanarm_2020"/>
    <w:p>
      <w:pPr>
        <w:pStyle w:val="Bibliography"/>
      </w:pPr>
      <w:r>
        <w:t xml:space="preserve">51.</w:t>
      </w:r>
      <w:r>
        <w:t xml:space="preserve"> </w:t>
      </w:r>
      <w:r>
        <w:t xml:space="preserve">	</w:t>
      </w:r>
      <w:r>
        <w:t xml:space="preserve">Gabry, J.</w:t>
      </w:r>
      <w:r>
        <w:t xml:space="preserve"> </w:t>
      </w:r>
      <w:r>
        <w:rPr>
          <w:iCs/>
          <w:i/>
        </w:rPr>
        <w:t xml:space="preserve">et al.</w:t>
      </w:r>
      <w:r>
        <w:t xml:space="preserve"> Rstanarm: Bayesian</w:t>
      </w:r>
      <w:r>
        <w:t xml:space="preserve"> </w:t>
      </w:r>
      <w:r>
        <w:t xml:space="preserve">Applied Regression Modeling</w:t>
      </w:r>
      <w:r>
        <w:t xml:space="preserve"> </w:t>
      </w:r>
      <w:r>
        <w:t xml:space="preserve">via</w:t>
      </w:r>
      <w:r>
        <w:t xml:space="preserve"> </w:t>
      </w:r>
      <w:r>
        <w:t xml:space="preserve">Stan</w:t>
      </w:r>
      <w:r>
        <w:t xml:space="preserve">. (2020).</w:t>
      </w:r>
    </w:p>
    <w:bookmarkEnd w:id="92"/>
    <w:bookmarkStart w:id="93" w:name="ref-stokes_introduction_1968"/>
    <w:p>
      <w:pPr>
        <w:pStyle w:val="Bibliography"/>
      </w:pPr>
      <w:r>
        <w:t xml:space="preserve">52.</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 (</w:t>
      </w:r>
      <w:r>
        <w:t xml:space="preserve">University of Arizona Press</w:t>
      </w:r>
      <w:r>
        <w:t xml:space="preserve">, 1968).</w:t>
      </w:r>
    </w:p>
    <w:bookmarkEnd w:id="93"/>
    <w:bookmarkStart w:id="94" w:name="ref-alexander_potential_2019"/>
    <w:p>
      <w:pPr>
        <w:pStyle w:val="Bibliography"/>
      </w:pPr>
      <w:r>
        <w:t xml:space="preserve">53.</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94"/>
    <w:bookmarkStart w:id="95" w:name="ref-dye_comparing_2016"/>
    <w:p>
      <w:pPr>
        <w:pStyle w:val="Bibliography"/>
      </w:pPr>
      <w:r>
        <w:t xml:space="preserve">54.</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95"/>
    <w:bookmarkStart w:id="96" w:name="ref-maxwell_sampling_2020"/>
    <w:p>
      <w:pPr>
        <w:pStyle w:val="Bibliography"/>
      </w:pPr>
      <w:r>
        <w:t xml:space="preserve">55.</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96"/>
    <w:bookmarkStart w:id="97" w:name="ref-maxwell_increased_2017"/>
    <w:p>
      <w:pPr>
        <w:pStyle w:val="Bibliography"/>
      </w:pPr>
      <w:r>
        <w:t xml:space="preserve">56.</w:t>
      </w:r>
      <w:r>
        <w:t xml:space="preserve"> </w:t>
      </w:r>
      <w:r>
        <w:t xml:space="preserve">	</w:t>
      </w:r>
      <w:r>
        <w:t xml:space="preserve">Maxwell, J. T. &amp; Harley, G. L. Increased tree-ring network density reveals more precise estimations of sub-regional hydroclimate variability and climate dynamics in the</w:t>
      </w:r>
      <w:r>
        <w:t xml:space="preserve"> </w:t>
      </w:r>
      <w:r>
        <w:t xml:space="preserve">Midwest</w:t>
      </w:r>
      <w:r>
        <w:t xml:space="preserve">,</w:t>
      </w:r>
      <w:r>
        <w:t xml:space="preserve"> </w:t>
      </w:r>
      <w:r>
        <w:t xml:space="preserve">USA</w:t>
      </w:r>
      <w:r>
        <w:t xml:space="preserve">.</w:t>
      </w:r>
      <w:r>
        <w:t xml:space="preserve"> </w:t>
      </w:r>
      <w:r>
        <w:rPr>
          <w:iCs/>
          <w:i/>
        </w:rPr>
        <w:t xml:space="preserve">Climate Dynamics</w:t>
      </w:r>
      <w:r>
        <w:t xml:space="preserve"> </w:t>
      </w:r>
      <w:r>
        <w:rPr>
          <w:bCs/>
          <w:b/>
        </w:rPr>
        <w:t xml:space="preserve">49</w:t>
      </w:r>
      <w:r>
        <w:t xml:space="preserve">, 1479–1493 (2017).</w:t>
      </w:r>
    </w:p>
    <w:bookmarkEnd w:id="97"/>
    <w:bookmarkStart w:id="98" w:name="ref-wilde_comparing_2018"/>
    <w:p>
      <w:pPr>
        <w:pStyle w:val="Bibliography"/>
      </w:pPr>
      <w:r>
        <w:t xml:space="preserve">57.</w:t>
      </w:r>
      <w:r>
        <w:t xml:space="preserve"> </w:t>
      </w:r>
      <w:r>
        <w:t xml:space="preserve">	</w:t>
      </w:r>
      <w:r>
        <w:t xml:space="preserve">Wilde, E. M. &amp; Maxwell, J. T. Comparing climate-growth responses of urban and non-urban forests using</w:t>
      </w:r>
      <w:r>
        <w:t xml:space="preserve"> </w:t>
      </w:r>
      <w:r>
        <w:t xml:space="preserve">L</w:t>
      </w:r>
      <w:r>
        <w:t xml:space="preserve">. Tulipifera tree-rings in southern</w:t>
      </w:r>
      <w:r>
        <w:t xml:space="preserve"> </w:t>
      </w:r>
      <w:r>
        <w:t xml:space="preserve">Indiana</w:t>
      </w:r>
      <w:r>
        <w:t xml:space="preserve">,</w:t>
      </w:r>
      <w:r>
        <w:t xml:space="preserve"> </w:t>
      </w:r>
      <w:r>
        <w:t xml:space="preserve">USA</w:t>
      </w:r>
      <w:r>
        <w:t xml:space="preserve">.</w:t>
      </w:r>
      <w:r>
        <w:t xml:space="preserve"> </w:t>
      </w:r>
      <w:r>
        <w:rPr>
          <w:iCs/>
          <w:i/>
        </w:rPr>
        <w:t xml:space="preserve">Urban Forestry &amp; Urban Greening</w:t>
      </w:r>
      <w:r>
        <w:t xml:space="preserve"> </w:t>
      </w:r>
      <w:r>
        <w:rPr>
          <w:bCs/>
          <w:b/>
        </w:rPr>
        <w:t xml:space="preserve">31</w:t>
      </w:r>
      <w:r>
        <w:t xml:space="preserve">, 103–108 (2018).</w:t>
      </w:r>
    </w:p>
    <w:bookmarkEnd w:id="98"/>
    <w:bookmarkStart w:id="99" w:name="ref-strange_comparing_2019"/>
    <w:p>
      <w:pPr>
        <w:pStyle w:val="Bibliography"/>
      </w:pPr>
      <w:r>
        <w:t xml:space="preserve">58.</w:t>
      </w:r>
      <w:r>
        <w:t xml:space="preserve"> </w:t>
      </w:r>
      <w:r>
        <w:t xml:space="preserve">	</w:t>
      </w:r>
      <w:r>
        <w:t xml:space="preserve">Strange, B. M.</w:t>
      </w:r>
      <w:r>
        <w:t xml:space="preserve"> </w:t>
      </w:r>
      <w:r>
        <w:rPr>
          <w:iCs/>
          <w:i/>
        </w:rPr>
        <w:t xml:space="preserve">et al.</w:t>
      </w:r>
      <w:r>
        <w:t xml:space="preserve"> Comparing three approaches to reconstructing streamflow using tree rings in the</w:t>
      </w:r>
      <w:r>
        <w:t xml:space="preserve"> </w:t>
      </w:r>
      <w:r>
        <w:t xml:space="preserve">Wabash River</w:t>
      </w:r>
      <w:r>
        <w:t xml:space="preserve"> </w:t>
      </w:r>
      <w:r>
        <w:t xml:space="preserve">basin in the</w:t>
      </w:r>
      <w:r>
        <w:t xml:space="preserve"> </w:t>
      </w:r>
      <w:r>
        <w:t xml:space="preserve">Midwestern</w:t>
      </w:r>
      <w:r>
        <w:t xml:space="preserve">,</w:t>
      </w:r>
      <w:r>
        <w:t xml:space="preserve"> </w:t>
      </w:r>
      <w:r>
        <w:t xml:space="preserve">US</w:t>
      </w:r>
      <w:r>
        <w:t xml:space="preserve">.</w:t>
      </w:r>
      <w:r>
        <w:t xml:space="preserve"> </w:t>
      </w:r>
      <w:r>
        <w:rPr>
          <w:iCs/>
          <w:i/>
        </w:rPr>
        <w:t xml:space="preserve">Journal of Hydrology</w:t>
      </w:r>
      <w:r>
        <w:t xml:space="preserve"> </w:t>
      </w:r>
      <w:r>
        <w:rPr>
          <w:bCs/>
          <w:b/>
        </w:rPr>
        <w:t xml:space="preserve">573</w:t>
      </w:r>
      <w:r>
        <w:t xml:space="preserve">, 829–840 (2019).</w:t>
      </w:r>
    </w:p>
    <w:bookmarkEnd w:id="99"/>
    <w:bookmarkStart w:id="100" w:name="ref-au_demographic_2020"/>
    <w:p>
      <w:pPr>
        <w:pStyle w:val="Bibliography"/>
      </w:pPr>
      <w:r>
        <w:t xml:space="preserve">59.</w:t>
      </w:r>
      <w:r>
        <w:t xml:space="preserve"> </w:t>
      </w:r>
      <w:r>
        <w:t xml:space="preserve">	</w:t>
      </w:r>
      <w:r>
        <w:t xml:space="preserve">Au, T. F.</w:t>
      </w:r>
      <w:r>
        <w:t xml:space="preserve"> </w:t>
      </w:r>
      <w:r>
        <w:rPr>
          <w:iCs/>
          <w:i/>
        </w:rPr>
        <w:t xml:space="preserve">et al.</w:t>
      </w:r>
      <w:r>
        <w:t xml:space="preserve">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 </w:t>
      </w:r>
      <w:r>
        <w:rPr>
          <w:bCs/>
          <w:b/>
        </w:rPr>
        <w:t xml:space="preserve">43</w:t>
      </w:r>
      <w:r>
        <w:t xml:space="preserve">, 1475–1486 (2020).</w:t>
      </w:r>
    </w:p>
    <w:bookmarkEnd w:id="100"/>
    <w:bookmarkStart w:id="101" w:name="ref-matheus_placing_2018"/>
    <w:p>
      <w:pPr>
        <w:pStyle w:val="Bibliography"/>
      </w:pPr>
      <w:r>
        <w:t xml:space="preserve">60.</w:t>
      </w:r>
      <w:r>
        <w:t xml:space="preserve"> </w:t>
      </w:r>
      <w:r>
        <w:t xml:space="preserve">	</w:t>
      </w:r>
      <w:r>
        <w:t xml:space="preserve">Matheus, T. J. &amp; Maxwell, J. T. Placing modern droughts in historical context in the</w:t>
      </w:r>
      <w:r>
        <w:t xml:space="preserve"> </w:t>
      </w:r>
      <w:r>
        <w:t xml:space="preserve">Ohio Valley</w:t>
      </w:r>
      <w:r>
        <w:t xml:space="preserve"> </w:t>
      </w:r>
      <w:r>
        <w:t xml:space="preserve">using tree-rings.</w:t>
      </w:r>
      <w:r>
        <w:t xml:space="preserve"> </w:t>
      </w:r>
      <w:r>
        <w:rPr>
          <w:iCs/>
          <w:i/>
        </w:rPr>
        <w:t xml:space="preserve">Physical Geography</w:t>
      </w:r>
      <w:r>
        <w:t xml:space="preserve"> </w:t>
      </w:r>
      <w:r>
        <w:rPr>
          <w:bCs/>
          <w:b/>
        </w:rPr>
        <w:t xml:space="preserve">39</w:t>
      </w:r>
      <w:r>
        <w:t xml:space="preserve">, 343–353 (2018).</w:t>
      </w:r>
    </w:p>
    <w:bookmarkEnd w:id="101"/>
    <w:bookmarkStart w:id="102" w:name="ref-leblanc_radial_2020"/>
    <w:p>
      <w:pPr>
        <w:pStyle w:val="Bibliography"/>
      </w:pPr>
      <w:r>
        <w:t xml:space="preserve">61.</w:t>
      </w:r>
      <w:r>
        <w:t xml:space="preserve"> </w:t>
      </w:r>
      <w:r>
        <w:t xml:space="preserve">	</w:t>
      </w:r>
      <w:r>
        <w:t xml:space="preserve">LeBlanc, D., Maxwell, J., Pederson, N., Berland, A. &amp; Mandra, T. Radial growth responses of tulip poplar (</w:t>
      </w:r>
      <w:r>
        <w:t xml:space="preserve">Liriodendron</w:t>
      </w:r>
      <w:r>
        <w:t xml:space="preserve"> </w:t>
      </w:r>
      <w:r>
        <w:t xml:space="preserve">tulipifera) to climate in the eastern</w:t>
      </w:r>
      <w:r>
        <w:t xml:space="preserve"> </w:t>
      </w:r>
      <w:r>
        <w:t xml:space="preserve">United States</w:t>
      </w:r>
      <w:r>
        <w:t xml:space="preserve">.</w:t>
      </w:r>
      <w:r>
        <w:t xml:space="preserve"> </w:t>
      </w:r>
      <w:r>
        <w:rPr>
          <w:iCs/>
          <w:i/>
        </w:rPr>
        <w:t xml:space="preserve">Ecosphere</w:t>
      </w:r>
      <w:r>
        <w:t xml:space="preserve"> </w:t>
      </w:r>
      <w:r>
        <w:rPr>
          <w:bCs/>
          <w:b/>
        </w:rPr>
        <w:t xml:space="preserve">11</w:t>
      </w:r>
      <w:r>
        <w:t xml:space="preserve">, e03203 (2020).</w:t>
      </w:r>
    </w:p>
    <w:bookmarkEnd w:id="102"/>
    <w:bookmarkStart w:id="103" w:name="ref-maxwell_higher_2019"/>
    <w:p>
      <w:pPr>
        <w:pStyle w:val="Bibliography"/>
      </w:pPr>
      <w:r>
        <w:t xml:space="preserve">62.</w:t>
      </w:r>
      <w:r>
        <w:t xml:space="preserve"> </w:t>
      </w:r>
      <w:r>
        <w:t xml:space="preserve">	</w:t>
      </w:r>
      <w:r>
        <w:t xml:space="preserve">Maxwell, J. T.</w:t>
      </w:r>
      <w:r>
        <w:t xml:space="preserve"> </w:t>
      </w:r>
      <w:r>
        <w:rPr>
          <w:iCs/>
          <w:i/>
        </w:rPr>
        <w:t xml:space="preserve">et al.</w:t>
      </w:r>
      <w:r>
        <w:t xml:space="preserve">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 </w:t>
      </w:r>
      <w:r>
        <w:rPr>
          <w:bCs/>
          <w:b/>
        </w:rPr>
        <w:t xml:space="preserve">124</w:t>
      </w:r>
      <w:r>
        <w:t xml:space="preserve">, 3798–3813 (2019).</w:t>
      </w:r>
    </w:p>
    <w:bookmarkEnd w:id="103"/>
    <w:bookmarkStart w:id="104" w:name="ref-maxwell_dendroclimatic_2015"/>
    <w:p>
      <w:pPr>
        <w:pStyle w:val="Bibliography"/>
      </w:pPr>
      <w:r>
        <w:t xml:space="preserve">63.</w:t>
      </w:r>
      <w:r>
        <w:t xml:space="preserve"> </w:t>
      </w:r>
      <w:r>
        <w:t xml:space="preserve">	</w:t>
      </w:r>
      <w:r>
        <w:t xml:space="preserve">Maxwell, J. T., Harley, G. L. &amp; Matheus, T. J. Dendroclimatic reconstructions from multiple co-occurring species: A case study from an old-growth deciduous forest in</w:t>
      </w:r>
      <w:r>
        <w:t xml:space="preserve"> </w:t>
      </w:r>
      <w:r>
        <w:t xml:space="preserve">Indiana</w:t>
      </w:r>
      <w:r>
        <w:t xml:space="preserve">,</w:t>
      </w:r>
      <w:r>
        <w:t xml:space="preserve"> </w:t>
      </w:r>
      <w:r>
        <w:t xml:space="preserve">USA</w:t>
      </w:r>
      <w:r>
        <w:t xml:space="preserve">.</w:t>
      </w:r>
      <w:r>
        <w:t xml:space="preserve"> </w:t>
      </w:r>
      <w:r>
        <w:rPr>
          <w:iCs/>
          <w:i/>
        </w:rPr>
        <w:t xml:space="preserve">International Journal of Climatology</w:t>
      </w:r>
      <w:r>
        <w:t xml:space="preserve"> </w:t>
      </w:r>
      <w:r>
        <w:rPr>
          <w:bCs/>
          <w:b/>
        </w:rPr>
        <w:t xml:space="preserve">35</w:t>
      </w:r>
      <w:r>
        <w:t xml:space="preserve">, 860–870 (2015).</w:t>
      </w:r>
    </w:p>
    <w:bookmarkEnd w:id="104"/>
    <w:bookmarkStart w:id="105" w:name="ref-schmidt_325year_2015"/>
    <w:p>
      <w:pPr>
        <w:pStyle w:val="Bibliography"/>
      </w:pPr>
      <w:r>
        <w:t xml:space="preserve">64.</w:t>
      </w:r>
      <w:r>
        <w:t xml:space="preserve"> </w:t>
      </w:r>
      <w:r>
        <w:t xml:space="preserve">	</w:t>
      </w:r>
      <w:r>
        <w:t xml:space="preserve">Schmidt, K. R. A 325-year reconstruction of</w:t>
      </w:r>
      <w:r>
        <w:t xml:space="preserve"> </w:t>
      </w:r>
      <w:r>
        <w:t xml:space="preserve">St</w:t>
      </w:r>
      <w:r>
        <w:t xml:space="preserve">.</w:t>
      </w:r>
      <w:r>
        <w:t xml:space="preserve"> </w:t>
      </w:r>
      <w:r>
        <w:t xml:space="preserve">Joseph River</w:t>
      </w:r>
      <w:r>
        <w:t xml:space="preserve"> </w:t>
      </w:r>
      <w:r>
        <w:t xml:space="preserve">streamflow using tree rings. (Indiana University, 2015).</w:t>
      </w:r>
    </w:p>
    <w:bookmarkEnd w:id="105"/>
    <w:bookmarkStart w:id="106" w:name="ref-cook_time_1985"/>
    <w:p>
      <w:pPr>
        <w:pStyle w:val="Bibliography"/>
      </w:pPr>
      <w:r>
        <w:t xml:space="preserve">65.</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06"/>
    <w:bookmarkStart w:id="108" w:name="ref-cook_methods_1990"/>
    <w:p>
      <w:pPr>
        <w:pStyle w:val="Bibliography"/>
      </w:pPr>
      <w:r>
        <w:t xml:space="preserve">66.</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107">
        <w:r>
          <w:rPr>
            <w:rStyle w:val="Hyperlink"/>
          </w:rPr>
          <w:t xml:space="preserve">10.1007/978-94-015-7879-0</w:t>
        </w:r>
      </w:hyperlink>
      <w:r>
        <w:t xml:space="preserve">.</w:t>
      </w:r>
    </w:p>
    <w:bookmarkEnd w:id="108"/>
    <w:bookmarkStart w:id="109" w:name="ref-harris_version_2020"/>
    <w:p>
      <w:pPr>
        <w:pStyle w:val="Bibliography"/>
      </w:pPr>
      <w:r>
        <w:t xml:space="preserve">67.</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9"/>
    <w:bookmarkStart w:id="110" w:name="ref-bunn_dendrochronology_2008"/>
    <w:p>
      <w:pPr>
        <w:pStyle w:val="Bibliography"/>
      </w:pPr>
      <w:r>
        <w:t xml:space="preserve">68.</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10"/>
    <w:bookmarkStart w:id="111" w:name="ref-zang_dendroclimatic_2013"/>
    <w:p>
      <w:pPr>
        <w:pStyle w:val="Bibliography"/>
      </w:pPr>
      <w:r>
        <w:t xml:space="preserve">69.</w:t>
      </w:r>
      <w:r>
        <w:t xml:space="preserve"> </w:t>
      </w:r>
      <w:r>
        <w:t xml:space="preserve">	</w:t>
      </w:r>
      <w:r>
        <w:t xml:space="preserve">Zang, C. &amp; Biondi, F. Dendroclimatic calibration in</w:t>
      </w:r>
      <w:r>
        <w:t xml:space="preserve"> </w:t>
      </w:r>
      <w:r>
        <w:t xml:space="preserve">R</w:t>
      </w:r>
      <w:r>
        <w:t xml:space="preserve">: The</w:t>
      </w:r>
      <w:r>
        <w:t xml:space="preserve"> </w:t>
      </w:r>
      <w:r>
        <w:t xml:space="preserve">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11"/>
    <w:bookmarkStart w:id="112" w:name="ref-biondi_dendroclim2002_2004"/>
    <w:p>
      <w:pPr>
        <w:pStyle w:val="Bibliography"/>
      </w:pPr>
      <w:r>
        <w:t xml:space="preserve">70.</w:t>
      </w:r>
      <w:r>
        <w:t xml:space="preserve"> </w:t>
      </w:r>
      <w:r>
        <w:t xml:space="preserve">	</w:t>
      </w:r>
      <w:r>
        <w:t xml:space="preserve">Biondi, F. &amp; Waikul, K.</w:t>
      </w:r>
      <w:r>
        <w:t xml:space="preserve"> </w:t>
      </w:r>
      <w:r>
        <w:t xml:space="preserve">DENDROCLIM2002</w:t>
      </w:r>
      <w:r>
        <w:t xml:space="preserve"> </w:t>
      </w:r>
      <w:r>
        <w:t xml:space="preserve">: A</w:t>
      </w:r>
      <w:r>
        <w:t xml:space="preserve"> </w:t>
      </w:r>
      <w:r>
        <w:t xml:space="preserve">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12"/>
    <w:bookmarkEnd w:id="113"/>
    <w:bookmarkEnd w:id="114"/>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107" Target="https://doi.org/10.1007/978-94-015-7879-0" TargetMode="External" /><Relationship Type="http://schemas.openxmlformats.org/officeDocument/2006/relationships/hyperlink" Id="rId41" Target="https://doi.org/10.1073/pnas.2002713117" TargetMode="External" /><Relationship Type="http://schemas.openxmlformats.org/officeDocument/2006/relationships/hyperlink" Id="rId63" Target="https://doi.org/10.1093/treephys/tpab101" TargetMode="External" /><Relationship Type="http://schemas.openxmlformats.org/officeDocument/2006/relationships/hyperlink" Id="rId80" Target="https://doi.org/10.1111/gcb.15574" TargetMode="External" /><Relationship Type="http://schemas.openxmlformats.org/officeDocument/2006/relationships/hyperlink" Id="rId85" Target="https://doi.org/10.5067/MODIS/MCD12Q2.006" TargetMode="External" /><Relationship Type="http://schemas.openxmlformats.org/officeDocument/2006/relationships/hyperlink" Id="rId87" Target="https://doi.org/10.5281/ZENODO.4041609" TargetMode="External" /><Relationship Type="http://schemas.openxmlformats.org/officeDocument/2006/relationships/hyperlink" Id="rId29" Target="https://forestgeo.github.io/Climate/" TargetMode="External" /><Relationship Type="http://schemas.openxmlformats.org/officeDocument/2006/relationships/hyperlink" Id="rId30"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7" Target="https://doi.org/10.1007/978-94-015-7879-0" TargetMode="External" /><Relationship Type="http://schemas.openxmlformats.org/officeDocument/2006/relationships/hyperlink" Id="rId41" Target="https://doi.org/10.1073/pnas.2002713117" TargetMode="External" /><Relationship Type="http://schemas.openxmlformats.org/officeDocument/2006/relationships/hyperlink" Id="rId63" Target="https://doi.org/10.1093/treephys/tpab101" TargetMode="External" /><Relationship Type="http://schemas.openxmlformats.org/officeDocument/2006/relationships/hyperlink" Id="rId80" Target="https://doi.org/10.1111/gcb.15574" TargetMode="External" /><Relationship Type="http://schemas.openxmlformats.org/officeDocument/2006/relationships/hyperlink" Id="rId85" Target="https://doi.org/10.5067/MODIS/MCD12Q2.006" TargetMode="External" /><Relationship Type="http://schemas.openxmlformats.org/officeDocument/2006/relationships/hyperlink" Id="rId87" Target="https://doi.org/10.5281/ZENODO.4041609" TargetMode="External" /><Relationship Type="http://schemas.openxmlformats.org/officeDocument/2006/relationships/hyperlink" Id="rId29" Target="https://forestgeo.github.io/Climate/" TargetMode="External" /><Relationship Type="http://schemas.openxmlformats.org/officeDocument/2006/relationships/hyperlink" Id="rId30"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2021-10-21T16:27:56Z</dcterms:created>
  <dcterms:modified xsi:type="dcterms:W3CDTF">2021-10-21T16:27:56Z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