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r>
        <w:t xml:space="preserve"> </w:t>
      </w:r>
      <w:r>
        <w:rPr>
          <w:i/>
        </w:rPr>
        <w:t xml:space="preserve">/annual increments</w:t>
      </w:r>
    </w:p>
    <w:p>
      <w:pPr>
        <w:pStyle w:val="BodyText"/>
      </w:pPr>
      <w:r>
        <w:rPr>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mixed, weak effects on peak growing season length, maximum daily growth rates, and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
        </w:rPr>
        <w:t xml:space="preserve">in most models</w:t>
      </w:r>
      <w:r>
        <w:rPr>
          <w:vertAlign w:val="superscript"/>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19</w:t>
      </w:r>
      <w:r>
        <w:t xml:space="preserve"> </w:t>
      </w:r>
      <w:r>
        <w:t xml:space="preserve">and sometimes later autumn senesence</w:t>
      </w:r>
      <w:r>
        <w:rPr>
          <w:vertAlign w:val="superscript"/>
        </w:rPr>
        <w:t xml:space="preserve">2,6</w:t>
      </w:r>
      <w:r>
        <w:t xml:space="preserve">.</w:t>
      </w:r>
      <w:r>
        <w:t xml:space="preserve"> </w:t>
      </w:r>
      <w:r>
        <w:t xml:space="preserve">In temperate deciduous forests, spring leaf-out has been occurring earlier</w:t>
      </w:r>
      <w:r>
        <w:rPr>
          <w:vertAlign w:val="superscript"/>
        </w:rPr>
        <w:t xml:space="preserve">6</w:t>
      </w:r>
      <w:r>
        <w:t xml:space="preserve">, as has the beginning of the annual period of net CO</w:t>
      </w:r>
      <w:r>
        <w:rPr>
          <w:vertAlign w:val="subscript"/>
        </w:rPr>
        <w:t xml:space="preserve">2</w:t>
      </w:r>
      <w:r>
        <w:t xml:space="preserve"> </w:t>
      </w:r>
      <w:r>
        <w:t xml:space="preserve">sequestration.</w:t>
      </w:r>
      <w:r>
        <w:rPr>
          <w:b/>
          <w:vertAlign w:val="superscript"/>
        </w:rPr>
        <w:t xml:space="preserve">???</w:t>
      </w:r>
      <w:r>
        <w:rPr>
          <w:vertAlign w:val="superscript"/>
        </w:rPr>
        <w:t xml:space="preserve">,2,21</w:t>
      </w:r>
      <w:r>
        <w:t xml:space="preserve"> </w:t>
      </w:r>
      <w:r>
        <w:t xml:space="preserve">Warmer spring temperatures and earlier leaf-out are also linked to earlier leaf senescence</w:t>
      </w:r>
      <w:r>
        <w:rPr>
          <w:b/>
          <w:vertAlign w:val="superscript"/>
        </w:rPr>
        <w:t xml:space="preserve">???</w:t>
      </w:r>
      <w:r>
        <w:rPr>
          <w:vertAlign w:val="superscript"/>
        </w:rPr>
        <w:t xml:space="preserve">,17,22</w:t>
      </w:r>
      <w:r>
        <w:t xml:space="preserve">, apparently because of sink-limitation to CO</w:t>
      </w:r>
      <w:r>
        <w:rPr>
          <w:vertAlign w:val="subscript"/>
        </w:rPr>
        <w:t xml:space="preserve">2</w:t>
      </w:r>
      <w:r>
        <w:t xml:space="preserve"> </w:t>
      </w:r>
      <w:r>
        <w:t xml:space="preserve">sequestration</w:t>
      </w:r>
      <w:r>
        <w:rPr>
          <w:b/>
          <w:vertAlign w:val="superscript"/>
        </w:rPr>
        <w:t xml:space="preserve">???</w:t>
      </w:r>
      <w:r>
        <w:rPr>
          <w:vertAlign w:val="superscript"/>
        </w:rPr>
        <w:t xml:space="preserve">,18</w:t>
      </w:r>
      <w:r>
        <w:t xml:space="preserve">.</w:t>
      </w:r>
      <w:r>
        <w:t xml:space="preserve"> </w:t>
      </w:r>
      <w:r>
        <w:t xml:space="preserve">Additionally, Warmer summer and autumn temperatures coupled with drought led to a delay of leaf senescence</w:t>
      </w:r>
      <w:r>
        <w:rPr>
          <w:b/>
          <w:vertAlign w:val="superscript"/>
        </w:rPr>
        <w:t xml:space="preserve">???</w:t>
      </w:r>
      <w:r>
        <w:rPr>
          <w:vertAlign w:val="superscript"/>
        </w:rPr>
        <w:t xml:space="preserve">,1,6,8,9,17,23</w:t>
      </w:r>
      <w:r>
        <w:t xml:space="preserve"> </w:t>
      </w:r>
      <w:r>
        <w:t xml:space="preserve">while heavy rainfall and heat stress led to earlier senescence</w:t>
      </w:r>
      <w:r>
        <w:rPr>
          <w:b/>
          <w:vertAlign w:val="superscript"/>
        </w:rPr>
        <w:t xml:space="preserve">???</w:t>
      </w:r>
      <w:r>
        <w:t xml:space="preserve">. 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 (Are flux sources used above ok to put here?).</w:t>
      </w:r>
      <w:r>
        <w:rPr>
          <w:b/>
          <w:vertAlign w:val="superscript"/>
        </w:rPr>
        <w:t xml:space="preserve">???</w:t>
      </w:r>
      <w:r>
        <w:rPr>
          <w:vertAlign w:val="superscript"/>
        </w:rPr>
        <w:t xml:space="preserve">,2,21</w:t>
      </w:r>
      <w:r>
        <w:t xml:space="preserve"> </w:t>
      </w:r>
      <w:r>
        <w:t xml:space="preserve">The expectation, is that as growing season length increases, net annual carbon sequestered will increase as well (</w:t>
      </w:r>
      <w:r>
        <w:rPr>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2">
        <w:r>
          <w:rPr>
            <w:rStyle w:val="Hyperlink"/>
          </w:rPr>
          <w:t xml:space="preserve">this expectation is represented in models</w:t>
        </w:r>
      </w:hyperlink>
      <w:r>
        <w:t xml:space="preserve">.</w:t>
      </w:r>
      <w:r>
        <w:rPr>
          <w:vertAlign w:val="superscript"/>
        </w:rPr>
        <w:t xml:space="preserve">3,18</w:t>
      </w:r>
    </w:p>
    <w:p>
      <w:pPr>
        <w:pStyle w:val="BodyText"/>
      </w:pP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and stem growth cessation is induced when water deficits reach a certain point</w:t>
      </w:r>
      <w:r>
        <w:rPr>
          <w:b/>
          <w:vertAlign w:val="superscript"/>
        </w:rPr>
        <w:t xml:space="preserve">???</w:t>
      </w:r>
      <w:r>
        <w:t xml:space="preserve"> </w:t>
      </w:r>
      <w:r>
        <w:t xml:space="preserve">or sink factors become limiting</w:t>
      </w:r>
      <w:r>
        <w:rPr>
          <w:b/>
          <w:vertAlign w:val="superscript"/>
        </w:rPr>
        <w:t xml:space="preserve">???</w:t>
      </w:r>
      <w:r>
        <w:rPr>
          <w:vertAlign w:val="superscript"/>
        </w:rPr>
        <w:t xml:space="preserve">,18</w:t>
      </w:r>
      <w:r>
        <w:t xml:space="preserve"> </w:t>
      </w:r>
      <w:r>
        <w:t xml:space="preserve">suggests that warmer spring temperatures and earlier leaf-out may not have a positive effect on C sequestration in trees.</w:t>
      </w:r>
    </w:p>
    <w:p>
      <w:pPr>
        <w:pStyle w:val="BodyText"/>
      </w:pPr>
      <w:r>
        <w:t xml:space="preserve">Temperate deciduous forests, including those in eastern North America, have historically been net carbon sinks.</w:t>
      </w:r>
    </w:p>
    <w:p>
      <w:pPr>
        <w:pStyle w:val="BodyText"/>
      </w:pPr>
      <w:r>
        <w:t xml:space="preserve">Resources or temperature effects on the sink (the tree) can limit growth before the source (CO2) is limiting. The implication is that the benefits of CO2 fertilization will eventually reach a maximum as other resources necessary for plant growthare depleted. Currently, our understanding of when and where these limits will be reached is incomplete, so forest models tend to assume the increase in photosynthesis as atmospheric CO2 levels increase is unlimited.(Maybe not true, i’m not 100% familiar with the modeling still.)</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Understanding how trees are responding to warming temperatures and rising CO2 levels, and how growth may become limited because of interactions between the two is essential to improve our predictions. Under controlled conditions, spring warming increases biomass accumulation in trees, with a larger proportion of root growth compared to shoot growth</w:t>
      </w:r>
      <w:r>
        <w:rPr>
          <w:b/>
          <w:vertAlign w:val="superscript"/>
        </w:rPr>
        <w:t xml:space="preserve">???</w:t>
      </w:r>
      <w:r>
        <w:t xml:space="preserve">. To our knowledge, the link between stem phenology and growth has never been studied in-situ.</w:t>
      </w:r>
    </w:p>
    <w:p>
      <w:pPr>
        <w:pStyle w:val="BodyText"/>
      </w:pPr>
      <w:r>
        <w:t xml:space="preserve">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w:t>
      </w:r>
      <w:r>
        <w:rPr>
          <w:b/>
          <w:vertAlign w:val="superscript"/>
        </w:rPr>
        <w:t xml:space="preserve">???</w:t>
      </w:r>
      <w:r>
        <w:rPr>
          <w:vertAlign w:val="superscript"/>
        </w:rPr>
        <w:t xml:space="preserve">,</w:t>
      </w:r>
      <w:r>
        <w:rPr>
          <w:b/>
          <w:vertAlign w:val="superscript"/>
        </w:rPr>
        <w:t xml:space="preserve">??</w:t>
      </w:r>
      <w:r>
        <w:t xml:space="preserve"> </w:t>
      </w:r>
      <w:r>
        <w:rPr>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t xml:space="preserve">27</w:t>
      </w:r>
      <w:r>
        <w:t xml:space="preserve">;@] [MORE]).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First, using dendrometer band measurements taken throughout the growing season at the Smithsonian Conservation Biology Institute (SCBI; Virginia; n =</w:t>
      </w:r>
      <w:r>
        <w:t xml:space="preserve"> </w:t>
      </w:r>
      <w:r>
        <w:rPr>
          <w:b/>
        </w:rPr>
        <w:t xml:space="preserve">146</w:t>
      </w:r>
      <w:r>
        <w:t xml:space="preserve"> </w:t>
      </w:r>
      <w:r>
        <w:t xml:space="preserve">trees from 2011-2020) and Harvard Forest (Massachusetts; n =</w:t>
      </w:r>
      <w:r>
        <w:t xml:space="preserve"> </w:t>
      </w:r>
      <w:r>
        <w:rPr>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
          <w:vertAlign w:val="superscript"/>
        </w:rPr>
        <w:t xml:space="preserve">???</w:t>
      </w:r>
      <w:r>
        <w:t xml:space="preserve">, and set in the context of leaf phenology at these sites.</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
          <w:vertAlign w:val="superscript"/>
        </w:rPr>
        <w:t xml:space="preserve">???</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needs attention!!!"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#needs attention!!!</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19</w:t>
      </w:r>
      <w:r>
        <w:t xml:space="preserve">, at our focal sites the DOY of leaf greenup (measured at ecosystem level via remote sensing)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t>∘</m:t>
            </m:r>
          </m:sup>
        </m:sSup>
      </m:oMath>
      <w:r>
        <w:t xml:space="preserve">C at SCBI and 2.4 days/</w:t>
      </w:r>
      <w:r>
        <w:t xml:space="preserve"> </w:t>
      </w:r>
      <m:oMath>
        <m:sSup>
          <m:e>
            <m:r>
              <m:t>​</m:t>
            </m:r>
          </m:e>
          <m:sup>
            <m:r>
              <m:t>∘</m:t>
            </m:r>
          </m:sup>
        </m:sSup>
      </m:oMath>
      <w:r>
        <w:t xml:space="preserve">C at Harvard Forest when comparing the years with the warmest and coldest mean</w:t>
      </w:r>
      <w:r>
        <w:t xml:space="preserve"> </w:t>
      </w:r>
      <m:oMath>
        <m:sSub>
          <m:e>
            <m:r>
              <m:t>T</m:t>
            </m:r>
          </m:e>
          <m:sub>
            <m:r>
              <m:t>m</m:t>
            </m:r>
            <m:r>
              <m:t>a</m:t>
            </m:r>
            <m:r>
              <m:t>x</m:t>
            </m:r>
          </m:sub>
        </m:sSub>
      </m:oMath>
      <w:r>
        <w:t xml:space="preserve"> </w:t>
      </w:r>
      <w:r>
        <w:t xml:space="preserve">during the critical temperature window,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see also Extended Data Figures Extended Data Figure 4-Extended Data Figure 6).</w:t>
      </w:r>
      <w:r>
        <w:t xml:space="preserve"> </w:t>
      </w:r>
      <w:r>
        <w:t xml:space="preserve">Specifically, at SCBI, RP growth advanced 1.9, 1.5, and 1.1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953295"/>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 See</w:t>
      </w:r>
      <w:r>
        <w:t xml:space="preserve"> </w:t>
      </w:r>
      <w:hyperlink r:id="rId28">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w:t>
      </w:r>
      <w:r>
        <w:t xml:space="preserve"> </w:t>
      </w:r>
      <w:r>
        <w:rPr>
          <w:rStyle w:val="VerbatimChar"/>
        </w:rPr>
        <w:t xml:space="preserve">r_n_chronologies</w:t>
      </w:r>
      <w:r>
        <w:t xml:space="preserve"> </w:t>
      </w:r>
      <w:r>
        <w:t xml:space="preserve">species at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p>
      <w:pPr>
        <w:pStyle w:val="Heading2"/>
      </w:pPr>
      <w:bookmarkStart w:id="29" w:name="Discussion"/>
      <w:r>
        <w:t xml:space="preserve">Discussion</w:t>
      </w:r>
      <w:bookmarkEnd w:id="29"/>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t xml:space="preserve">3</w:t>
      </w:r>
      <w:r>
        <w:t xml:space="preserve">; ] or inducing the cessation of stem growth when a critical water deficit is reached</w:t>
      </w:r>
      <w:r>
        <w:rPr>
          <w:b/>
          <w:vertAlign w:val="superscript"/>
        </w:rPr>
        <w:t xml:space="preserve">???</w:t>
      </w:r>
      <w:r>
        <w:t xml:space="preserve">.</w:t>
      </w:r>
    </w:p>
    <w:p>
      <w:pPr>
        <w:pStyle w:val="BodyText"/>
      </w:pPr>
      <w:r>
        <w:t xml:space="preserve">Spring warming at SCBI and Harvard Forest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limited by some mechanism.</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
        </w:rPr>
        <w:t xml:space="preserve">It is possible that an earlier start to the growing season may provide some buffer against drought later in the growing season</w:t>
      </w:r>
      <w:r>
        <w:rPr>
          <w:vertAlign w:val="superscript"/>
          <w:i/>
        </w:rPr>
        <w:t xml:space="preserve">31</w:t>
      </w:r>
      <w:r>
        <w:rPr>
          <w:i/>
        </w:rPr>
        <w:t xml:space="preserve">, potentially contributing to observed trends of declining drought sensitivity in the region</w:t>
      </w:r>
      <w:r>
        <w:rPr>
          <w:vertAlign w:val="superscript"/>
          <w:i/>
        </w:rPr>
        <w:t xml:space="preserve">16,27,32</w:t>
      </w:r>
      <w:r>
        <w:rPr>
          <w:i/>
        </w:rPr>
        <w:t xml:space="preserve">. (Is this relevent?)</w:t>
      </w:r>
      <w:r>
        <w:t xml:space="preserve">(Neil suggested that the zhang paper would be good here but i’m not sure I see how…)</w:t>
      </w:r>
      <w:r>
        <w:t xml:space="preserve"> </w:t>
      </w:r>
      <w:r>
        <w:rPr>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In fact,</w:t>
      </w:r>
      <w:r>
        <w:t xml:space="preserve"> </w:t>
      </w:r>
      <w:hyperlink r:id="rId30">
        <w:r>
          <w:rPr>
            <w:rStyle w:val="Hyperlink"/>
          </w:rPr>
          <w:t xml:space="preserve">extension of our tree-ring analysis</w:t>
        </w:r>
      </w:hyperlink>
      <w:r>
        <w:t xml:space="preserve"> </w:t>
      </w:r>
      <w:r>
        <w:t xml:space="preserve">showed a generally positive, although often non-significant, correlation between ring-width and previous year growing season</w:t>
      </w:r>
      <w:r>
        <w:t xml:space="preserve"> </w:t>
      </w:r>
      <m:oMath>
        <m:sSub>
          <m:e>
            <m:r>
              <m:t>T</m:t>
            </m:r>
          </m:e>
          <m:sub>
            <m:r>
              <m:t>m</m:t>
            </m:r>
            <m:r>
              <m:t>a</m:t>
            </m:r>
            <m:r>
              <m:t>x</m:t>
            </m:r>
          </m:sub>
        </m:sSub>
      </m:oMath>
      <w:r>
        <w:t xml:space="preserve"> </w:t>
      </w:r>
      <w:r>
        <w:t xml:space="preserve">in RP trees, indicating this may be a possibility.</w:t>
      </w:r>
      <w:r>
        <w:t xml:space="preserve"> </w:t>
      </w:r>
      <w:r>
        <w:rPr>
          <w:i/>
        </w:rPr>
        <w:t xml:space="preserve">very little correlation between April</w:t>
      </w:r>
      <w:r>
        <w:rPr>
          <w:i/>
        </w:rPr>
        <w:t xml:space="preserve"> </w:t>
      </w:r>
      <m:oMath>
        <m:sSub>
          <m:e>
            <m:r>
              <m:t>T</m:t>
            </m:r>
          </m:e>
          <m:sub>
            <m:r>
              <m:t>m</m:t>
            </m:r>
            <m:r>
              <m:t>a</m:t>
            </m:r>
            <m:r>
              <m:t>x</m:t>
            </m:r>
          </m:sub>
        </m:sSub>
      </m:oMath>
      <w:r>
        <w:rPr>
          <w:i/>
        </w:rPr>
        <w:t xml:space="preserve"> </w:t>
      </w:r>
      <w:r>
        <w:rPr>
          <w:i/>
        </w:rPr>
        <w:t xml:space="preserve">and growth the following year (5 of 142 RP and 3 of 66 DP species-site combinations), refuting the latter possibility</w:t>
      </w:r>
      <w:r>
        <w:t xml:space="preserve">.</w:t>
      </w:r>
      <w:r>
        <w:t xml:space="preserve"> </w:t>
      </w:r>
      <w:r>
        <w:t xml:space="preserve">We also cannot rule out the possibility that warm springs promote formation of more carbon-dense cell walls in the current of following year (</w:t>
      </w:r>
      <w:r>
        <w:rPr>
          <w:b/>
        </w:rPr>
        <w:t xml:space="preserve">coauthors, do any of you know literature related to this?</w:t>
      </w:r>
      <w:r>
        <w:t xml:space="preserve">); however, our results suggest that little of the extra C that may be fixed in these years goes into wood formation.</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is photosynthesis</w:t>
      </w:r>
      <w:r>
        <w:rPr>
          <w:b/>
          <w:vertAlign w:val="superscript"/>
        </w:rPr>
        <w:t xml:space="preserve">???</w:t>
      </w:r>
      <w:r>
        <w:t xml:space="preserve">.</w:t>
      </w:r>
      <w:r>
        <w:t xml:space="preserve"> </w:t>
      </w:r>
      <w:hyperlink r:id="rId31">
        <w:r>
          <w:rPr>
            <w:rStyle w:val="Hyperlink"/>
          </w:rPr>
          <w:t xml:space="preserve">This seems to promote the investment of sequestered carbon into root growth in times of drought stress. Zoehner et al 2021</w:t>
        </w:r>
        <w:r>
          <w:rPr>
            <w:b/>
            <w:vertAlign w:val="superscript"/>
            <w:rStyle w:val="Hyperlink"/>
          </w:rPr>
          <w:t xml:space="preserve">???</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strike/>
            <w:rStyle w:val="Hyperlink"/>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
        </w:rPr>
        <w:t xml:space="preserve">fairly long</w:t>
      </w:r>
      <w:r>
        <w:t xml:space="preserve"> </w:t>
      </w:r>
      <w:r>
        <w:t xml:space="preserve">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
        </w:rPr>
        <w:t xml:space="preserve">to some extent</w:t>
      </w:r>
      <w:r>
        <w:t xml:space="preserve"> </w:t>
      </w:r>
      <w:r>
        <w:t xml:space="preserve">to warming temperatures</w:t>
      </w:r>
      <w:r>
        <w:rPr>
          <w:b/>
          <w:vertAlign w:val="superscript"/>
        </w:rPr>
        <w:t xml:space="preserve">???</w:t>
      </w:r>
      <w:r>
        <w:rPr>
          <w:vertAlign w:val="superscript"/>
        </w:rPr>
        <w:t xml:space="preserve">,16</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peak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16,27,29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
        </w:rPr>
        <w:t xml:space="preserve">see</w:t>
      </w:r>
      <w:r>
        <w:rPr>
          <w:i/>
        </w:rPr>
        <w:t xml:space="preserve"> </w:t>
      </w:r>
      <w:hyperlink r:id="rId22">
        <w:r>
          <w:rPr>
            <w:rStyle w:val="Hyperlink"/>
            <w:i/>
          </w:rPr>
          <w:t xml:space="preserve">GitHub issue 56 on representation in models</w:t>
        </w:r>
      </w:hyperlink>
      <w:r>
        <w:t xml:space="preserve">)</w:t>
      </w:r>
    </w:p>
    <w:p>
      <w:pPr>
        <w:pStyle w:val="Heading1"/>
      </w:pPr>
      <w:bookmarkStart w:id="32" w:name="Methods"/>
      <w:r>
        <w:t xml:space="preserve">Methods</w:t>
      </w:r>
      <w:bookmarkEnd w:id="32"/>
    </w:p>
    <w:p>
      <w:pPr>
        <w:pStyle w:val="FirstParagraph"/>
      </w:pPr>
      <w:r>
        <w:rPr>
          <w:i/>
        </w:rPr>
        <w:t xml:space="preserve">We have not yet re-written the methods for Nature. Nature guidelines: Full methods, typically not exceeding 3000 words. May be subdivided by bold headings.</w:t>
      </w:r>
    </w:p>
    <w:p>
      <w:pPr>
        <w:pStyle w:val="Heading2"/>
      </w:pPr>
      <w:bookmarkStart w:id="33" w:name="Study"/>
      <w:r>
        <w:t xml:space="preserve">Study sites</w:t>
      </w:r>
      <w:bookmarkEnd w:id="33"/>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p>
      <w:pPr>
        <w:pStyle w:val="Heading2"/>
      </w:pPr>
      <w:bookmarkStart w:id="34" w:name="Data"/>
      <w:r>
        <w:t xml:space="preserve">Data collection and preparation</w:t>
      </w:r>
      <w:bookmarkEnd w:id="34"/>
    </w:p>
    <w:p>
      <w:pPr>
        <w:pStyle w:val="Heading3"/>
      </w:pPr>
      <w:bookmarkStart w:id="35" w:name="Dendrometer"/>
      <w:r>
        <w:t xml:space="preserve">Dendrometer bands</w:t>
      </w:r>
      <w:bookmarkEnd w:id="35"/>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
        </w:rPr>
        <w:t xml:space="preserve">~135</w:t>
      </w:r>
      <w:r>
        <w:t xml:space="preserve"> </w:t>
      </w:r>
      <w:r>
        <w:t xml:space="preserve">(range: 99-145)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t xml:space="preserve"> </w:t>
      </w:r>
      <w: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t xml:space="preserve"> </w:t>
      </w:r>
      <w:r>
        <w:t xml:space="preserve">28</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
        </w:rPr>
        <w:t xml:space="preserve">(data_cleaning_figure_scbi)</w:t>
      </w:r>
      <w:r>
        <w:t xml:space="preserve">.</w:t>
      </w:r>
    </w:p>
    <w:p>
      <w:pPr>
        <w:pStyle w:val="Heading3"/>
      </w:pPr>
      <w:bookmarkStart w:id="36" w:name="leaf-phenology"/>
      <w:r>
        <w:t xml:space="preserve">1.0.1	Leaf phenology</w:t>
      </w:r>
      <w:bookmarkEnd w:id="36"/>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7">
        <w:r>
          <w:rPr>
            <w:rStyle w:val="Hyperlink"/>
          </w:rPr>
          <w:t xml:space="preserve">https://developers.google.com/earth-engine/datasets/catalog/MODIS_006_MCD12Q2#description</w:t>
        </w:r>
      </w:hyperlink>
    </w:p>
    <w:p>
      <w:pPr>
        <w:pStyle w:val="Heading3"/>
      </w:pPr>
      <w:bookmarkStart w:id="38" w:name="Tree"/>
      <w:r>
        <w:t xml:space="preserve">Tree rings</w:t>
      </w:r>
      <w:bookmarkEnd w:id="38"/>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27</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38</w:t>
      </w:r>
      <w:r>
        <w:t xml:space="preserve"> </w:t>
      </w:r>
      <w:r>
        <w:t xml:space="preserve">and trees found newly dead in annual tree mortality in 2016 and 2017</w:t>
      </w:r>
      <w:r>
        <w:rPr>
          <w:vertAlign w:val="superscript"/>
        </w:rPr>
        <w:t xml:space="preserve">27</w:t>
      </w:r>
      <w:r>
        <w:rPr>
          <w:i/>
        </w:rPr>
        <w:t xml:space="preserve">(If we’re citing a method from the helcoski paper, do we need to do this</w:t>
      </w:r>
      <w:r>
        <w:rPr>
          <w:i/>
        </w:rPr>
        <w:t xml:space="preserve"> </w:t>
      </w:r>
      <w:r>
        <w:rPr>
          <w:i/>
        </w:rPr>
        <w:t xml:space="preserve">‘</w:t>
      </w:r>
      <w:r>
        <w:rPr>
          <w:i/>
        </w:rPr>
        <w:t xml:space="preserve">briefly</w:t>
      </w:r>
      <w:r>
        <w:rPr>
          <w:i/>
        </w:rPr>
        <w:t xml:space="preserve">’</w:t>
      </w:r>
      <w:r>
        <w:rPr>
          <w:i/>
        </w:rPr>
        <w:t xml:space="preserve"> </w:t>
      </w:r>
      <w:r>
        <w:rPr>
          <w:i/>
        </w:rPr>
        <w:t xml:space="preserve">section? I would remove.)</w:t>
      </w:r>
      <w:r>
        <w:t xml:space="preserve">.</w:t>
      </w:r>
      <w:r>
        <w:t xml:space="preserve"> </w:t>
      </w:r>
      <w:r>
        <w:t xml:space="preserve">At Harvard Forest, …(</w:t>
      </w:r>
      <w:r>
        <w:rPr>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b/>
          <w:vertAlign w:val="superscript"/>
        </w:rPr>
        <w:t xml:space="preserve">???</w:t>
      </w:r>
      <w:r>
        <w:rPr>
          <w:vertAlign w:val="superscript"/>
        </w:rPr>
        <w:t xml:space="preserve">,29</w:t>
      </w:r>
      <w:r>
        <w:t xml:space="preserve"> </w:t>
      </w:r>
      <w:r>
        <w:t xml:space="preserve">(</w:t>
      </w:r>
      <w:r>
        <w:rPr>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
        </w:rPr>
        <w:t xml:space="preserve">(The following italic text is self-plagarized from Helcoski and needs to be reworded:)</w:t>
      </w:r>
      <w:r>
        <w:t xml:space="preserve"> </w:t>
      </w:r>
      <w:r>
        <w:rPr>
          <w:i/>
        </w:rPr>
        <w:t xml:space="preserve">The influence of outliers in all series was reduced using the adaptive power transformation, which also stabilises the variance over time.</w:t>
      </w:r>
      <w:r>
        <w:rPr>
          <w:vertAlign w:val="superscript"/>
          <w:i/>
        </w:rPr>
        <w:t xml:space="preserve">41</w:t>
      </w:r>
      <w:r>
        <w:rPr>
          <w:i/>
        </w:rPr>
        <w:t xml:space="preserve"> </w:t>
      </w:r>
      <w:r>
        <w:rPr>
          <w:i/>
        </w:rPr>
        <w:t xml:space="preserve">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
        </w:rPr>
        <w:t xml:space="preserve">42</w:t>
      </w:r>
      <w:r>
        <w:rPr>
          <w:i/>
        </w:rPr>
        <w:t xml:space="preserve"> </w:t>
      </w:r>
      <w:r>
        <w:rPr>
          <w:i/>
        </w:rPr>
        <w:t xml:space="preserve">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
        </w:rPr>
        <w:t xml:space="preserve">39</w:t>
      </w:r>
      <w:r>
        <w:rPr>
          <w:i/>
        </w:rPr>
        <w:t xml:space="preserve"> </w:t>
      </w:r>
      <w:r>
        <w:rPr>
          <w:i/>
        </w:rPr>
        <w:t xml:space="preserve">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
        </w:rPr>
        <w:t xml:space="preserve">39</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Heading3"/>
      </w:pPr>
      <w:bookmarkStart w:id="39" w:name="Climate"/>
      <w:r>
        <w:t xml:space="preserve">Climate</w:t>
      </w:r>
      <w:bookmarkEnd w:id="39"/>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0">
        <w:r>
          <w:rPr>
            <w:rStyle w:val="Hyperlink"/>
          </w:rPr>
          <w:t xml:space="preserve">https://www.ncdc.noaa.gov/cdo-web/datasets/GHCND/stations/GHCND:USC00443229/detail</w:t>
        </w:r>
      </w:hyperlink>
      <w:r>
        <w:t xml:space="preserve">).</w:t>
      </w:r>
      <w:r>
        <w:t xml:space="preserve"> </w:t>
      </w:r>
      <w:r>
        <w:t xml:space="preserve">(</w:t>
      </w:r>
      <w:r>
        <w:rPr>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w:t>
      </w:r>
      <w:r>
        <w:t xml:space="preserve">again via the ForestGEO Climate Data Portal v1.0.</w:t>
      </w:r>
      <w:r>
        <w:rPr>
          <w:vertAlign w:val="superscript"/>
        </w:rPr>
        <w:t xml:space="preserve">43</w:t>
      </w:r>
    </w:p>
    <w:p>
      <w:pPr>
        <w:pStyle w:val="Heading2"/>
      </w:pPr>
      <w:bookmarkStart w:id="41" w:name="analyses"/>
      <w:r>
        <w:t xml:space="preserve">1.1	Analyses</w:t>
      </w:r>
      <w:bookmarkEnd w:id="41"/>
    </w:p>
    <w:p>
      <w:pPr>
        <w:pStyle w:val="Heading3"/>
      </w:pPr>
      <w:bookmarkStart w:id="42" w:name="Determining"/>
      <w:r>
        <w:t xml:space="preserve">Determining critical temperature windows</w:t>
      </w:r>
      <w:bookmarkEnd w:id="42"/>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w:t>
      </w:r>
      <w:r>
        <w:t xml:space="preserve">Determining the climate variables that most strongly control all parameters is beyond the scope of this analysis.</w:t>
      </w:r>
    </w:p>
    <w:p>
      <w:pPr>
        <w:pStyle w:val="Heading3"/>
      </w:pPr>
      <w:bookmarkStart w:id="43" w:name="Hypothesis"/>
      <w:r>
        <w:t xml:space="preserve">Hypothesis testing</w:t>
      </w:r>
      <w:bookmarkEnd w:id="43"/>
    </w:p>
    <w:p>
      <w:pPr>
        <w:pStyle w:val="FirstParagraph"/>
      </w:pPr>
      <w:r>
        <w:t xml:space="preserve">(</w:t>
      </w:r>
      <w:r>
        <w:rPr>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p>
      <w:pPr>
        <w:pStyle w:val="Heading1"/>
      </w:pPr>
      <w:bookmarkStart w:id="44" w:name="Acknowledgements"/>
      <w:r>
        <w:t xml:space="preserve">Acknowledgements</w:t>
      </w:r>
      <w:bookmarkEnd w:id="44"/>
    </w:p>
    <w:p>
      <w:pPr>
        <w:pStyle w:val="FirstParagraph"/>
      </w:pPr>
      <w:r>
        <w:t xml:space="preserve">people: (everyone who helped collect data– see list on GitHub), Jess Shue (data)</w:t>
      </w:r>
      <w:r>
        <w:t xml:space="preserve"> </w:t>
      </w:r>
      <w:r>
        <w:t xml:space="preserve">Funding: ForestGEO</w:t>
      </w:r>
    </w:p>
    <w:p>
      <w:pPr>
        <w:pStyle w:val="Heading1"/>
      </w:pPr>
      <w:bookmarkStart w:id="45" w:name="Author"/>
      <w:r>
        <w:t xml:space="preserve">Author Contributions</w:t>
      </w:r>
      <w:bookmarkEnd w:id="45"/>
    </w:p>
    <w:p>
      <w:pPr>
        <w:pStyle w:val="Heading1"/>
      </w:pPr>
      <w:bookmarkStart w:id="46" w:name="Additional"/>
      <w:r>
        <w:t xml:space="preserve">Additional Information</w:t>
      </w:r>
      <w:bookmarkEnd w:id="46"/>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47" w:name="References"/>
      <w:r>
        <w:t xml:space="preserve">References</w:t>
      </w:r>
      <w:bookmarkEnd w:id="47"/>
    </w:p>
    <w:bookmarkStart w:id="99" w:name="refs"/>
    <w:bookmarkStart w:id="48"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48"/>
    <w:bookmarkStart w:id="49"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49"/>
    <w:bookmarkStart w:id="50"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50"/>
    <w:bookmarkStart w:id="51" w:name="ref-menzel_growing_1999"/>
    <w:p>
      <w:pPr>
        <w:pStyle w:val="Bibliography"/>
      </w:pPr>
      <w:r>
        <w:t xml:space="preserve">4. Menzel, A. &amp; Fabian, P. Growing season extended in Europe.</w:t>
      </w:r>
      <w:r>
        <w:t xml:space="preserve"> </w:t>
      </w:r>
      <w:r>
        <w:rPr>
          <w:i/>
        </w:rPr>
        <w:t xml:space="preserve">Nature</w:t>
      </w:r>
      <w:r>
        <w:t xml:space="preserve"> </w:t>
      </w:r>
      <w:r>
        <w:rPr>
          <w:b/>
        </w:rPr>
        <w:t xml:space="preserve">397</w:t>
      </w:r>
      <w:r>
        <w:t xml:space="preserve">, 659–659 (1999).</w:t>
      </w:r>
    </w:p>
    <w:bookmarkEnd w:id="51"/>
    <w:bookmarkStart w:id="52" w:name="ref-menzel_european_2006"/>
    <w:p>
      <w:pPr>
        <w:pStyle w:val="Bibliography"/>
      </w:pPr>
      <w:r>
        <w:t xml:space="preserve">5.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52"/>
    <w:bookmarkStart w:id="53" w:name="ref-ibanez_forecasting_2010"/>
    <w:p>
      <w:pPr>
        <w:pStyle w:val="Bibliography"/>
      </w:pPr>
      <w:r>
        <w:t xml:space="preserve">6.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53"/>
    <w:bookmarkStart w:id="54" w:name="ref-keeling_increased_1996"/>
    <w:p>
      <w:pPr>
        <w:pStyle w:val="Bibliography"/>
      </w:pPr>
      <w:r>
        <w:t xml:space="preserve">7.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54"/>
    <w:bookmarkStart w:id="55" w:name="ref-dragoni_evidence_2011"/>
    <w:p>
      <w:pPr>
        <w:pStyle w:val="Bibliography"/>
      </w:pPr>
      <w:r>
        <w:t xml:space="preserve">8.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5"/>
    <w:bookmarkStart w:id="56" w:name="ref-crabbe_extreme_2016"/>
    <w:p>
      <w:pPr>
        <w:pStyle w:val="Bibliography"/>
      </w:pPr>
      <w:r>
        <w:t xml:space="preserve">9.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6"/>
    <w:bookmarkStart w:id="57" w:name="ref-zhou_explaining_2016"/>
    <w:p>
      <w:pPr>
        <w:pStyle w:val="Bibliography"/>
      </w:pPr>
      <w:r>
        <w:t xml:space="preserve">10.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7"/>
    <w:bookmarkStart w:id="58" w:name="ref-fu_maximum_2019"/>
    <w:p>
      <w:pPr>
        <w:pStyle w:val="Bibliography"/>
      </w:pPr>
      <w:r>
        <w:t xml:space="preserve">11.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8"/>
    <w:bookmarkStart w:id="59" w:name="ref-xue_global_2017"/>
    <w:p>
      <w:pPr>
        <w:pStyle w:val="Bibliography"/>
      </w:pPr>
      <w:r>
        <w:t xml:space="preserve">12.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9"/>
    <w:bookmarkStart w:id="60" w:name="ref-russell_residence_2014"/>
    <w:p>
      <w:pPr>
        <w:pStyle w:val="Bibliography"/>
      </w:pPr>
      <w:r>
        <w:t xml:space="preserve">13.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60"/>
    <w:bookmarkStart w:id="61" w:name="ref-profft_forest_2009"/>
    <w:p>
      <w:pPr>
        <w:pStyle w:val="Bibliography"/>
      </w:pPr>
      <w:r>
        <w:t xml:space="preserve">14.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61"/>
    <w:bookmarkStart w:id="63" w:name="ref-anderson-teixeira_carbon_2021"/>
    <w:p>
      <w:pPr>
        <w:pStyle w:val="Bibliography"/>
      </w:pPr>
      <w:r>
        <w:t xml:space="preserve">15. Anderson-Teixeira, K. J.</w:t>
      </w:r>
      <w:r>
        <w:t xml:space="preserve"> </w:t>
      </w:r>
      <w:r>
        <w:rPr>
          <w:i/>
        </w:rPr>
        <w:t xml:space="preserve">et al.</w:t>
      </w:r>
      <w:r>
        <w:t xml:space="preserve"> </w:t>
      </w:r>
      <w:r>
        <w:t xml:space="preserve">Carbon cycling in mature and regrowth forests globally.</w:t>
      </w:r>
      <w:r>
        <w:t xml:space="preserve"> </w:t>
      </w:r>
      <w:r>
        <w:rPr>
          <w:i/>
        </w:rPr>
        <w:t xml:space="preserve">Environmental Research Letters</w:t>
      </w:r>
      <w:r>
        <w:t xml:space="preserve"> </w:t>
      </w:r>
      <w:r>
        <w:t xml:space="preserve">(2021) doi:</w:t>
      </w:r>
      <w:hyperlink r:id="rId62">
        <w:r>
          <w:rPr>
            <w:rStyle w:val="Hyperlink"/>
          </w:rPr>
          <w:t xml:space="preserve">10.1088/1748-9326/abed01</w:t>
        </w:r>
      </w:hyperlink>
      <w:r>
        <w:t xml:space="preserve">.</w:t>
      </w:r>
    </w:p>
    <w:bookmarkEnd w:id="63"/>
    <w:bookmarkStart w:id="64" w:name="ref-zhang_drought_2021"/>
    <w:p>
      <w:pPr>
        <w:pStyle w:val="Bibliography"/>
      </w:pPr>
      <w:r>
        <w:t xml:space="preserve">16.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4"/>
    <w:bookmarkStart w:id="65" w:name="ref-zohner_ongoing_2019"/>
    <w:p>
      <w:pPr>
        <w:pStyle w:val="Bibliography"/>
      </w:pPr>
      <w:r>
        <w:t xml:space="preserve">17.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65"/>
    <w:bookmarkStart w:id="66" w:name="ref-zani_increased_2020"/>
    <w:p>
      <w:pPr>
        <w:pStyle w:val="Bibliography"/>
      </w:pPr>
      <w:r>
        <w:t xml:space="preserve">18. Zani, D., Crowther, T. W., Mo, L., Renner, S. S. &amp; Zohner, C. M. Increased growing-season productivity drives earlier autumn leaf senescence in temperate trees. 7 (2020).</w:t>
      </w:r>
    </w:p>
    <w:bookmarkEnd w:id="66"/>
    <w:bookmarkStart w:id="67" w:name="ref-parmesan_globally_2003"/>
    <w:p>
      <w:pPr>
        <w:pStyle w:val="Bibliography"/>
      </w:pPr>
      <w:r>
        <w:t xml:space="preserve">19.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7"/>
    <w:bookmarkStart w:id="68" w:name="ref-friedl_tale_2014"/>
    <w:p>
      <w:pPr>
        <w:pStyle w:val="Bibliography"/>
      </w:pPr>
      <w:r>
        <w:t xml:space="preserve">20.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68"/>
    <w:bookmarkStart w:id="69" w:name="ref-piao_net_2008"/>
    <w:p>
      <w:pPr>
        <w:pStyle w:val="Bibliography"/>
      </w:pPr>
      <w:r>
        <w:t xml:space="preserve">21. Piao, S.</w:t>
      </w:r>
      <w:r>
        <w:t xml:space="preserve"> </w:t>
      </w:r>
      <w:r>
        <w:rPr>
          <w:i/>
        </w:rPr>
        <w:t xml:space="preserve">et al.</w:t>
      </w:r>
      <w:r>
        <w:t xml:space="preserve"> </w:t>
      </w:r>
      <w:r>
        <w:t xml:space="preserve">Net carbon dioxide losses of northern ecosystems in response to autumn warming.</w:t>
      </w:r>
      <w:r>
        <w:t xml:space="preserve"> </w:t>
      </w:r>
      <w:r>
        <w:rPr>
          <w:i/>
        </w:rPr>
        <w:t xml:space="preserve">Nature</w:t>
      </w:r>
      <w:r>
        <w:t xml:space="preserve"> </w:t>
      </w:r>
      <w:r>
        <w:rPr>
          <w:b/>
        </w:rPr>
        <w:t xml:space="preserve">451</w:t>
      </w:r>
      <w:r>
        <w:t xml:space="preserve">, 49–52 (2008).</w:t>
      </w:r>
    </w:p>
    <w:bookmarkEnd w:id="69"/>
    <w:bookmarkStart w:id="70" w:name="ref-keenan_timing_2015"/>
    <w:p>
      <w:pPr>
        <w:pStyle w:val="Bibliography"/>
      </w:pPr>
      <w:r>
        <w:t xml:space="preserve">22.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70"/>
    <w:bookmarkStart w:id="71" w:name="ref-vitasse_responses_2009"/>
    <w:p>
      <w:pPr>
        <w:pStyle w:val="Bibliography"/>
      </w:pPr>
      <w:r>
        <w:t xml:space="preserve">23. Vitasse, Y., Porté, A. J., Kremer, A., Michalet, R. &amp; Delzon, S. Responses of canopy duration to temperature changes in four temperate tree species: Relative contributions of spring and autumn leaf phenology.</w:t>
      </w:r>
      <w:r>
        <w:t xml:space="preserve"> </w:t>
      </w:r>
      <w:r>
        <w:rPr>
          <w:i/>
        </w:rPr>
        <w:t xml:space="preserve">Oecologia</w:t>
      </w:r>
      <w:r>
        <w:t xml:space="preserve"> </w:t>
      </w:r>
      <w:r>
        <w:rPr>
          <w:b/>
        </w:rPr>
        <w:t xml:space="preserve">161</w:t>
      </w:r>
      <w:r>
        <w:t xml:space="preserve">, 187–198 (2009).</w:t>
      </w:r>
    </w:p>
    <w:bookmarkEnd w:id="71"/>
    <w:bookmarkStart w:id="72" w:name="ref-churkina_spatial_2005"/>
    <w:p>
      <w:pPr>
        <w:pStyle w:val="Bibliography"/>
      </w:pPr>
      <w:r>
        <w:t xml:space="preserve">24.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72"/>
    <w:bookmarkStart w:id="73" w:name="ref-arora_carbon_2020"/>
    <w:p>
      <w:pPr>
        <w:pStyle w:val="Bibliography"/>
      </w:pPr>
      <w:r>
        <w:t xml:space="preserve">25.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73"/>
    <w:bookmarkStart w:id="74" w:name="ref-friedlingstein_global_2020"/>
    <w:p>
      <w:pPr>
        <w:pStyle w:val="Bibliography"/>
      </w:pPr>
      <w:r>
        <w:t xml:space="preserve">26.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74"/>
    <w:bookmarkStart w:id="75" w:name="ref-helcoski_growing_2019"/>
    <w:p>
      <w:pPr>
        <w:pStyle w:val="Bibliography"/>
      </w:pPr>
      <w:r>
        <w:t xml:space="preserve">27.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75"/>
    <w:bookmarkStart w:id="76" w:name="ref-mcmahon_general_2015"/>
    <w:p>
      <w:pPr>
        <w:pStyle w:val="Bibliography"/>
      </w:pPr>
      <w:r>
        <w:t xml:space="preserve">28.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76"/>
    <w:bookmarkStart w:id="77" w:name="ref-dorangeville_drought_2018"/>
    <w:p>
      <w:pPr>
        <w:pStyle w:val="Bibliography"/>
      </w:pPr>
      <w:r>
        <w:t xml:space="preserve">29.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77"/>
    <w:bookmarkStart w:id="78" w:name="ref-alexander_potential_2019"/>
    <w:p>
      <w:pPr>
        <w:pStyle w:val="Bibliography"/>
      </w:pPr>
      <w:r>
        <w:t xml:space="preserve">30.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78"/>
    <w:bookmarkStart w:id="79" w:name="ref-wolf_warm_2016"/>
    <w:p>
      <w:pPr>
        <w:pStyle w:val="Bibliography"/>
      </w:pPr>
      <w:r>
        <w:t xml:space="preserve">31. Wolf, S.</w:t>
      </w:r>
      <w:r>
        <w:t xml:space="preserve"> </w:t>
      </w:r>
      <w:r>
        <w:rPr>
          <w:i/>
        </w:rPr>
        <w:t xml:space="preserve">et al.</w:t>
      </w:r>
      <w:r>
        <w:t xml:space="preserve"> </w:t>
      </w:r>
      <w:r>
        <w:t xml:space="preserve">Warm spring reduced carbon cycle impact of the 2012 US summer drought.</w:t>
      </w:r>
      <w:r>
        <w:t xml:space="preserve"> </w:t>
      </w:r>
      <w:r>
        <w:rPr>
          <w:i/>
        </w:rPr>
        <w:t xml:space="preserve">Proceedings of the National Academy of Sciences</w:t>
      </w:r>
      <w:r>
        <w:t xml:space="preserve"> </w:t>
      </w:r>
      <w:r>
        <w:rPr>
          <w:b/>
        </w:rPr>
        <w:t xml:space="preserve">113</w:t>
      </w:r>
      <w:r>
        <w:t xml:space="preserve">, 5880–5885 (2016).</w:t>
      </w:r>
    </w:p>
    <w:bookmarkEnd w:id="79"/>
    <w:bookmarkStart w:id="80" w:name="ref-maxwell_declining_2016"/>
    <w:p>
      <w:pPr>
        <w:pStyle w:val="Bibliography"/>
      </w:pPr>
      <w:r>
        <w:t xml:space="preserve">32. Maxwell, J. T., Harley, G. L. &amp; Robeson, S. M. On the declining relationship between tree growth and climate in the Midwest United States: The fading drought signal.</w:t>
      </w:r>
      <w:r>
        <w:t xml:space="preserve"> </w:t>
      </w:r>
      <w:r>
        <w:rPr>
          <w:i/>
        </w:rPr>
        <w:t xml:space="preserve">Climatic Change</w:t>
      </w:r>
      <w:r>
        <w:t xml:space="preserve"> </w:t>
      </w:r>
      <w:r>
        <w:rPr>
          <w:b/>
        </w:rPr>
        <w:t xml:space="preserve">138</w:t>
      </w:r>
      <w:r>
        <w:t xml:space="preserve">, 127–142 (2016).</w:t>
      </w:r>
    </w:p>
    <w:bookmarkEnd w:id="80"/>
    <w:bookmarkStart w:id="81" w:name="ref-cuny_woody_2015"/>
    <w:p>
      <w:pPr>
        <w:pStyle w:val="Bibliography"/>
      </w:pPr>
      <w:r>
        <w:t xml:space="preserve">33.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81"/>
    <w:bookmarkStart w:id="82" w:name="ref-trumbore_quantifying_2002"/>
    <w:p>
      <w:pPr>
        <w:pStyle w:val="Bibliography"/>
      </w:pPr>
      <w:r>
        <w:t xml:space="preserve">34.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82"/>
    <w:bookmarkStart w:id="83" w:name="ref-richardson_seasonal_2013"/>
    <w:p>
      <w:pPr>
        <w:pStyle w:val="Bibliography"/>
      </w:pPr>
      <w:r>
        <w:t xml:space="preserve">35.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83"/>
    <w:bookmarkStart w:id="85" w:name="ref-banburymorgan_global_2021"/>
    <w:p>
      <w:pPr>
        <w:pStyle w:val="Bibliography"/>
      </w:pPr>
      <w:r>
        <w:t xml:space="preserve">36.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7" w:name="ref-friedl_mcd12q2_2019"/>
    <w:p>
      <w:pPr>
        <w:pStyle w:val="Bibliography"/>
      </w:pPr>
      <w:r>
        <w:t xml:space="preserve">37. Friedl, M., Gray, J. &amp; Sulla-Menashe, D. MCD12Q2 MODIS/Terra+Aqua Land Cover Dynamics Yearly L3 Global 500m SIN Grid V006.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38. Bourg, N. A., McShea, W. J., Thompson, J. R., McGarvey, J. C. &amp; Shen, X. Initial census, woody seedling, seed rain, and stand structure data for the SCBI SIGEO Large Forest Dynamics Plot:</w:t>
      </w:r>
      <w:r>
        <w:t xml:space="preserve"> </w:t>
      </w:r>
      <w:r>
        <w:rPr>
          <w:i/>
        </w:rPr>
        <w:t xml:space="preserve">Ecological 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8"/>
    <w:bookmarkStart w:id="89" w:name="ref-cook_time_1985"/>
    <w:p>
      <w:pPr>
        <w:pStyle w:val="Bibliography"/>
      </w:pPr>
      <w:r>
        <w:t xml:space="preserve">39. Cook, E. R. A Time Series Analysis Approach to Tree Ring Standardization. vol. PhD (University of Arizona, 1985).</w:t>
      </w:r>
    </w:p>
    <w:bookmarkEnd w:id="89"/>
    <w:bookmarkStart w:id="91" w:name="ref-cook_methods_1990"/>
    <w:p>
      <w:pPr>
        <w:pStyle w:val="Bibliography"/>
      </w:pPr>
      <w:r>
        <w:t xml:space="preserve">40.</w:t>
      </w:r>
      <w:r>
        <w:t xml:space="preserve"> </w:t>
      </w:r>
      <w:r>
        <w:rPr>
          <w:i/>
        </w:rPr>
        <w:t xml:space="preserve">Methods of Dendrochronology: Applications in the Environmental Sciences</w:t>
      </w:r>
      <w:r>
        <w:t xml:space="preserve">. (Springer Netherlands,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41.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92"/>
    <w:bookmarkStart w:id="93" w:name="ref-jones_estimating_1997"/>
    <w:p>
      <w:pPr>
        <w:pStyle w:val="Bibliography"/>
      </w:pPr>
      <w:r>
        <w:t xml:space="preserve">42.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93"/>
    <w:bookmarkStart w:id="95" w:name="ref-anderson-teixeira_forestgeo_2020"/>
    <w:p>
      <w:pPr>
        <w:pStyle w:val="Bibliography"/>
      </w:pPr>
      <w:r>
        <w:t xml:space="preserve">43. Anderson-Teixeira, K.</w:t>
      </w:r>
      <w:r>
        <w:t xml:space="preserve"> </w:t>
      </w:r>
      <w:r>
        <w:rPr>
          <w:i/>
        </w:rPr>
        <w:t xml:space="preserve">et al.</w:t>
      </w:r>
      <w:r>
        <w:t xml:space="preserve"> </w:t>
      </w:r>
      <w:r>
        <w:t xml:space="preserve">Forestgeo/Climate: Initial 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44.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96"/>
    <w:bookmarkStart w:id="97" w:name="ref-vandepol_identifying_2016"/>
    <w:p>
      <w:pPr>
        <w:pStyle w:val="Bibliography"/>
      </w:pPr>
      <w:r>
        <w:t xml:space="preserve">45.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7"/>
    <w:bookmarkStart w:id="98" w:name="ref-bates_fitting_2015"/>
    <w:p>
      <w:pPr>
        <w:pStyle w:val="Bibliography"/>
      </w:pPr>
      <w:r>
        <w:t xml:space="preserve">46.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98"/>
    <w:bookmarkEnd w:id="99"/>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37"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2" Target="https://github.com/EcoClimLab/growth_phenology/issues/56" TargetMode="External" /><Relationship Type="http://schemas.openxmlformats.org/officeDocument/2006/relationships/hyperlink" Id="rId30" Target="https://github.com/EcoClimLab/growth_phenology/issues/57" TargetMode="External" /><Relationship Type="http://schemas.openxmlformats.org/officeDocument/2006/relationships/hyperlink" Id="rId31" Target="https://github.com/EcoClimLab/growth_phenology/issues/72" TargetMode="External" /><Relationship Type="http://schemas.openxmlformats.org/officeDocument/2006/relationships/hyperlink" Id="rId4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2" Target="https://github.com/EcoClimLab/growth_phenology/issues/56" TargetMode="External" /><Relationship Type="http://schemas.openxmlformats.org/officeDocument/2006/relationships/hyperlink" Id="rId30" Target="https://github.com/EcoClimLab/growth_phenology/issues/57" TargetMode="External" /><Relationship Type="http://schemas.openxmlformats.org/officeDocument/2006/relationships/hyperlink" Id="rId31" Target="https://github.com/EcoClimLab/growth_phenology/issues/72" TargetMode="External" /><Relationship Type="http://schemas.openxmlformats.org/officeDocument/2006/relationships/hyperlink" Id="rId4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2021-09-28T02:43:39Z</dcterms:created>
  <dcterms:modified xsi:type="dcterms:W3CDTF">2021-09-28T02:43:39Z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