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w:t>
      </w:r>
      <w:r>
        <w:rPr>
          <w:vertAlign w:val="superscript"/>
        </w:rPr>
        <w:t xml:space="preserve">1,2</w:t>
      </w:r>
      <w:r>
        <w:t xml:space="preserve"> </w:t>
      </w:r>
      <w:r>
        <w:t xml:space="preserve">( Orcid ID : 0000-0001-7824-306X)</w:t>
      </w:r>
    </w:p>
    <w:p>
      <w:pPr>
        <w:pStyle w:val="BodyText"/>
      </w:pPr>
      <w:r>
        <w:t xml:space="preserve">Loïc D’Orangeville</w:t>
      </w:r>
      <w:r>
        <w:rPr>
          <w:vertAlign w:val="superscript"/>
        </w:rPr>
        <w:t xml:space="preserve">3,4</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r>
        <w:t xml:space="preserve"> </w:t>
      </w:r>
      <w:r>
        <w:t xml:space="preserve">(Orcid ID: 0000-0001-9195-3146)</w:t>
      </w:r>
    </w:p>
    <w:p>
      <w:pPr>
        <w:pStyle w:val="BodyText"/>
      </w:pPr>
      <w:r>
        <w:t xml:space="preserve">Ian R. McGregor</w:t>
      </w:r>
      <w:r>
        <w:rPr>
          <w:vertAlign w:val="superscript"/>
        </w:rPr>
        <w:t xml:space="preserve">1,7</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 which sequesters carbon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463 trees across two forests, we show that warmer spring temperatures shifted the woody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is not allocated to long-lived woody biomass, where it could have a substantial and lasting impact on the forest carbon balance.</w:t>
      </w:r>
      <w:r>
        <w:rPr>
          <w:bCs/>
          <w:b/>
        </w:rPr>
        <w:t xml:space="preserve"> </w:t>
      </w:r>
      <w:r>
        <w:t xml:space="preserve"> </w:t>
      </w:r>
      <w:r>
        <w:rPr>
          <w:bCs/>
          <w:b/>
        </w:rPr>
        <w:t xml:space="preserve">Rather, contradicting current projections from global carbon cycle models</w:t>
      </w:r>
      <w:r>
        <w:rPr>
          <w:vertAlign w:val="superscript"/>
          <w:bCs/>
          <w:b/>
        </w:rPr>
        <w:t xml:space="preserve">2,3,17,18</w:t>
      </w:r>
      <w:r>
        <w:rPr>
          <w:bCs/>
          <w:b/>
        </w:rPr>
        <w:t xml:space="preserve">, our empirical results imply that warming spring temperatures are unlikely to increase the woody productivity or strengthen the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19,20</w:t>
      </w:r>
      <w:r>
        <w:t xml:space="preserve">.</w:t>
      </w:r>
      <w:r>
        <w:t xml:space="preserve"> </w:t>
      </w:r>
      <w:r>
        <w:t xml:space="preserve">A large portion of this CO</w:t>
      </w:r>
      <w:r>
        <w:rPr>
          <w:vertAlign w:val="subscript"/>
        </w:rPr>
        <w:t xml:space="preserve">2</w:t>
      </w:r>
      <w:r>
        <w:t xml:space="preserve"> </w:t>
      </w:r>
      <w:r>
        <w:t xml:space="preserve">sink occurs in temperate deciduous forests, which sequester &gt;300 Tg C yr</w:t>
      </w:r>
      <w:r>
        <w:rPr>
          <w:vertAlign w:val="superscript"/>
        </w:rPr>
        <w:t xml:space="preserve">-1</w:t>
      </w:r>
      <w:r>
        <w:t xml:space="preserve"> </w:t>
      </w:r>
      <w:r>
        <w:t xml:space="preserve">(&gt;30% of the total forest C sink)</w:t>
      </w:r>
      <w:r>
        <w:rPr>
          <w:vertAlign w:val="superscript"/>
        </w:rPr>
        <w:t xml:space="preserve">21</w:t>
      </w:r>
      <w:r>
        <w:t xml:space="preserve">.</w:t>
      </w:r>
      <w:r>
        <w:t xml:space="preserve"> </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20,22</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1,7–9</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Current models assume that longer growing seasons lead to increasing annual net carbon uptake (i.e., net ecosystem exchange,</w:t>
      </w:r>
      <w:r>
        <w:t xml:space="preserve"> </w:t>
      </w:r>
      <w:r>
        <w:rPr>
          <w:iCs/>
          <w:i/>
        </w:rPr>
        <w:t xml:space="preserve">NEE</w:t>
      </w:r>
      <w:r>
        <w:t xml:space="preserve">)</w:t>
      </w:r>
      <w:r>
        <w:rPr>
          <w:vertAlign w:val="superscript"/>
        </w:rPr>
        <w:t xml:space="preserve">2,3,17</w:t>
      </w:r>
      <w:r>
        <w:t xml:space="preserve">.</w:t>
      </w:r>
      <w:r>
        <w:t xml:space="preserve"> </w:t>
      </w:r>
      <w:r>
        <w:t xml:space="preserve">However, recent experimental and observational findings that annual productivity can be limited by sink factors</w:t>
      </w:r>
      <w:r>
        <w:rPr>
          <w:vertAlign w:val="superscript"/>
        </w:rPr>
        <w:t xml:space="preserve">17,23,24</w:t>
      </w:r>
      <w:r>
        <w:t xml:space="preserve">, and that positive effects of warm springs are compensated by negative effects of accumulation of seasonal water deficits</w:t>
      </w:r>
      <w:r>
        <w:rPr>
          <w:vertAlign w:val="superscript"/>
        </w:rPr>
        <w:t xml:space="preserve">3</w:t>
      </w:r>
      <w:r>
        <w:t xml:space="preserve">, suggest that warmer spring temperatures may not have the expected positive effect on forest CO</w:t>
      </w:r>
      <w:r>
        <w:rPr>
          <w:vertAlign w:val="subscript"/>
        </w:rPr>
        <w:t xml:space="preserve">2</w:t>
      </w:r>
      <w:r>
        <w:t xml:space="preserve"> </w:t>
      </w:r>
      <w:r>
        <w:t xml:space="preserve">sequestration.</w:t>
      </w:r>
    </w:p>
    <w:p>
      <w:pPr>
        <w:pStyle w:val="BodyText"/>
      </w:pPr>
      <w:r>
        <w:t xml:space="preserve">While the responses of leaf phenology and seasonal</w:t>
      </w:r>
      <w:r>
        <w:t xml:space="preserve"> </w:t>
      </w:r>
      <w:r>
        <w:rPr>
          <w:iCs/>
          <w:i/>
        </w:rPr>
        <w:t xml:space="preserve">NEE</w:t>
      </w:r>
      <w:r>
        <w:t xml:space="preserve"> </w:t>
      </w:r>
      <w:r>
        <w:t xml:space="preserve">to warming spring temperatures have been relatively well-studied</w:t>
      </w:r>
      <w:r>
        <w:rPr>
          <w:vertAlign w:val="superscript"/>
        </w:rPr>
        <w:t xml:space="preserve">1–4,7–9</w:t>
      </w:r>
      <w:r>
        <w:t xml:space="preserve">, very little is known about how the longest-lived component of fixed carbon in trees, the woody growth, is responding to warming spring temperatures.</w:t>
      </w:r>
      <w:r>
        <w:t xml:space="preserve"> </w:t>
      </w:r>
      <w:r>
        <w:t xml:space="preserve">In fact, we are aware of only one study that has documented stem-growth phenology of temperate deciduous species over multiple years</w:t>
      </w:r>
      <w:r>
        <w:rPr>
          <w:vertAlign w:val="superscript"/>
        </w:rPr>
        <w:t xml:space="preserve">25</w:t>
      </w:r>
      <w:r>
        <w:t xml:space="preserve">.</w:t>
      </w:r>
      <w:r>
        <w:t xml:space="preserve"> </w:t>
      </w:r>
      <w:r>
        <w:t xml:space="preserve"> </w:t>
      </w:r>
      <w:r>
        <w:t xml:space="preserve">The climate sensitivity of woody growth phenology in temperate deciduous trees and its link to annual growth has never been studied</w:t>
      </w:r>
      <w:r>
        <w:t xml:space="preserve"> </w:t>
      </w:r>
      <w:r>
        <w:rPr>
          <w:iCs/>
          <w:i/>
        </w:rPr>
        <w:t xml:space="preserve">in-situ</w:t>
      </w:r>
      <w:r>
        <w:t xml:space="preserve"> </w:t>
      </w:r>
      <w:r>
        <w:t xml:space="preserve">(but see Ref.</w:t>
      </w:r>
      <w:r>
        <w:rPr>
          <w:vertAlign w:val="superscript"/>
        </w:rPr>
        <w:t xml:space="preserve">24</w:t>
      </w:r>
      <w:r>
        <w:t xml:space="preserve"> </w:t>
      </w:r>
      <w:r>
        <w:t xml:space="preserve">for a controlled sapling experiment).</w:t>
      </w:r>
    </w:p>
    <w:p>
      <w:pPr>
        <w:pStyle w:val="BodyText"/>
      </w:pPr>
      <w:r>
        <w:t xml:space="preserve">Tree-ring records, which can be used to examine correlations of annual growth to temperature but not to understand growth phenology, reveal that growth of temperate deciduous trees tends to be most sensitive to temperature or potential evapotranspiration between late spring and early summer</w:t>
      </w:r>
      <w:r>
        <w:rPr>
          <w:vertAlign w:val="superscript"/>
        </w:rPr>
        <w:t xml:space="preserve">26,27</w:t>
      </w:r>
      <w:r>
        <w:t xml:space="preserve">,</w:t>
      </w:r>
      <w:r>
        <w:t xml:space="preserve"> </w:t>
      </w:r>
      <w:r>
        <w:t xml:space="preserve"> </w:t>
      </w:r>
      <w:r>
        <w:t xml:space="preserve">with some hints that warmer springs may have a modest positive effect on growth</w:t>
      </w:r>
      <w:r>
        <w:rPr>
          <w:vertAlign w:val="superscript"/>
        </w:rPr>
        <w:t xml:space="preserve">27</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uptake</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evaluate how early spring temperatures affect stem growth phenology, growth rates, and annual growth of temperate deciduous trees across eastern North America.</w:t>
      </w:r>
      <w:r>
        <w:t xml:space="preserve"> </w:t>
      </w:r>
      <w:r>
        <w:t xml:space="preserve">To test whether warmer springs extend the period of stem growth, we used dendrometer band measurements on 463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28</w:t>
      </w:r>
      <w:r>
        <w:t xml:space="preserve"> </w:t>
      </w:r>
      <w:r>
        <w:t xml:space="preserve">to determine the days of year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and the DOY on which it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25</w:t>
      </w:r>
      <w:r>
        <w:t xml:space="preserve">. These stem-growth milestones were compared to canopy foliage phenology (measured at ecosystem level via remote sensing).</w:t>
      </w:r>
    </w:p>
    <w:p>
      <w:pPr>
        <w:pStyle w:val="CaptionedFigure"/>
      </w:pPr>
      <w:r>
        <w:drawing>
          <wp:inline>
            <wp:extent cx="5943600" cy="6964679"/>
            <wp:effectExtent b="0" l="0" r="0" t="0"/>
            <wp:docPr descr="Figure 1 | Summary of tree growth changes under warmer spring temperatures. (a) Schematic illustrating parameters of interest and summarizing how each responds to warmer maximum temperatures during a ‘critical temperature window’, defined as the period with the strongest control over DOY_{25}; (b) Variable definitions and summary responses to warmer spring temperatures at two temperate forests and for two groups of broadleaf deciduous species (RP=ring porous; DP=diffuse porous), where up and down arrows indicate significant increases and decreases, respectively,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964679"/>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significant increases and decreases, respectively,</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Growth milestones for both canopy foliage phenology and stem growth occurred 6-10 days earlier, on average, at SCBI than at Harvard Forest (Fig. 2, Extended Data Table 2).</w:t>
      </w:r>
      <w:r>
        <w:t xml:space="preserve"> </w:t>
      </w:r>
      <w:r>
        <w:t xml:space="preserve">Consistent with the results of Ref</w:t>
      </w:r>
      <w:r>
        <w:rPr>
          <w:vertAlign w:val="superscript"/>
        </w:rPr>
        <w:t xml:space="preserve">25</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Foliage (a,b) and stem growth (c,d) phenology at the Smithsonian Conservation Biology Institute (a,c) and Harvard Forest (b,d). 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Foliage (a,b) and stem growth (c,d) phenology at the Smithsonian Conservation Biology Institute (a,c) and Harvard Forest (b,d).</w:t>
      </w:r>
      <w:r>
        <w:t xml:space="preserve"> </w:t>
      </w:r>
      <w:r>
        <w:t xml:space="preserve">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MODIS-derived canopy foliage phenology and dendrometer band measurements of stem growth phenology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stem-growth phenology were found using</w:t>
      </w:r>
      <w:r>
        <w:t xml:space="preserve"> </w:t>
      </w:r>
      <m:oMath>
        <m:sSub>
          <m:e>
            <m:r>
              <m:t>T</m:t>
            </m:r>
          </m:e>
          <m:sub>
            <m:r>
              <m:t>m</m:t>
            </m:r>
            <m:r>
              <m:t>a</m:t>
            </m:r>
            <m:r>
              <m:t>x</m:t>
            </m:r>
          </m:sub>
        </m:sSub>
      </m:oMath>
      <w:r>
        <w:t xml:space="preserve"> </w:t>
      </w:r>
      <w:r>
        <w:t xml:space="preserve">during a critical temperatrue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and</w:t>
      </w:r>
      <w:r>
        <w:t xml:space="preserve"> </w:t>
      </w:r>
      <m:oMath>
        <m:r>
          <m:t>D</m:t>
        </m:r>
        <m:r>
          <m:t>O</m:t>
        </m:r>
        <m:sSub>
          <m:e>
            <m:r>
              <m:t>Y</m:t>
            </m:r>
          </m:e>
          <m:sub>
            <m:r>
              <m:t>25</m:t>
            </m:r>
          </m:sub>
        </m:sSub>
      </m:oMath>
      <w:r>
        <w:t xml:space="preserve"> </w:t>
      </w:r>
      <w:r>
        <w:t xml:space="preserve">(Extended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phenological milestones.</w:t>
      </w:r>
      <w:r>
        <w:t xml:space="preserve"> </w:t>
      </w:r>
      <w:r>
        <w:t xml:space="preserve">Consistent with findings from previous studies</w:t>
      </w:r>
      <w:r>
        <w:rPr>
          <w:vertAlign w:val="superscript"/>
        </w:rPr>
        <w:t xml:space="preserve">30</w:t>
      </w:r>
      <w:r>
        <w:t xml:space="preserve">, leaf phenological milestones advanced at both sites (Fig. 2a-b, Extended Data Table 2), with greenup (DOY when EVI2 first crossed 15% of the segment EVI2 amplitude) advancing 4.5 days/</w:t>
      </w:r>
      <m:oMath>
        <m:sSup>
          <m:e>
            <m:r>
              <m:t>​</m:t>
            </m:r>
          </m:e>
          <m:sup>
            <m:r>
              <m:rPr>
                <m:sty m:val="p"/>
              </m:rPr>
              <m:t>∘</m:t>
            </m:r>
          </m:sup>
        </m:sSup>
      </m:oMath>
      <w:r>
        <w:t xml:space="preserve">C at SCBI (p=0.001) and 2.4 days/</w:t>
      </w:r>
      <w:r>
        <w:t xml:space="preserve"> </w:t>
      </w:r>
      <m:oMath>
        <m:sSup>
          <m:e>
            <m:r>
              <m:t>​</m:t>
            </m:r>
          </m:e>
          <m:sup>
            <m:r>
              <m:rPr>
                <m:sty m:val="p"/>
              </m:rPr>
              <m:t>∘</m:t>
            </m:r>
          </m:sup>
        </m:sSup>
      </m:oMath>
      <w:r>
        <w:t xml:space="preserve">C at Harvard Forest (p=0.1).</w:t>
      </w:r>
      <w:r>
        <w:t xml:space="preserve"> </w:t>
      </w:r>
      <w:r>
        <w:t xml:space="preserve">Similarly, at both sites,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1.1-1.9 days/</w:t>
      </w:r>
      <w:r>
        <w:t xml:space="preserve"> </w:t>
      </w:r>
      <m:oMath>
        <m:sSup>
          <m:e>
            <m:r>
              <m:t>​</m:t>
            </m:r>
          </m:e>
          <m:sup>
            <m:r>
              <m:rPr>
                <m:sty m:val="p"/>
              </m:rPr>
              <m:t>∘</m:t>
            </m:r>
          </m:sup>
        </m:sSup>
      </m:oMath>
      <w:r>
        <w:t xml:space="preserve">C for ring-porous species and 3.5-3.6 days/</w:t>
      </w:r>
      <w:r>
        <w:t xml:space="preserve"> </w:t>
      </w:r>
      <m:oMath>
        <m:sSup>
          <m:e>
            <m:r>
              <m:t>​</m:t>
            </m:r>
          </m:e>
          <m:sup>
            <m:r>
              <m:rPr>
                <m:sty m:val="p"/>
              </m:rPr>
              <m:t>∘</m:t>
            </m:r>
          </m:sup>
        </m:sSup>
      </m:oMath>
      <w:r>
        <w:t xml:space="preserve">C for diffuse-porous species at SCBI, and 2.8-7.2 days/</w:t>
      </w:r>
      <w:r>
        <w:t xml:space="preserve"> </w:t>
      </w:r>
      <m:oMath>
        <m:sSup>
          <m:e>
            <m:r>
              <m:t>​</m:t>
            </m:r>
          </m:e>
          <m:sup>
            <m:r>
              <m:rPr>
                <m:sty m:val="p"/>
              </m:rPr>
              <m:t>∘</m:t>
            </m:r>
          </m:sup>
        </m:sSup>
      </m:oMath>
      <w:r>
        <w:t xml:space="preserve">C for ring-porous species and 6.6-7.9 days/</w:t>
      </w:r>
      <w:r>
        <w:t xml:space="preserve"> </w:t>
      </w:r>
      <m:oMath>
        <m:sSup>
          <m:e>
            <m:r>
              <m:t>​</m:t>
            </m:r>
          </m:e>
          <m:sup>
            <m:r>
              <m:rPr>
                <m:sty m:val="p"/>
              </m:rPr>
              <m:t>∘</m:t>
            </m:r>
          </m:sup>
        </m:sSup>
      </m:oMath>
      <w:r>
        <w:t xml:space="preserve">C for diffuse-porous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p>
    <w:bookmarkEnd w:id="23"/>
    <w:bookmarkStart w:id="25"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27</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26</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ring-porous and 4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ring-porous and diffuse-porous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813685"/>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813685"/>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canopy foliage (Fig. 2a-b)</w:t>
      </w:r>
      <w:r>
        <w:rPr>
          <w:vertAlign w:val="superscript"/>
        </w:rPr>
        <w:t xml:space="preserve">2,4,5</w:t>
      </w:r>
      <w:r>
        <w:t xml:space="preserve"> </w:t>
      </w:r>
      <w:r>
        <w:t xml:space="preserve">and</w:t>
      </w:r>
      <w:r>
        <w:t xml:space="preserve"> </w:t>
      </w:r>
      <w:r>
        <w:rPr>
          <w:iCs/>
          <w:i/>
        </w:rPr>
        <w:t xml:space="preserve">NEE</w:t>
      </w:r>
      <w:r>
        <w:rPr>
          <w:vertAlign w:val="superscript"/>
        </w:rPr>
        <w:t xml:space="preserve">2,4</w:t>
      </w:r>
      <w:r>
        <w:t xml:space="preserve">.</w:t>
      </w:r>
      <w:r>
        <w:t xml:space="preserve"> </w:t>
      </w:r>
      <w:r>
        <w:t xml:space="preserve">However, inconsistent with the concept that an earlier start to growth would increase annual woody productivity, we demonstrate that warmer springs hasten the cessation of stem expansion and thereby have negligible effect on total annual growth for most species and locations (Fig. 3).</w:t>
      </w:r>
      <w:r>
        <w:t xml:space="preserve"> </w:t>
      </w:r>
      <w:r>
        <w:t xml:space="preserve">Our observations suggest that the cessation of rapid stem expansion, which occurs mid-summer near the time of peak canopy greenness (Extended Data Figure 2)</w:t>
      </w:r>
      <w:r>
        <w:rPr>
          <w:vertAlign w:val="superscript"/>
        </w:rPr>
        <w:t xml:space="preserve">4</w:t>
      </w:r>
      <w:r>
        <w:t xml:space="preserve">, is likely driven by cues other than carbon limitation, such as daylength or sink limitation, which also play an important role in autumn leaf senescence</w:t>
      </w:r>
      <w:r>
        <w:rPr>
          <w:vertAlign w:val="superscript"/>
        </w:rPr>
        <w:t xml:space="preserve">17,23,31</w:t>
      </w:r>
      <w:r>
        <w:t xml:space="preserve">.</w:t>
      </w:r>
      <w:r>
        <w:t xml:space="preserve"> </w:t>
      </w:r>
      <w:r>
        <w:t xml:space="preserve">Our tree-ring analysis (Fig. 3) demonstrates that the primary effect of warming temperatures on annual tree growth is not an augmentation through an earlier start to growth, but rather a reduction associated to drought stress during the peak growing season</w:t>
      </w:r>
      <w:r>
        <w:rPr>
          <w:vertAlign w:val="superscript"/>
        </w:rPr>
        <w:t xml:space="preserve">26</w:t>
      </w:r>
      <w:r>
        <w:t xml:space="preserve">.</w:t>
      </w:r>
      <w:r>
        <w:t xml:space="preserve"> </w:t>
      </w:r>
      <w:r>
        <w:t xml:space="preserve">Warm springs may also amplify summer drought stress in some times and places, effectively canceling out any positive effects of an extended growing period</w:t>
      </w:r>
      <w:r>
        <w:rPr>
          <w:vertAlign w:val="superscript"/>
        </w:rPr>
        <w:t xml:space="preserve">3,32</w:t>
      </w:r>
      <w:r>
        <w:t xml:space="preserve">; however, spring temperatures and summer Standardized Precipitation Evapotranspiration Index</w:t>
      </w:r>
      <w:r>
        <w:rPr>
          <w:vertAlign w:val="superscript"/>
        </w:rPr>
        <w:t xml:space="preserve">33</w:t>
      </w:r>
      <w:r>
        <w:t xml:space="preserve"> </w:t>
      </w:r>
      <w:r>
        <w:t xml:space="preserve">were uncorrelated within our dendrometer band analysis, implying that the effects of warm spring temperatures on growth phenology elucidated here (Fig. 1) were not attributable to summer drought.</w:t>
      </w:r>
    </w:p>
    <w:p>
      <w:pPr>
        <w:pStyle w:val="BodyText"/>
      </w:pPr>
      <w:r>
        <w:t xml:space="preserve">Our finding that interannual variation in woody growth is more strongly linked to conditions during the peak growing season than to growing season length aligns with parallel findings for</w:t>
      </w:r>
      <w:r>
        <w:t xml:space="preserve"> </w:t>
      </w:r>
      <w:r>
        <w:rPr>
          <w:iCs/>
          <w:i/>
        </w:rPr>
        <w:t xml:space="preserve">NEE</w:t>
      </w:r>
      <w:r>
        <w:rPr>
          <w:vertAlign w:val="superscript"/>
        </w:rPr>
        <w:t xml:space="preserve">13,14</w:t>
      </w:r>
      <w:r>
        <w:t xml:space="preserve">.</w:t>
      </w:r>
      <w:r>
        <w:t xml:space="preserve"> </w:t>
      </w:r>
      <w:r>
        <w:t xml:space="preserve">However, there is also a disconnect with findings that</w:t>
      </w:r>
      <w:r>
        <w:t xml:space="preserve"> </w:t>
      </w:r>
      <w:r>
        <w:rPr>
          <w:iCs/>
          <w:i/>
        </w:rPr>
        <w:t xml:space="preserve">NEE</w:t>
      </w:r>
      <w:r>
        <w:t xml:space="preserve"> </w:t>
      </w:r>
      <w:r>
        <w:t xml:space="preserve">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12,34,35</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carbon fixation in years with warm springs does not substantially augment woody growth, but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photosynthate in years with warm springs may be allocated to woody growth without affecting diameter growth in the current year.</w:t>
      </w:r>
      <w:r>
        <w:t xml:space="preserve"> </w:t>
      </w:r>
      <w:r>
        <w:t xml:space="preserve">It is theoretically possible that extra carbon is allocated to cell wall thickening, a process that lags behind stem expansion</w:t>
      </w:r>
      <w:r>
        <w:rPr>
          <w:vertAlign w:val="superscript"/>
        </w:rPr>
        <w:t xml:space="preserve">36</w:t>
      </w:r>
      <w:r>
        <w:t xml:space="preserve">, or to a thicker layer of higher-density latewood, resulting in formation of more carbon-dense wood in years with warm springs.</w:t>
      </w:r>
      <w:r>
        <w:t xml:space="preserve"> </w:t>
      </w:r>
      <w:r>
        <w:t xml:space="preserve">However, existing evidence indicates that warm springs have a neutral or negative effect on latewood width</w:t>
      </w:r>
      <w:r>
        <w:rPr>
          <w:vertAlign w:val="superscript"/>
        </w:rPr>
        <w:t xml:space="preserve">37–39</w:t>
      </w:r>
      <w:r>
        <w:t xml:space="preserve">, which is more strongly controlled by summer drought stress</w:t>
      </w:r>
      <w:r>
        <w:rPr>
          <w:vertAlign w:val="superscript"/>
        </w:rPr>
        <w:t xml:space="preserve">37,38</w:t>
      </w:r>
      <w:r>
        <w:t xml:space="preserve">, suggesting that a positive effect of warm springs on the total C content of annual rings is unlikely.</w:t>
      </w:r>
      <w:r>
        <w:t xml:space="preserve"> </w:t>
      </w:r>
      <w:r>
        <w:t xml:space="preserve">Extra carbon could also be saved within trees as non-structural carbohydrates and used towards growth the following year</w:t>
      </w:r>
      <w:r>
        <w:rPr>
          <w:vertAlign w:val="superscript"/>
        </w:rPr>
        <w:t xml:space="preserve">40,41</w:t>
      </w:r>
      <w:r>
        <w:t xml:space="preserve">, potentially including an earlier start to growth</w:t>
      </w:r>
      <w:r>
        <w:rPr>
          <w:vertAlign w:val="superscript"/>
        </w:rPr>
        <w:t xml:space="preserve">31</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reproduction, and production of foliage, roots</w:t>
      </w:r>
      <w:r>
        <w:rPr>
          <w:vertAlign w:val="superscript"/>
        </w:rPr>
        <w:t xml:space="preserve">24</w:t>
      </w:r>
      <w:r>
        <w:t xml:space="preserve">, or root exudates.</w:t>
      </w:r>
      <w:r>
        <w:t xml:space="preserve"> </w:t>
      </w:r>
      <w:r>
        <w:t xml:space="preserve">Much of this carbon would have a relatively short residence time within the ecosystem, and C loss through fall or winter respiration may offset gains from an earlier spring</w:t>
      </w:r>
      <w:r>
        <w:rPr>
          <w:vertAlign w:val="superscript"/>
        </w:rPr>
        <w:t xml:space="preserve">3,42</w:t>
      </w:r>
      <w:r>
        <w:t xml:space="preserve">.</w:t>
      </w:r>
      <w:r>
        <w:t xml:space="preserve"> </w:t>
      </w:r>
      <w:r>
        <w:t xml:space="preserve">However, C allocated to nonstructural carbohydrates or relatively short-lived plant tissues would typically remain in the ecosystem beyond the end of the year</w:t>
      </w:r>
      <w:r>
        <w:rPr>
          <w:vertAlign w:val="superscript"/>
        </w:rPr>
        <w:t xml:space="preserve">40</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carbon cycling are unlikely to be apparent in analyses of interannual variation (including this analysis)</w:t>
      </w:r>
      <w:r>
        <w:rPr>
          <w:vertAlign w:val="superscript"/>
        </w:rPr>
        <w:t xml:space="preserve">43</w:t>
      </w:r>
      <w:r>
        <w:t xml:space="preserve">.</w:t>
      </w:r>
      <w:r>
        <w:t xml:space="preserve"> </w:t>
      </w:r>
      <w:r>
        <w:t xml:space="preserve">Moreover, acclimation of trees to warming temperatures</w:t>
      </w:r>
      <w:r>
        <w:rPr>
          <w:vertAlign w:val="superscript"/>
        </w:rPr>
        <w:t xml:space="preserve">44</w:t>
      </w:r>
      <w:r>
        <w:t xml:space="preserve"> </w:t>
      </w:r>
      <w:r>
        <w:t xml:space="preserve">and, on longer time scales, species adaptations and shifts in community composition</w:t>
      </w:r>
      <w:r>
        <w:rPr>
          <w:vertAlign w:val="superscript"/>
        </w:rPr>
        <w:t xml:space="preserve">45</w:t>
      </w:r>
      <w:r>
        <w:t xml:space="preserve"> </w:t>
      </w:r>
      <w:r>
        <w:t xml:space="preserve">are likely to alter the phenology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are correlated with greater tree growth</w:t>
      </w:r>
      <w:r>
        <w:rPr>
          <w:vertAlign w:val="superscript"/>
        </w:rPr>
        <w:t xml:space="preserve">46</w:t>
      </w:r>
      <w:r>
        <w:t xml:space="preserve">, woody productivity</w:t>
      </w:r>
      <w:r>
        <w:rPr>
          <w:vertAlign w:val="superscript"/>
        </w:rPr>
        <w:t xml:space="preserve">47</w:t>
      </w:r>
      <w:r>
        <w:t xml:space="preserve">, and</w:t>
      </w:r>
      <w:r>
        <w:t xml:space="preserve"> </w:t>
      </w:r>
      <w:r>
        <w:rPr>
          <w:iCs/>
          <w:i/>
        </w:rPr>
        <w:t xml:space="preserve">NEE</w:t>
      </w:r>
      <w:r>
        <w:rPr>
          <w:vertAlign w:val="superscript"/>
        </w:rPr>
        <w:t xml:space="preserve">48</w:t>
      </w:r>
      <w:r>
        <w:t xml:space="preserve">.</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an earlier onset of growth in the spring is unlikely to provide the sustained increase in CO</w:t>
      </w:r>
      <w:r>
        <w:rPr>
          <w:vertAlign w:val="subscript"/>
        </w:rPr>
        <w:t xml:space="preserve">2</w:t>
      </w:r>
      <w:r>
        <w:t xml:space="preserve"> </w:t>
      </w:r>
      <w:r>
        <w:t xml:space="preserve">sequestration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49</w:t>
      </w:r>
      <w:r>
        <w:t xml:space="preserve"> </w:t>
      </w:r>
      <w:r>
        <w:t xml:space="preserve">and Harvard Forest</w:t>
      </w:r>
      <w:r>
        <w:rPr>
          <w:vertAlign w:val="superscript"/>
        </w:rPr>
        <w:t xml:space="preserve">4,25</w:t>
      </w:r>
      <w:r>
        <w:t xml:space="preserve">, both part of the Forest Global Earth Observatory (ForestGEO)</w:t>
      </w:r>
      <w:r>
        <w:rPr>
          <w:vertAlign w:val="superscript"/>
        </w:rPr>
        <w:t xml:space="preserve">50,51</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49</w:t>
      </w:r>
      <w:r>
        <w:t xml:space="preserve">.</w:t>
      </w:r>
      <w:r>
        <w:t xml:space="preserve"> </w:t>
      </w:r>
      <w:r>
        <w:t xml:space="preserve">Dominant canopy species within the 25.6 ha ForestGEO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rPr>
          <w:vertAlign w:val="superscript"/>
        </w:rPr>
        <w:t xml:space="preserve">27</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46</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1950-2019 mean annual precipitation of 1104 mm and temperatures averaging -5° C in January and 22° C in July</w:t>
      </w:r>
      <w:r>
        <w:rPr>
          <w:vertAlign w:val="superscript"/>
        </w:rPr>
        <w:t xml:space="preserve">46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(e.g., because of tree mortality) from the census.</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 In these cases, the full annual record for the tree was removed.</w:t>
      </w:r>
      <w:r>
        <w:t xml:space="preserve"> </w:t>
      </w:r>
      <w:r>
        <w:t xml:space="preserve">Third, data points that deviated substantially from normal growth patterns, but had unknown causes, were removed. 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28</w:t>
      </w:r>
      <w:r>
        <w:t xml:space="preserve"> </w:t>
      </w:r>
      <w:r>
        <w:t xml:space="preserve">to dendrometer band data from each tree-year to define phenological dates and growth rates (Fig. 1). In particular, we model the observed diameter at breast height (DBH) on a given day of the year (DOY; i.e.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DBH at the beginning and end of the year, respectively.</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The model was fit in R v 4.0 using the functions developed in the Rdendrom package</w:t>
      </w:r>
      <w:r>
        <w:rPr>
          <w:vertAlign w:val="superscript"/>
        </w:rPr>
        <w:t xml:space="preserve">28</w:t>
      </w:r>
      <w:r>
        <w:t xml:space="preserve">. These functions take the time-series of manual dendrometer band measurements and return maximum-likelihood optimized values of the above five parameters that best predict DBH for each day of year.</w:t>
      </w:r>
      <w:r>
        <w:t xml:space="preserve"> </w:t>
      </w:r>
      <w:r>
        <w:t xml:space="preserve">We then modeled DBH using these optimal parameter values in our logistic growth model and extracted the intra-annual growth variables of interest detailed in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rPr>
            <m:sty m:val="p"/>
          </m:rPr>
          <m:t>≥</m:t>
        </m:r>
        <m:r>
          <m:t>2</m:t>
        </m:r>
      </m:oMath>
      <w:r>
        <w:t xml:space="preserve"> </w:t>
      </w:r>
      <w:r>
        <w:t xml:space="preserve">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53, Harvard Forest = 106);</w:t>
      </w:r>
      <w:r>
        <w:t xml:space="preserve"> </w:t>
      </w:r>
      <w:r>
        <w:t xml:space="preserve">(3) tree-years with small or negligible total growth (</w:t>
      </w:r>
      <m:oMath>
        <m:r>
          <m:t>Δ</m:t>
        </m:r>
        <m:r>
          <m:t>D</m:t>
        </m:r>
        <m:r>
          <m:t>B</m:t>
        </m:r>
        <m:r>
          <m:t>H</m:t>
        </m:r>
      </m:oMath>
      <w:r>
        <w:t xml:space="preserve"> </w:t>
      </w:r>
      <m:oMath>
        <m:r>
          <m:rPr>
            <m:sty m:val="p"/>
          </m:rPr>
          <m:t>≤</m:t>
        </m:r>
        <m:r>
          <m:t>0.02</m:t>
        </m:r>
      </m:oMath>
      <w:r>
        <w:t xml:space="preserve"> </w:t>
      </w:r>
      <w:r>
        <w:t xml:space="preserve">mm; SCBI = 0, Harvard Forest = 66);</w:t>
      </w:r>
      <w:r>
        <w:t xml:space="preserve"> </w:t>
      </w:r>
      <w:r>
        <w:t xml:space="preserve">(4) model fit predicted total yearly growth to take longer than 365 days, indicating poor model fit (SCBI = 150,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An additional two tree-years were removed from SCBI because they were poor fits missed using the previous cleaning criteria.</w:t>
      </w:r>
      <w:r>
        <w:t xml:space="preserve"> </w:t>
      </w:r>
      <w:r>
        <w:t xml:space="preserve">At SCBI a higher proportion of ring-porous trees were removed, the majority falling under condition 4.</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52</w:t>
      </w:r>
      <w:r>
        <w:t xml:space="preserve"> </w:t>
      </w:r>
      <w:r>
        <w:t xml:space="preserve">via Google Earth Engine. Data were extracted for the pixel containing the NEON tower at each site. Using daily MODIS 2-band Enhanced Vegetation Index data (EVI2) at a spatial resolution of 500m, the product yields the timing of phenometrics (vegetation phenology) over each year, including timing of greenup, midgreenup, and senescence as used in this study.</w:t>
      </w:r>
    </w:p>
    <w:p>
      <w:pPr>
        <w:pStyle w:val="BodyText"/>
      </w:pPr>
    </w:p>
    <w:p>
      <w:pPr>
        <w:pStyle w:val="BodyText"/>
      </w:pPr>
      <w:r>
        <w:t xml:space="preserve">For the dendrometer band analysis, climate data corresponding to the measurement periods at both sites were obtained from local weather stations.</w:t>
      </w:r>
      <w:r>
        <w:t xml:space="preserve"> </w:t>
      </w:r>
      <w:r>
        <w:t xml:space="preserve">For SCBI, weather data were obtained from a meteorological tower adjacent to the SCBI ForestGEO plot, via the ForestGEO Climate Data Portal v1.0 (</w:t>
      </w:r>
      <w:hyperlink r:id="rId27">
        <w:r>
          <w:rPr>
            <w:rStyle w:val="Hyperlink"/>
          </w:rPr>
          <w:t xml:space="preserve">https://forestgeo.github.io/Climate/</w:t>
        </w:r>
      </w:hyperlink>
      <w:r>
        <w:t xml:space="preserve">)</w:t>
      </w:r>
      <w:r>
        <w:rPr>
          <w:vertAlign w:val="superscript"/>
        </w:rPr>
        <w:t xml:space="preserve">53</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54</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For each site, we extracted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r>
        <w:t xml:space="preserve"> </w:t>
      </w:r>
      <w:r>
        <w:t xml:space="preserve">Daily temperature records for Harvard Forest were obtained from the Harvard Forest weather station</w:t>
      </w:r>
      <w:r>
        <w:rPr>
          <w:vertAlign w:val="superscript"/>
        </w:rPr>
        <w:t xml:space="preserve">55,56</w:t>
      </w:r>
      <w:r>
        <w:t xml:space="preserve">.</w:t>
      </w:r>
      <w:r>
        <w:t xml:space="preserve"> </w:t>
      </w:r>
      <w:r>
        <w:t xml:space="preserve">Climate data for Harvard Forest were complete and used as is.</w:t>
      </w:r>
    </w:p>
    <w:p>
      <w:pPr>
        <w:pStyle w:val="BodyText"/>
      </w:pPr>
      <w:r>
        <w:rPr>
          <w:iCs/>
          <w:i/>
        </w:rPr>
        <w:t xml:space="preserve">ADD SOMETHING ON HOW STANDARD PRECIPITAITON EVAPOTRANSPIRATIN INDEX WAS FOUND</w:t>
      </w:r>
      <w:r>
        <w:t xml:space="preserve">!!!!</w:t>
      </w:r>
    </w:p>
    <w:p>
      <w:pPr>
        <w:pStyle w:val="BodyText"/>
      </w:pPr>
      <w:r>
        <w:t xml:space="preserve">For the tree core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57</w:t>
      </w:r>
    </w:p>
    <w:p>
      <w:pPr>
        <w:pStyle w:val="BodyText"/>
      </w:pPr>
      <w:r>
        <w:t xml:space="preserve">The critical temperature window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58</w:t>
      </w:r>
      <w:r>
        <w:t xml:space="preserve">.</w:t>
      </w:r>
      <w:r>
        <w:t xml:space="preserve"> </w:t>
      </w:r>
      <w:r>
        <w:t xml:space="preserve">This package tests the correlation between one or more predictor climate variable and a biological outcome variable over all consecutive time windows within a specified time-frame. 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The variable and time window yielding the biggest</w:t>
      </w:r>
      <w:r>
        <w:t xml:space="preserve"> </w:t>
      </w:r>
      <m:oMath>
        <m:r>
          <m:t>Δ</m:t>
        </m:r>
        <m:r>
          <m:t>A</m:t>
        </m:r>
        <m:r>
          <m:t>I</m:t>
        </m:r>
        <m:r>
          <m:t>C</m:t>
        </m:r>
        <m:r>
          <m:t>c</m:t>
        </m:r>
      </m:oMath>
      <w:r>
        <w:t xml:space="preserve"> </w:t>
      </w:r>
      <w:r>
        <w:t xml:space="preserve">are selected for our critical temperature window. 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 We selected the critical temperature window that had the lowest</w:t>
      </w:r>
      <w:r>
        <w:t xml:space="preserve"> </w:t>
      </w:r>
      <m:oMath>
        <m:r>
          <m:t>Δ</m:t>
        </m:r>
        <m:r>
          <m:t>A</m:t>
        </m:r>
        <m:r>
          <m:t>I</m:t>
        </m:r>
        <m:r>
          <m:t>C</m:t>
        </m:r>
        <m:r>
          <m:t>c</m:t>
        </m:r>
      </m:oMath>
      <w:r>
        <w:t xml:space="preserve">.</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focused on defining critical temperature windows for</w:t>
      </w:r>
      <w:r>
        <w:t xml:space="preserve"> </w:t>
      </w:r>
      <m:oMath>
        <m:r>
          <m:t>D</m:t>
        </m:r>
        <m:r>
          <m:t>O</m:t>
        </m:r>
        <m:sSub>
          <m:e>
            <m:r>
              <m:t>Y</m:t>
            </m:r>
          </m:e>
          <m:sub>
            <m:r>
              <m:t>25</m:t>
            </m:r>
          </m:sub>
        </m:sSub>
      </m:oMath>
      <w:r>
        <w:t xml:space="preserve">, as opposed to other growth phenology parameters, because we were interested in the influence of temperature on the initiation of woody growth.</w:t>
      </w:r>
    </w:p>
    <w:p>
      <w:pPr>
        <w:pStyle w:val="BodyText"/>
      </w:pPr>
      <w:r>
        <w:t xml:space="preserve">To ensure that patterns were robust under an alternative definition of critical temperature window, and to parallel the monthly time windows used in our tree-ring analysis (detailed below; Fig. 3, Extended Data Figure 6-7), we also ran analyses where we fixed the critical temperature window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the dendroband-derived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of individual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59,60</w:t>
      </w:r>
      <w:r>
        <w:t xml:space="preserve">. In all cases unless otherwise specified, all prior distributions are set to be the weakly informative defaults.</w:t>
      </w:r>
      <w:r>
        <w:t xml:space="preserve"> </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61</w:t>
      </w:r>
      <w:r>
        <w:t xml:space="preserve">.</w:t>
      </w:r>
    </w:p>
    <w:p>
      <w:pPr>
        <w:pStyle w:val="BodyText"/>
      </w:pPr>
      <w:r>
        <w:t xml:space="preserve">Dominant tree species were cored at both SCBI</w:t>
      </w:r>
      <w:r>
        <w:rPr>
          <w:vertAlign w:val="superscript"/>
        </w:rPr>
        <w:t xml:space="preserve">27,49</w:t>
      </w:r>
      <w:r>
        <w:t xml:space="preserve"> </w:t>
      </w:r>
      <w:r>
        <w:t xml:space="preserve">and Harvard Forest</w:t>
      </w:r>
      <w:r>
        <w:rPr>
          <w:vertAlign w:val="superscript"/>
        </w:rPr>
        <w:t xml:space="preserve">4,62,63</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26,64</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 ring records into a dimensionless ring width index (RWI) to emphasize interannual variability associated with climate.</w:t>
      </w:r>
      <w:r>
        <w:rPr>
          <w:vertAlign w:val="superscript"/>
        </w:rPr>
        <w:t xml:space="preserve">65</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65,66</w:t>
      </w:r>
      <w:r>
        <w:t xml:space="preserve">.</w:t>
      </w:r>
      <w:r>
        <w:t xml:space="preserve"> </w:t>
      </w:r>
      <w:r>
        <w:t xml:space="preserve">An adaptive power transformation, a process that also stabilises the variance over time</w:t>
      </w:r>
      <w:r>
        <w:rPr>
          <w:vertAlign w:val="superscript"/>
        </w:rPr>
        <w:t xml:space="preserve">67</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68</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that,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66</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Correlations between monthly climate and</w:t>
      </w:r>
      <w:r>
        <w:t xml:space="preserve"> </w:t>
      </w:r>
      <m:oMath>
        <m:r>
          <m:t>R</m:t>
        </m:r>
        <m:r>
          <m:t>W</m:t>
        </m:r>
        <m:r>
          <m:t>I</m:t>
        </m:r>
      </m:oMath>
      <w:r>
        <w:t xml:space="preserve"> </w:t>
      </w:r>
      <w:r>
        <w:t xml:space="preserve">were assessed using</w:t>
      </w:r>
      <w:r>
        <w:t xml:space="preserve"> </w:t>
      </w:r>
      <w:r>
        <w:t xml:space="preserve">‘</w:t>
      </w:r>
      <w:r>
        <w:t xml:space="preserve">dplR</w:t>
      </w:r>
      <w:r>
        <w:t xml:space="preserve">’</w:t>
      </w:r>
      <w:r>
        <w:rPr>
          <w:vertAlign w:val="superscript"/>
        </w:rPr>
        <w:t xml:space="preserve">69</w:t>
      </w:r>
      <w:r>
        <w:t xml:space="preserve"> </w:t>
      </w:r>
      <w:r>
        <w:t xml:space="preserve">and</w:t>
      </w:r>
      <w:r>
        <w:t xml:space="preserve"> </w:t>
      </w:r>
      <w:r>
        <w:t xml:space="preserve">‘</w:t>
      </w:r>
      <w:r>
        <w:t xml:space="preserve">bootRes</w:t>
      </w:r>
      <w:r>
        <w:t xml:space="preserve">’</w:t>
      </w:r>
      <w:r>
        <w:rPr>
          <w:vertAlign w:val="superscript"/>
        </w:rPr>
        <w:t xml:space="preserve">70</w:t>
      </w:r>
      <w:r>
        <w:t xml:space="preserve"> </w:t>
      </w:r>
      <w:r>
        <w:t xml:space="preserve">in R v 4.0 (R Core Team, 2020), which correlated functions and bootstrapped confidence intervals for these relationships</w:t>
      </w:r>
      <w:r>
        <w:rPr>
          <w:vertAlign w:val="superscript"/>
        </w:rPr>
        <w:t xml:space="preserve">71</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the following year’s growth,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Ecosystesms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34"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34"/>
    <w:bookmarkStart w:id="115" w:name="References"/>
    <w:p>
      <w:pPr>
        <w:pStyle w:val="Heading1"/>
      </w:pPr>
      <w:r>
        <w:t xml:space="preserve">References</w:t>
      </w:r>
    </w:p>
    <w:bookmarkStart w:id="114" w:name="refs"/>
    <w:bookmarkStart w:id="35"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35"/>
    <w:bookmarkStart w:id="36"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36"/>
    <w:bookmarkStart w:id="37"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37"/>
    <w:bookmarkStart w:id="38"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38"/>
    <w:bookmarkStart w:id="39"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39"/>
    <w:bookmarkStart w:id="41"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40">
        <w:r>
          <w:rPr>
            <w:rStyle w:val="Hyperlink"/>
          </w:rPr>
          <w:t xml:space="preserve">10.1073/pnas.2002713117</w:t>
        </w:r>
      </w:hyperlink>
      <w:r>
        <w:t xml:space="preserve">.</w:t>
      </w:r>
    </w:p>
    <w:bookmarkEnd w:id="41"/>
    <w:bookmarkStart w:id="42"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42"/>
    <w:bookmarkStart w:id="43"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43"/>
    <w:bookmarkStart w:id="44"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44"/>
    <w:bookmarkStart w:id="45"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45"/>
    <w:bookmarkStart w:id="46"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46"/>
    <w:bookmarkStart w:id="47"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47"/>
    <w:bookmarkStart w:id="48"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48"/>
    <w:bookmarkStart w:id="49"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49"/>
    <w:bookmarkStart w:id="50"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0"/>
    <w:bookmarkStart w:id="51"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51"/>
    <w:bookmarkStart w:id="52"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52"/>
    <w:bookmarkStart w:id="53"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53"/>
    <w:bookmarkStart w:id="54" w:name="ref-pan_large_2011"/>
    <w:p>
      <w:pPr>
        <w:pStyle w:val="Bibliography"/>
      </w:pPr>
      <w:r>
        <w:t xml:space="preserve">19.</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54"/>
    <w:bookmarkStart w:id="55" w:name="ref-friedlingstein_global_2020"/>
    <w:p>
      <w:pPr>
        <w:pStyle w:val="Bibliography"/>
      </w:pPr>
      <w:r>
        <w:t xml:space="preserve">20.</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55"/>
    <w:bookmarkStart w:id="56" w:name="ref-pugh_role_2019"/>
    <w:p>
      <w:pPr>
        <w:pStyle w:val="Bibliography"/>
      </w:pPr>
      <w:r>
        <w:t xml:space="preserve">21.</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56"/>
    <w:bookmarkStart w:id="57" w:name="ref-arora_carbon_2020"/>
    <w:p>
      <w:pPr>
        <w:pStyle w:val="Bibliography"/>
      </w:pPr>
      <w:r>
        <w:t xml:space="preserve">22.</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57"/>
    <w:bookmarkStart w:id="58" w:name="ref-keenan_timing_2015"/>
    <w:p>
      <w:pPr>
        <w:pStyle w:val="Bibliography"/>
      </w:pPr>
      <w:r>
        <w:t xml:space="preserve">23.</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58"/>
    <w:bookmarkStart w:id="59" w:name="ref-zohner_how_2021"/>
    <w:p>
      <w:pPr>
        <w:pStyle w:val="Bibliography"/>
      </w:pPr>
      <w:r>
        <w:t xml:space="preserve">24.</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59"/>
    <w:bookmarkStart w:id="61" w:name="ref-dorangeville_peak_2021"/>
    <w:p>
      <w:pPr>
        <w:pStyle w:val="Bibliography"/>
      </w:pPr>
      <w:r>
        <w:t xml:space="preserve">25.</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60">
        <w:r>
          <w:rPr>
            <w:rStyle w:val="Hyperlink"/>
          </w:rPr>
          <w:t xml:space="preserve">10.1093/treephys/tpab101</w:t>
        </w:r>
      </w:hyperlink>
      <w:r>
        <w:t xml:space="preserve">.</w:t>
      </w:r>
    </w:p>
    <w:bookmarkEnd w:id="61"/>
    <w:bookmarkStart w:id="62" w:name="ref-dorangeville_drought_2018"/>
    <w:p>
      <w:pPr>
        <w:pStyle w:val="Bibliography"/>
      </w:pPr>
      <w:r>
        <w:t xml:space="preserve">26.</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62"/>
    <w:bookmarkStart w:id="63" w:name="ref-helcoski_growing_2019"/>
    <w:p>
      <w:pPr>
        <w:pStyle w:val="Bibliography"/>
      </w:pPr>
      <w:r>
        <w:t xml:space="preserve">27.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63"/>
    <w:bookmarkStart w:id="64" w:name="ref-mcmahon_general_2015"/>
    <w:p>
      <w:pPr>
        <w:pStyle w:val="Bibliography"/>
      </w:pPr>
      <w:r>
        <w:t xml:space="preserve">28.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64"/>
    <w:bookmarkStart w:id="65" w:name="ref-parmesan_globally_2003"/>
    <w:p>
      <w:pPr>
        <w:pStyle w:val="Bibliography"/>
      </w:pPr>
      <w:r>
        <w:t xml:space="preserve">29.</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5"/>
    <w:bookmarkStart w:id="66" w:name="ref-friedl_tale_2014"/>
    <w:p>
      <w:pPr>
        <w:pStyle w:val="Bibliography"/>
      </w:pPr>
      <w:r>
        <w:t xml:space="preserve">30.</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6"/>
    <w:bookmarkStart w:id="67" w:name="ref-fu_variation_2014"/>
    <w:p>
      <w:pPr>
        <w:pStyle w:val="Bibliography"/>
      </w:pPr>
      <w:r>
        <w:t xml:space="preserve">31.</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67"/>
    <w:bookmarkStart w:id="68" w:name="ref-zhang_drought_2021"/>
    <w:p>
      <w:pPr>
        <w:pStyle w:val="Bibliography"/>
      </w:pPr>
      <w:r>
        <w:t xml:space="preserve">32.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68"/>
    <w:bookmarkStart w:id="69" w:name="ref-vicente-serrano_multiscalar_2010"/>
    <w:p>
      <w:pPr>
        <w:pStyle w:val="Bibliography"/>
      </w:pPr>
      <w:r>
        <w:t xml:space="preserve">33.</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69"/>
    <w:bookmarkStart w:id="70" w:name="ref-zohner_ongoing_2019"/>
    <w:p>
      <w:pPr>
        <w:pStyle w:val="Bibliography"/>
      </w:pPr>
      <w:r>
        <w:t xml:space="preserve">34.</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70"/>
    <w:bookmarkStart w:id="71" w:name="ref-xie_predicting_2018"/>
    <w:p>
      <w:pPr>
        <w:pStyle w:val="Bibliography"/>
      </w:pPr>
      <w:r>
        <w:t xml:space="preserve">35.</w:t>
      </w:r>
      <w:r>
        <w:t xml:space="preserve"> </w:t>
      </w:r>
      <w:r>
        <w:t xml:space="preserve">	</w:t>
      </w:r>
      <w:r>
        <w:t xml:space="preserve">Xie, Y., Wang, X., Wilson, A. M. &amp; Silander, J. A. Predicting autumn phenology: How 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71"/>
    <w:bookmarkStart w:id="72" w:name="ref-cuny_woody_2015"/>
    <w:p>
      <w:pPr>
        <w:pStyle w:val="Bibliography"/>
      </w:pPr>
      <w:r>
        <w:t xml:space="preserve">36.</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72"/>
    <w:bookmarkStart w:id="73" w:name="ref-tardif_influence_2006"/>
    <w:p>
      <w:pPr>
        <w:pStyle w:val="Bibliography"/>
      </w:pPr>
      <w:r>
        <w:t xml:space="preserve">37.</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73"/>
    <w:bookmarkStart w:id="74" w:name="ref-roibu_climatic_2020"/>
    <w:p>
      <w:pPr>
        <w:pStyle w:val="Bibliography"/>
      </w:pPr>
      <w:r>
        <w:t xml:space="preserve">38.</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74"/>
    <w:bookmarkStart w:id="75" w:name="ref-kern_multiple_2013"/>
    <w:p>
      <w:pPr>
        <w:pStyle w:val="Bibliography"/>
      </w:pPr>
      <w:r>
        <w:t xml:space="preserve">39.</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75"/>
    <w:bookmarkStart w:id="76" w:name="ref-trumbore_quantifying_2002"/>
    <w:p>
      <w:pPr>
        <w:pStyle w:val="Bibliography"/>
      </w:pPr>
      <w:r>
        <w:t xml:space="preserve">40.</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76"/>
    <w:bookmarkStart w:id="77" w:name="ref-richardson_seasonal_2013"/>
    <w:p>
      <w:pPr>
        <w:pStyle w:val="Bibliography"/>
      </w:pPr>
      <w:r>
        <w:t xml:space="preserve">41.</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77"/>
    <w:bookmarkStart w:id="78" w:name="ref-oishi_warmer_2018"/>
    <w:p>
      <w:pPr>
        <w:pStyle w:val="Bibliography"/>
      </w:pPr>
      <w:r>
        <w:t xml:space="preserve">42.</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8"/>
    <w:bookmarkStart w:id="79" w:name="ref-kannenberg_linking_2019"/>
    <w:p>
      <w:pPr>
        <w:pStyle w:val="Bibliography"/>
      </w:pPr>
      <w:r>
        <w:t xml:space="preserve">43.</w:t>
      </w:r>
      <w:r>
        <w:t xml:space="preserve"> </w:t>
      </w:r>
      <w:r>
        <w:t xml:space="preserve">	</w:t>
      </w:r>
      <w:r>
        <w:t xml:space="preserve">Kannenberg, S. A.</w:t>
      </w:r>
      <w:r>
        <w:t xml:space="preserve"> </w:t>
      </w:r>
      <w:r>
        <w:rPr>
          <w:iCs/>
          <w:i/>
        </w:rPr>
        <w:t xml:space="preserve">et al.</w:t>
      </w:r>
      <w:r>
        <w:t xml:space="preserve"> Linking drought legacy effects across scales: From leaves to tree rings to ecosystems.</w:t>
      </w:r>
      <w:r>
        <w:t xml:space="preserve"> </w:t>
      </w:r>
      <w:r>
        <w:rPr>
          <w:iCs/>
          <w:i/>
        </w:rPr>
        <w:t xml:space="preserve">Global Change Biology</w:t>
      </w:r>
      <w:r>
        <w:t xml:space="preserve"> </w:t>
      </w:r>
      <w:r>
        <w:rPr>
          <w:bCs/>
          <w:b/>
        </w:rPr>
        <w:t xml:space="preserve">25</w:t>
      </w:r>
      <w:r>
        <w:t xml:space="preserve">, 2978–2992 (2019).</w:t>
      </w:r>
    </w:p>
    <w:bookmarkEnd w:id="79"/>
    <w:bookmarkStart w:id="80" w:name="ref-gessler_way_2020"/>
    <w:p>
      <w:pPr>
        <w:pStyle w:val="Bibliography"/>
      </w:pPr>
      <w:r>
        <w:t xml:space="preserve">44.</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80"/>
    <w:bookmarkStart w:id="81" w:name="ref-fisichelli_temperate_2014"/>
    <w:p>
      <w:pPr>
        <w:pStyle w:val="Bibliography"/>
      </w:pPr>
      <w:r>
        <w:t xml:space="preserve">45.</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81"/>
    <w:bookmarkStart w:id="82" w:name="ref-anderson-teixeira_joint_2021"/>
    <w:p>
      <w:pPr>
        <w:pStyle w:val="Bibliography"/>
      </w:pPr>
      <w:r>
        <w:t xml:space="preserve">46.</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2"/>
    <w:bookmarkStart w:id="84" w:name="ref-banburymorgan_global_2021"/>
    <w:p>
      <w:pPr>
        <w:pStyle w:val="Bibliography"/>
      </w:pPr>
      <w:r>
        <w:t xml:space="preserve">47.</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3">
        <w:r>
          <w:rPr>
            <w:rStyle w:val="Hyperlink"/>
          </w:rPr>
          <w:t xml:space="preserve">10.1111/gcb.15574</w:t>
        </w:r>
      </w:hyperlink>
      <w:r>
        <w:t xml:space="preserve">.</w:t>
      </w:r>
    </w:p>
    <w:bookmarkEnd w:id="84"/>
    <w:bookmarkStart w:id="85" w:name="ref-churkina_spatial_2005"/>
    <w:p>
      <w:pPr>
        <w:pStyle w:val="Bibliography"/>
      </w:pPr>
      <w:r>
        <w:t xml:space="preserve">48.</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85"/>
    <w:bookmarkStart w:id="86" w:name="ref-bourg_initial_2013"/>
    <w:p>
      <w:pPr>
        <w:pStyle w:val="Bibliography"/>
      </w:pPr>
      <w:r>
        <w:t xml:space="preserve">49.</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w:t>
      </w:r>
      <w:r>
        <w:t xml:space="preserve"> </w:t>
      </w:r>
      <w:r>
        <w:rPr>
          <w:iCs/>
          <w:i/>
        </w:rPr>
        <w:t xml:space="preserve">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6"/>
    <w:bookmarkStart w:id="87" w:name="ref-anderson-teixeira_ctfsforestgeo_2015"/>
    <w:p>
      <w:pPr>
        <w:pStyle w:val="Bibliography"/>
      </w:pPr>
      <w:r>
        <w:t xml:space="preserve">50.</w:t>
      </w:r>
      <w:r>
        <w:t xml:space="preserve"> </w:t>
      </w:r>
      <w:r>
        <w:t xml:space="preserve">	</w:t>
      </w:r>
      <w:r>
        <w:t xml:space="preserve">Anderson-Teixeira, K. J.</w:t>
      </w:r>
      <w:r>
        <w:t xml:space="preserve"> </w:t>
      </w:r>
      <w:r>
        <w:rPr>
          <w:iCs/>
          <w:i/>
        </w:rPr>
        <w:t xml:space="preserve">et al.</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87"/>
    <w:bookmarkStart w:id="88" w:name="ref-davies_forestgeo_2021"/>
    <w:p>
      <w:pPr>
        <w:pStyle w:val="Bibliography"/>
      </w:pPr>
      <w:r>
        <w:t xml:space="preserve">51.</w:t>
      </w:r>
      <w:r>
        <w:t xml:space="preserve"> </w:t>
      </w:r>
      <w:r>
        <w:t xml:space="preserve">	</w:t>
      </w:r>
      <w:r>
        <w:t xml:space="preserve">Davies, S. J.</w:t>
      </w:r>
      <w:r>
        <w:t xml:space="preserve"> </w:t>
      </w:r>
      <w:r>
        <w:rPr>
          <w:iCs/>
          <w:i/>
        </w:rPr>
        <w:t xml:space="preserve">et al.</w:t>
      </w:r>
      <w:r>
        <w:t xml:space="preserve"> </w:t>
      </w:r>
      <w:r>
        <w:t xml:space="preserve">ForestGEO</w:t>
      </w:r>
      <w:r>
        <w:t xml:space="preserve">: Understanding 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88"/>
    <w:bookmarkStart w:id="90" w:name="ref-friedl_mcd12q2_2019"/>
    <w:p>
      <w:pPr>
        <w:pStyle w:val="Bibliography"/>
      </w:pPr>
      <w:r>
        <w:t xml:space="preserve">52.</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9">
        <w:r>
          <w:rPr>
            <w:rStyle w:val="Hyperlink"/>
          </w:rPr>
          <w:t xml:space="preserve">10.5067/MODIS/MCD12Q2.006</w:t>
        </w:r>
      </w:hyperlink>
      <w:r>
        <w:t xml:space="preserve">.</w:t>
      </w:r>
    </w:p>
    <w:bookmarkEnd w:id="90"/>
    <w:bookmarkStart w:id="92" w:name="ref-anderson-teixeira_forestgeo_2020"/>
    <w:p>
      <w:pPr>
        <w:pStyle w:val="Bibliography"/>
      </w:pPr>
      <w:r>
        <w:t xml:space="preserve">53.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 Initial release. (2020) doi:</w:t>
      </w:r>
      <w:hyperlink r:id="rId91">
        <w:r>
          <w:rPr>
            <w:rStyle w:val="Hyperlink"/>
          </w:rPr>
          <w:t xml:space="preserve">10.5281/ZENODO.4041609</w:t>
        </w:r>
      </w:hyperlink>
      <w:r>
        <w:t xml:space="preserve">.</w:t>
      </w:r>
    </w:p>
    <w:bookmarkEnd w:id="92"/>
    <w:bookmarkStart w:id="93" w:name="ref-benestad_empiricalstatistical_2008"/>
    <w:p>
      <w:pPr>
        <w:pStyle w:val="Bibliography"/>
      </w:pPr>
      <w:r>
        <w:t xml:space="preserve">54.</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93"/>
    <w:bookmarkStart w:id="95" w:name="ref-boose_shaler_2021"/>
    <w:p>
      <w:pPr>
        <w:pStyle w:val="Bibliography"/>
      </w:pPr>
      <w:r>
        <w:t xml:space="preserve">55.</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94">
        <w:r>
          <w:rPr>
            <w:rStyle w:val="Hyperlink"/>
          </w:rPr>
          <w:t xml:space="preserve">10.6073/PASTA/213335F5DAA17222A738C105B9FA60C4</w:t>
        </w:r>
      </w:hyperlink>
      <w:r>
        <w:t xml:space="preserve">.</w:t>
      </w:r>
    </w:p>
    <w:bookmarkEnd w:id="95"/>
    <w:bookmarkStart w:id="97" w:name="ref-boose_fisher_2021"/>
    <w:p>
      <w:pPr>
        <w:pStyle w:val="Bibliography"/>
      </w:pPr>
      <w:r>
        <w:t xml:space="preserve">56.</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96">
        <w:r>
          <w:rPr>
            <w:rStyle w:val="Hyperlink"/>
          </w:rPr>
          <w:t xml:space="preserve">10.6073/PASTA/69E92642B512897032446CFE795CFFB8</w:t>
        </w:r>
      </w:hyperlink>
      <w:r>
        <w:t xml:space="preserve">.</w:t>
      </w:r>
    </w:p>
    <w:bookmarkEnd w:id="97"/>
    <w:bookmarkStart w:id="98" w:name="ref-harris_version_2020"/>
    <w:p>
      <w:pPr>
        <w:pStyle w:val="Bibliography"/>
      </w:pPr>
      <w:r>
        <w:t xml:space="preserve">57.</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98"/>
    <w:bookmarkStart w:id="99" w:name="ref-vandepol_identifying_2016"/>
    <w:p>
      <w:pPr>
        <w:pStyle w:val="Bibliography"/>
      </w:pPr>
      <w:r>
        <w:t xml:space="preserve">58.</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99"/>
    <w:bookmarkStart w:id="100" w:name="ref-gabry_rstanarm_2020"/>
    <w:p>
      <w:pPr>
        <w:pStyle w:val="Bibliography"/>
      </w:pPr>
      <w:r>
        <w:t xml:space="preserve">59.</w:t>
      </w:r>
      <w:r>
        <w:t xml:space="preserve"> </w:t>
      </w:r>
      <w:r>
        <w:t xml:space="preserve">	</w:t>
      </w:r>
      <w:r>
        <w:t xml:space="preserve">Gabry, J.</w:t>
      </w:r>
      <w:r>
        <w:t xml:space="preserve"> </w:t>
      </w:r>
      <w:r>
        <w:rPr>
          <w:iCs/>
          <w:i/>
        </w:rPr>
        <w:t xml:space="preserve">et al.</w:t>
      </w:r>
      <w:r>
        <w:t xml:space="preserve"> Rstanarm: Bayesian</w:t>
      </w:r>
      <w:r>
        <w:t xml:space="preserve"> </w:t>
      </w:r>
      <w:r>
        <w:t xml:space="preserve">Applied Regression Modeling</w:t>
      </w:r>
      <w:r>
        <w:t xml:space="preserve"> </w:t>
      </w:r>
      <w:r>
        <w:t xml:space="preserve">via</w:t>
      </w:r>
      <w:r>
        <w:t xml:space="preserve"> </w:t>
      </w:r>
      <w:r>
        <w:t xml:space="preserve">Stan</w:t>
      </w:r>
      <w:r>
        <w:t xml:space="preserve">. (2020).</w:t>
      </w:r>
    </w:p>
    <w:bookmarkEnd w:id="100"/>
    <w:bookmarkStart w:id="101" w:name="ref-stan_development_team_stan_2019"/>
    <w:p>
      <w:pPr>
        <w:pStyle w:val="Bibliography"/>
      </w:pPr>
      <w:r>
        <w:t xml:space="preserve">60.</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01"/>
    <w:bookmarkStart w:id="102" w:name="ref-stokes_introduction_1968"/>
    <w:p>
      <w:pPr>
        <w:pStyle w:val="Bibliography"/>
      </w:pPr>
      <w:r>
        <w:t xml:space="preserve">61.</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 (</w:t>
      </w:r>
      <w:r>
        <w:t xml:space="preserve">University of Arizona Press</w:t>
      </w:r>
      <w:r>
        <w:t xml:space="preserve">, 1968).</w:t>
      </w:r>
    </w:p>
    <w:bookmarkEnd w:id="102"/>
    <w:bookmarkStart w:id="103" w:name="ref-alexander_potential_2019"/>
    <w:p>
      <w:pPr>
        <w:pStyle w:val="Bibliography"/>
      </w:pPr>
      <w:r>
        <w:t xml:space="preserve">62.</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03"/>
    <w:bookmarkStart w:id="104" w:name="ref-dye_comparing_2016"/>
    <w:p>
      <w:pPr>
        <w:pStyle w:val="Bibliography"/>
      </w:pPr>
      <w:r>
        <w:t xml:space="preserve">63.</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04"/>
    <w:bookmarkStart w:id="105" w:name="ref-maxwell_sampling_2020"/>
    <w:p>
      <w:pPr>
        <w:pStyle w:val="Bibliography"/>
      </w:pPr>
      <w:r>
        <w:t xml:space="preserve">64.</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05"/>
    <w:bookmarkStart w:id="107" w:name="ref-cook_methods_1990"/>
    <w:p>
      <w:pPr>
        <w:pStyle w:val="Bibliography"/>
      </w:pPr>
      <w:r>
        <w:t xml:space="preserve">65.</w:t>
      </w:r>
      <w:r>
        <w:t xml:space="preserve"> </w:t>
      </w:r>
      <w:r>
        <w:t xml:space="preserve">	</w:t>
      </w:r>
      <w:r>
        <w:rPr>
          <w:iCs/>
          <w:i/>
        </w:rPr>
        <w:t xml:space="preserve">Methods of</w:t>
      </w:r>
      <w:r>
        <w:rPr>
          <w:iCs/>
          <w:i/>
        </w:rPr>
        <w:t xml:space="preserve"> </w:t>
      </w:r>
      <w:r>
        <w:rPr>
          <w:iCs/>
          <w:i/>
        </w:rPr>
        <w:t xml:space="preserve">Dendrochronology</w:t>
      </w:r>
      <w:r>
        <w:rPr>
          <w:iCs/>
          <w:i/>
        </w:rPr>
        <w:t xml:space="preserve">: Applications in the</w:t>
      </w:r>
      <w:r>
        <w:rPr>
          <w:iCs/>
          <w:i/>
        </w:rPr>
        <w:t xml:space="preserve"> </w:t>
      </w:r>
      <w:r>
        <w:rPr>
          <w:iCs/>
          <w:i/>
        </w:rPr>
        <w:t xml:space="preserve">Environmental Sciences</w:t>
      </w:r>
      <w:r>
        <w:t xml:space="preserve">. (</w:t>
      </w:r>
      <w:r>
        <w:t xml:space="preserve">Springer Netherlands</w:t>
      </w:r>
      <w:r>
        <w:t xml:space="preserve">, 1990). doi:</w:t>
      </w:r>
      <w:hyperlink r:id="rId106">
        <w:r>
          <w:rPr>
            <w:rStyle w:val="Hyperlink"/>
          </w:rPr>
          <w:t xml:space="preserve">10.1007/978-94-015-7879-0</w:t>
        </w:r>
      </w:hyperlink>
      <w:r>
        <w:t xml:space="preserve">.</w:t>
      </w:r>
    </w:p>
    <w:bookmarkEnd w:id="107"/>
    <w:bookmarkStart w:id="108" w:name="ref-cook_time_1985"/>
    <w:p>
      <w:pPr>
        <w:pStyle w:val="Bibliography"/>
      </w:pPr>
      <w:r>
        <w:t xml:space="preserve">66.</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08"/>
    <w:bookmarkStart w:id="109" w:name="ref-cook_calculating_1997"/>
    <w:p>
      <w:pPr>
        <w:pStyle w:val="Bibliography"/>
      </w:pPr>
      <w:r>
        <w:t xml:space="preserve">67.</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09"/>
    <w:bookmarkStart w:id="110" w:name="ref-jones_estimating_1997"/>
    <w:p>
      <w:pPr>
        <w:pStyle w:val="Bibliography"/>
      </w:pPr>
      <w:r>
        <w:t xml:space="preserve">68.</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10"/>
    <w:bookmarkStart w:id="111" w:name="ref-bunn_dendrochronology_2008"/>
    <w:p>
      <w:pPr>
        <w:pStyle w:val="Bibliography"/>
      </w:pPr>
      <w:r>
        <w:t xml:space="preserve">69.</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11"/>
    <w:bookmarkStart w:id="112" w:name="ref-zang_dendroclimatic_2013"/>
    <w:p>
      <w:pPr>
        <w:pStyle w:val="Bibliography"/>
      </w:pPr>
      <w:r>
        <w:t xml:space="preserve">70.</w:t>
      </w:r>
      <w:r>
        <w:t xml:space="preserve"> </w:t>
      </w:r>
      <w:r>
        <w:t xml:space="preserve">	</w:t>
      </w:r>
      <w:r>
        <w:t xml:space="preserve">Zang, C. &amp; Biondi, F. Dendroclimatic calibration in</w:t>
      </w:r>
      <w:r>
        <w:t xml:space="preserve"> </w:t>
      </w:r>
      <w:r>
        <w:t xml:space="preserve">R</w:t>
      </w:r>
      <w:r>
        <w:t xml:space="preserve">: The</w:t>
      </w:r>
      <w:r>
        <w:t xml:space="preserve"> </w:t>
      </w:r>
      <w:r>
        <w:t xml:space="preserve">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12"/>
    <w:bookmarkStart w:id="113" w:name="ref-biondi_dendroclim2002_2004"/>
    <w:p>
      <w:pPr>
        <w:pStyle w:val="Bibliography"/>
      </w:pPr>
      <w:r>
        <w:t xml:space="preserve">71.</w:t>
      </w:r>
      <w:r>
        <w:t xml:space="preserve"> </w:t>
      </w:r>
      <w:r>
        <w:t xml:space="preserve">	</w:t>
      </w:r>
      <w:r>
        <w:t xml:space="preserve">Biondi, F. &amp; Waikul, K.</w:t>
      </w:r>
      <w:r>
        <w:t xml:space="preserve"> </w:t>
      </w:r>
      <w:r>
        <w:t xml:space="preserve">DENDROCLIM2002</w:t>
      </w:r>
      <w:r>
        <w:t xml:space="preserve"> </w:t>
      </w:r>
      <w:r>
        <w:t xml:space="preserve">: A</w:t>
      </w:r>
      <w:r>
        <w:t xml:space="preserve"> </w:t>
      </w:r>
      <w:r>
        <w:t xml:space="preserve">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13"/>
    <w:bookmarkEnd w:id="114"/>
    <w:bookmarkEnd w:id="115"/>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106" Target="https://doi.org/10.1007/978-94-015-7879-0" TargetMode="External" /><Relationship Type="http://schemas.openxmlformats.org/officeDocument/2006/relationships/hyperlink" Id="rId40" Target="https://doi.org/10.1073/pnas.2002713117" TargetMode="External" /><Relationship Type="http://schemas.openxmlformats.org/officeDocument/2006/relationships/hyperlink" Id="rId60" Target="https://doi.org/10.1093/treephys/tpab101" TargetMode="External" /><Relationship Type="http://schemas.openxmlformats.org/officeDocument/2006/relationships/hyperlink" Id="rId83" Target="https://doi.org/10.1111/gcb.15574" TargetMode="External" /><Relationship Type="http://schemas.openxmlformats.org/officeDocument/2006/relationships/hyperlink" Id="rId89" Target="https://doi.org/10.5067/MODIS/MCD12Q2.006" TargetMode="External" /><Relationship Type="http://schemas.openxmlformats.org/officeDocument/2006/relationships/hyperlink" Id="rId91" Target="https://doi.org/10.5281/ZENODO.4041609" TargetMode="External" /><Relationship Type="http://schemas.openxmlformats.org/officeDocument/2006/relationships/hyperlink" Id="rId94" Target="https://doi.org/10.6073/PASTA/213335F5DAA17222A738C105B9FA60C4" TargetMode="External" /><Relationship Type="http://schemas.openxmlformats.org/officeDocument/2006/relationships/hyperlink" Id="rId96"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106" Target="https://doi.org/10.1007/978-94-015-7879-0" TargetMode="External" /><Relationship Type="http://schemas.openxmlformats.org/officeDocument/2006/relationships/hyperlink" Id="rId40" Target="https://doi.org/10.1073/pnas.2002713117" TargetMode="External" /><Relationship Type="http://schemas.openxmlformats.org/officeDocument/2006/relationships/hyperlink" Id="rId60" Target="https://doi.org/10.1093/treephys/tpab101" TargetMode="External" /><Relationship Type="http://schemas.openxmlformats.org/officeDocument/2006/relationships/hyperlink" Id="rId83" Target="https://doi.org/10.1111/gcb.15574" TargetMode="External" /><Relationship Type="http://schemas.openxmlformats.org/officeDocument/2006/relationships/hyperlink" Id="rId89" Target="https://doi.org/10.5067/MODIS/MCD12Q2.006" TargetMode="External" /><Relationship Type="http://schemas.openxmlformats.org/officeDocument/2006/relationships/hyperlink" Id="rId91" Target="https://doi.org/10.5281/ZENODO.4041609" TargetMode="External" /><Relationship Type="http://schemas.openxmlformats.org/officeDocument/2006/relationships/hyperlink" Id="rId94" Target="https://doi.org/10.6073/PASTA/213335F5DAA17222A738C105B9FA60C4" TargetMode="External" /><Relationship Type="http://schemas.openxmlformats.org/officeDocument/2006/relationships/hyperlink" Id="rId96"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2021-11-16T17:06:04Z</dcterms:created>
  <dcterms:modified xsi:type="dcterms:W3CDTF">2021-11-16T17:06:04Z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