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bCs/>
          <w:b/>
        </w:rPr>
        <w:t xml:space="preserve">;</w:t>
      </w:r>
      <w:r>
        <w:rPr>
          <w:vertAlign w:val="superscript"/>
          <w:bCs/>
          <w:b/>
        </w:rPr>
        <w:t xml:space="preserve">7</w:t>
      </w:r>
      <w:r>
        <w:rPr>
          <w:bCs/>
          <w:b/>
        </w:rPr>
        <w:t xml:space="preserve">;</w:t>
      </w:r>
      <w:r>
        <w:rPr>
          <w:bCs/>
          <w:b/>
        </w:rPr>
        <w:t xml:space="preserve">;</w:t>
      </w:r>
      <w:r>
        <w:rPr>
          <w:vertAlign w:val="superscript"/>
          <w:bCs/>
          <w:b/>
        </w:rPr>
        <w:t xml:space="preserve">1</w:t>
      </w:r>
      <w:r>
        <w:rPr>
          <w:bCs/>
          <w:b/>
        </w:rPr>
        <w:t xml:space="preserve">;</w:t>
      </w:r>
      <w:r>
        <w:rPr>
          <w:vertAlign w:val="superscript"/>
          <w:bCs/>
          <w:b/>
        </w:rPr>
        <w:t xml:space="preserve">4</w:t>
      </w:r>
      <w:r>
        <w:rPr>
          <w:bCs/>
          <w:b/>
        </w:rPr>
        <w:t xml:space="preserve">;</w:t>
      </w:r>
      <w:r>
        <w:rPr>
          <w:vertAlign w:val="superscript"/>
          <w:bCs/>
          <w:b/>
        </w:rPr>
        <w:t xml:space="preserve">5</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 peak canopy greenness (Extended Data Figure 2)</w:t>
      </w:r>
      <w:r>
        <w:rPr>
          <w:vertAlign w:val="superscript"/>
        </w:rPr>
        <w:t xml:space="preserve">4,35</w:t>
      </w:r>
      <w:r>
        <w:t xml:space="preserve">, is likely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high</w:t>
      </w:r>
      <w:r>
        <w:t xml:space="preserve"> </w:t>
      </w:r>
      <m:oMath>
        <m:sSub>
          <m:e>
            <m:r>
              <m:t>T</m:t>
            </m:r>
          </m:e>
          <m:sub>
            <m:r>
              <m:t>m</m:t>
            </m:r>
            <m:r>
              <m:t>a</m:t>
            </m:r>
            <m:r>
              <m:t>x</m:t>
            </m:r>
          </m:sub>
        </m:sSub>
      </m:oMath>
      <w:r>
        <w:t xml:space="preserve"> </w:t>
      </w:r>
      <w:r>
        <w:t xml:space="preserve">during the peak growing season</w:t>
      </w:r>
      <w:r>
        <w:rPr>
          <w:vertAlign w:val="superscript"/>
        </w:rPr>
        <w:t xml:space="preserve">35,37</w:t>
      </w:r>
      <w:r>
        <w:t xml:space="preserve">.</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25,34,35</w:t>
      </w:r>
      <w:r>
        <w:t xml:space="preserve"> </w:t>
      </w:r>
      <w:r>
        <w:t xml:space="preserve">and with parallel findings for NEE</w:t>
      </w:r>
      <w:r>
        <w:rPr>
          <w:vertAlign w:val="superscript"/>
        </w:rPr>
        <w:t xml:space="preserve">11,12</w:t>
      </w:r>
      <w:r>
        <w:t xml:space="preserve">.</w:t>
      </w:r>
      <w:r>
        <w:t xml:space="preserve"> </w:t>
      </w:r>
      <w:r>
        <w:t xml:space="preserve">However, there is also a disconnect with findings that NEE is at least modestly greater in years with warm springs</w:t>
      </w:r>
      <w:r>
        <w:rPr>
          <w:vertAlign w:val="superscript"/>
        </w:rPr>
        <w:t xml:space="preserve">2</w:t>
      </w:r>
      <w:r>
        <w:t xml:space="preserve"> </w:t>
      </w:r>
      <w:r>
        <w:t xml:space="preserve">or long growing seasons</w:t>
      </w:r>
      <w:r>
        <w:rPr>
          <w:vertAlign w:val="superscript"/>
        </w:rPr>
        <w:t xml:space="preserve">4,11,12</w:t>
      </w:r>
      <w:r>
        <w:t xml:space="preserve">.</w:t>
      </w:r>
      <w:r>
        <w:t xml:space="preserve"> </w:t>
      </w:r>
      <w:r>
        <w:t xml:space="preserve"> </w:t>
      </w:r>
      <w:r>
        <w:t xml:space="preserve">We show that the extra C fixation in years with warm springs does not substantially augment stem diameter growth in the current or following year (Extended Data Figure 7).</w:t>
      </w:r>
    </w:p>
    <w:p>
      <w:pPr>
        <w:pStyle w:val="BodyText"/>
      </w:pPr>
      <w:r>
        <w:t xml:space="preserve">Although stem diameter increments are routinely used to calculate</w:t>
      </w:r>
      <w:r>
        <w:t xml:space="preserve"> </w:t>
      </w:r>
      <m:oMath>
        <m:r>
          <m:t>A</m:t>
        </m:r>
        <m:r>
          <m:t>N</m:t>
        </m:r>
        <m:r>
          <m:t>P</m:t>
        </m:r>
        <m:sSub>
          <m:e>
            <m:r>
              <m:t>P</m:t>
            </m:r>
          </m:e>
          <m:sub>
            <m:r>
              <m:t>w</m:t>
            </m:r>
            <m:r>
              <m:t>o</m:t>
            </m:r>
            <m:r>
              <m:t>o</m:t>
            </m:r>
            <m:r>
              <m:t>d</m:t>
            </m:r>
            <m:r>
              <m:t>y</m:t>
            </m:r>
          </m:sub>
        </m:sSub>
      </m:oMath>
      <w:r>
        <w:t xml:space="preserve">, stem volume growth does not directly translate into C content, but rather can be partially decoupled through differences in wood density or C content</w:t>
      </w:r>
      <w:r>
        <w:rPr>
          <w:vertAlign w:val="superscript"/>
        </w:rPr>
        <w:t xml:space="preserve">25</w:t>
      </w:r>
      <w:r>
        <w:t xml:space="preserve">.</w:t>
      </w:r>
      <w:r>
        <w:br/>
      </w:r>
      <w:r>
        <w:t xml:space="preserve">Thus, 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2022-03-12T13:57:20Z</dcterms:created>
  <dcterms:modified xsi:type="dcterms:W3CDTF">2022-03-12T13:57:20Z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