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r>
        <w:t xml:space="preserve"> </w:t>
      </w:r>
      <w:r>
        <w:rPr>
          <w:iCs/>
          <w:i/>
        </w:rPr>
        <w:t xml:space="preserve">/annual increments</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bookmarkStart w:id="32" w:name="summary-paragraph"/>
    <w:p>
      <w:pPr>
        <w:pStyle w:val="Heading1"/>
      </w:pPr>
      <w:r>
        <w:rPr>
          <w:rStyle w:val="SectionNumber"/>
        </w:rPr>
        <w:t xml:space="preserve">1</w:t>
      </w:r>
      <w:r>
        <w:tab/>
      </w:r>
      <w:r>
        <w:t xml:space="preserve">(Summary paragraph)</w:t>
      </w:r>
    </w:p>
    <w:p>
      <w:pPr>
        <w:pStyle w:val="FirstParagraph"/>
      </w:pPr>
      <w:r>
        <w:t xml:space="preserve">(</w:t>
      </w:r>
      <w:r>
        <w:rPr>
          <w:iCs/>
          <w:i/>
        </w:rPr>
        <w:t xml:space="preserve">word limit 200 - this is currently way too long.</w:t>
      </w:r>
      <w:r>
        <w:t xml:space="preserve">)</w:t>
      </w:r>
    </w:p>
    <w:p>
      <w:pPr>
        <w:pStyle w:val="BodyText"/>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consumes only a modest portion of the carbon fixed annually</w:t>
      </w:r>
      <w:r>
        <w:rPr>
          <w:vertAlign w:val="superscript"/>
        </w:rPr>
        <w:t xml:space="preserve">12</w:t>
      </w:r>
      <w:r>
        <w:t xml:space="preserve"> </w:t>
      </w:r>
      <w:r>
        <w:t xml:space="preserve">but sequesters that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temperate deciduous forests, warmer maximum spring temperatures consistently shifted woody growth milestones earlier but had mixed, weak effects on peak growing season length, maximum daily growth rates, and annual growth.</w:t>
      </w:r>
      <w:r>
        <w:t xml:space="preserve"> </w:t>
      </w:r>
      <w:r>
        <w:t xml:space="preserve">The latter finding is confirmed on the centennial scale by 208 tree-ring chronologies from 108 deciduous forests across eastern North America, which show that annual growth is by far more sensitive and generally negatively impacted by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the long-lived woody biomass C pool and is therefore unlikely to have a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Cs/>
          <w:i/>
        </w:rPr>
        <w:t xml:space="preserve">removed from abstract; to integrate elsewhere:</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Cs/>
          <w:i/>
        </w:rPr>
        <w:t xml:space="preserve">in most models</w:t>
      </w:r>
      <w:r>
        <w:rPr>
          <w:vertAlign w:val="superscript"/>
          <w:iCs/>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Cs/>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20</w:t>
      </w:r>
      <w:r>
        <w:t xml:space="preserve"> </w:t>
      </w:r>
      <w:r>
        <w:t xml:space="preserve">and sometimes later autumn senesence</w:t>
      </w:r>
      <w:r>
        <w:rPr>
          <w:vertAlign w:val="superscript"/>
        </w:rPr>
        <w:t xml:space="preserve">1</w:t>
      </w:r>
      <w: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w:t>
      </w:r>
      <w:r>
        <w:rPr>
          <w:vertAlign w:val="superscript"/>
        </w:rPr>
        <w:t xml:space="preserve">2,21,</w:t>
      </w:r>
      <w:r>
        <w:rPr>
          <w:bCs/>
          <w:b/>
          <w:vertAlign w:val="superscript"/>
        </w:rPr>
        <w:t xml:space="preserve">barichivich_large-scale_2013?</w:t>
      </w:r>
      <w:r>
        <w:t xml:space="preserve"> </w:t>
      </w:r>
      <w:r>
        <w:t xml:space="preserve">Warmer spring temperatures and earlier leaf-out are also linked to earlier leaf senescence</w:t>
      </w:r>
      <w:r>
        <w:rPr>
          <w:vertAlign w:val="superscript"/>
        </w:rPr>
        <w:t xml:space="preserve">17,22</w:t>
      </w:r>
      <w:r>
        <w:t xml:space="preserve">, apparently because of sink-limitation to CO</w:t>
      </w:r>
      <w:r>
        <w:rPr>
          <w:vertAlign w:val="subscript"/>
        </w:rPr>
        <w:t xml:space="preserve">2</w:t>
      </w:r>
      <w:r>
        <w:t xml:space="preserve"> </w:t>
      </w:r>
      <w:r>
        <w:t xml:space="preserve">sequestration</w:t>
      </w:r>
      <w:r>
        <w:rPr>
          <w:vertAlign w:val="superscript"/>
        </w:rPr>
        <w:t xml:space="preserve">18</w:t>
      </w:r>
      <w:r>
        <w:t xml:space="preserve">.</w:t>
      </w:r>
      <w:r>
        <w:t xml:space="preserve"> </w:t>
      </w:r>
      <w:r>
        <w:t xml:space="preserve">However, warmer summer and autumn temperatures can delay leaf senescence</w:t>
      </w:r>
      <w:r>
        <w:rPr>
          <w:vertAlign w:val="superscript"/>
        </w:rPr>
        <w:t xml:space="preserve">1,6,8,9,17,23</w:t>
      </w:r>
      <w:r>
        <w:t xml:space="preserve">, and as a result warming may advance or delay autumn senescence, with delays more common across eastern North America.</w:t>
      </w:r>
      <w:r>
        <w:rPr>
          <w:vertAlign w:val="superscript"/>
        </w:rPr>
        <w:t xml:space="preserve">3</w:t>
      </w:r>
      <w:r>
        <w:t xml:space="preserve"> </w:t>
      </w:r>
      <w:r>
        <w:t xml:space="preserve">The net result is that spring warming generally results in an increased growing season length, measured as the period over which trees have photosynthetically active leaves</w:t>
      </w:r>
      <w:r>
        <w:rPr>
          <w:vertAlign w:val="superscript"/>
        </w:rPr>
        <w:t xml:space="preserve">1,1,4–6</w:t>
      </w:r>
      <w:r>
        <w:t xml:space="preserve"> </w:t>
      </w:r>
      <w:r>
        <w:t xml:space="preserve">and the ecosystem is a net CO</w:t>
      </w:r>
      <w:r>
        <w:rPr>
          <w:vertAlign w:val="subscript"/>
        </w:rPr>
        <w:t xml:space="preserve">2</w:t>
      </w:r>
      <w:r>
        <w:t xml:space="preserve"> </w:t>
      </w:r>
      <w:r>
        <w:t xml:space="preserve">sink (Are flux sources used above ok to put here?).</w:t>
      </w:r>
      <w:r>
        <w:rPr>
          <w:vertAlign w:val="superscript"/>
        </w:rPr>
        <w:t xml:space="preserve">2,21,</w:t>
      </w:r>
      <w:r>
        <w:rPr>
          <w:bCs/>
          <w:b/>
          <w:vertAlign w:val="superscript"/>
        </w:rPr>
        <w:t xml:space="preserve">barichivich_large-scale_2013?</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1">
        <w:r>
          <w:rPr>
            <w:rStyle w:val="Hyperlink"/>
          </w:rPr>
          <w:t xml:space="preserve">this expectation is represented in models</w:t>
        </w:r>
      </w:hyperlink>
      <w:r>
        <w:t xml:space="preserve">.</w:t>
      </w:r>
      <w:r>
        <w:rPr>
          <w:vertAlign w:val="superscript"/>
        </w:rPr>
        <w:t xml:space="preserve">3,18</w:t>
      </w:r>
      <w:r>
        <w:t xml:space="preserve"> </w:t>
      </w: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is induced when the seasonal carbon-sink capacities of trees are reached</w:t>
      </w:r>
      <w:r>
        <w:rPr>
          <w:vertAlign w:val="superscript"/>
        </w:rPr>
        <w:t xml:space="preserve">18</w:t>
      </w:r>
      <w:r>
        <w:t xml:space="preserve"> </w:t>
      </w:r>
      <w:r>
        <w:t xml:space="preserve">suggests that warmer spring temperatures and earlier leaf-out could advance autumn senescence and may not have the expected effect on C sequestration.</w:t>
      </w:r>
    </w:p>
    <w:p>
      <w:pPr>
        <w:pStyle w:val="BodyText"/>
      </w:pPr>
      <w:r>
        <w:t xml:space="preserve">Temperate deciduous forests, including those in eastern North America, have historically been net carbon sinks.</w:t>
      </w:r>
      <w:r>
        <w:t xml:space="preserve"> </w:t>
      </w: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Whether the primary effect of global warming will be an increase in forest sink capability though earlier spring leaf up</w:t>
      </w:r>
      <w:r>
        <w:rPr>
          <w:vertAlign w:val="superscript"/>
        </w:rPr>
        <w:t xml:space="preserve">2</w:t>
      </w:r>
      <w:r>
        <w:t xml:space="preserve"> </w:t>
      </w:r>
      <w:r>
        <w:t xml:space="preserve">or if increased respiration following warmer autumns will reduce the effectiveness of spring warming</w:t>
      </w:r>
      <w:r>
        <w:rPr>
          <w:vertAlign w:val="superscript"/>
        </w:rPr>
        <w:t xml:space="preserve">21,</w:t>
      </w:r>
      <w:r>
        <w:rPr>
          <w:bCs/>
          <w:b/>
          <w:vertAlign w:val="superscript"/>
        </w:rPr>
        <w:t xml:space="preserve">barichivich_large-scale_2013?</w:t>
      </w:r>
      <w:r>
        <w:t xml:space="preserve"> </w:t>
      </w:r>
      <w:r>
        <w:t xml:space="preserve">is still debated. In both scenarios, earlier leaf up corresponds to increased C02 sequestration while the sensitivity of photosynthesis compared to respiration in autumn, and the role seasonal water stress plays in this process is the main point of contention.</w:t>
      </w:r>
    </w:p>
    <w:p>
      <w:pPr>
        <w:pStyle w:val="BodyText"/>
      </w:pPr>
      <w:r>
        <w:t xml:space="preserve">We know very little about how the longest-lived component of fixed carbon, the woody growth of trees, is responding to warming spring temperatures.</w:t>
      </w:r>
      <w:r>
        <w:t xml:space="preserve"> </w:t>
      </w:r>
      <w:r>
        <w:t xml:space="preserve">In fact, we know little about the stem-growth phenology of temperate deciduous species, with multi-year records of growth phenology having been published for only one site.</w:t>
      </w:r>
      <w:r>
        <w:rPr>
          <w:bCs/>
          <w:b/>
          <w:vertAlign w:val="superscript"/>
        </w:rPr>
        <w:t xml:space="preserve">doranngeville_radial_inreview?</w:t>
      </w:r>
      <w:r>
        <w:t xml:space="preserve"> </w:t>
      </w:r>
      <w:r>
        <w:rPr>
          <w:iCs/>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27</w:t>
      </w:r>
      <w:r>
        <w:t xml:space="preserve"> </w:t>
      </w:r>
      <w:r>
        <w:t xml:space="preserve">[MORE]).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6" w:name="Dendrometer"/>
    <w:p>
      <w:pPr>
        <w:pStyle w:val="Heading2"/>
      </w:pPr>
      <w:r>
        <w:t xml:space="preserve">Dendrometer band analysis</w:t>
      </w:r>
    </w:p>
    <w:p>
      <w:pPr>
        <w:pStyle w:val="FirstParagraph"/>
      </w:pP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from 2011-2020) and Harvard Forest (Massachusetts; n =</w:t>
      </w:r>
      <w:r>
        <w:t xml:space="preserve"> </w:t>
      </w:r>
      <w:r>
        <w:rPr>
          <w:bCs/>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696234"/>
            <wp:effectExtent b="0" l="0" r="0" t="0"/>
            <wp:docPr descr="Figure 1 | Summary of tree growth changes under warmer spring temperatures. (a) Schematic illustrating parameters of interest and summarizing how each responds to warmer maximum temperatures during a ‘critical temperature window (CT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png" id="0" name="Picture"/>
                    <pic:cNvPicPr>
                      <a:picLocks noChangeArrowheads="1" noChangeAspect="1"/>
                    </pic:cNvPicPr>
                  </pic:nvPicPr>
                  <pic:blipFill>
                    <a:blip r:embed="rId22"/>
                    <a:stretch>
                      <a:fillRect/>
                    </a:stretch>
                  </pic:blipFill>
                  <pic:spPr bwMode="auto">
                    <a:xfrm>
                      <a:off x="0" y="0"/>
                      <a:ext cx="5943600" cy="6696234"/>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 (CTW)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SHOULD WE COMBINE LEAF AND STEM PHENOLOGY ON A SINGLE PLOT WITH SEPARATE Y-AXES? (KAT thinks so) See GitHub Issue #50. )"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w:t>
      </w:r>
      <w:r>
        <w:rPr>
          <w:bCs/>
          <w:b/>
        </w:rPr>
        <w:t xml:space="preserve">SHOULD WE COMBINE LEAF AND STEM PHENOLOGY ON A SINGLE PLOT WITH SEPARATE Y-AXES? (KAT thinks so)</w:t>
      </w:r>
      <w:r>
        <w:t xml:space="preserve"> </w:t>
      </w:r>
      <w:r>
        <w:t xml:space="preserve">See</w:t>
      </w:r>
      <w:r>
        <w:t xml:space="preserve"> </w:t>
      </w:r>
      <w:hyperlink r:id="rId24">
        <w:r>
          <w:rPr>
            <w:rStyle w:val="Hyperlink"/>
          </w:rPr>
          <w:t xml:space="preserve">GitHub Issue #50</w:t>
        </w:r>
      </w:hyperlink>
      <w:r>
        <w:t xml:space="preserve">. )</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 Extended Data Figure 4).</w:t>
      </w:r>
      <w:r>
        <w:t xml:space="preserve"> </w:t>
      </w:r>
      <w:r>
        <w:t xml:space="preserve">Consistent with findings from previous studies</w:t>
      </w:r>
      <w:r>
        <w:rPr>
          <w:vertAlign w:val="superscript"/>
        </w:rPr>
        <w:t xml:space="preserve">20</w:t>
      </w:r>
      <w:r>
        <w:t xml:space="preserve">, at our focal sites the DOYs of leaf greenup and mid-greenup (measured at ecosystem level via remote sensing) advanced significantly with increasing</w:t>
      </w:r>
      <w:r>
        <w:t xml:space="preserve"> </w:t>
      </w:r>
      <m:oMath>
        <m:sSub>
          <m:e>
            <m:r>
              <m:t>T</m:t>
            </m:r>
          </m:e>
          <m:sub>
            <m:r>
              <m:t>m</m:t>
            </m:r>
            <m:r>
              <m:t>a</m:t>
            </m:r>
            <m:r>
              <m:t>x</m:t>
            </m:r>
          </m:sub>
        </m:sSub>
      </m:oMath>
      <w:r>
        <w:t xml:space="preserve"> </w:t>
      </w:r>
      <w:r>
        <w:t xml:space="preserve">during the CTW (p=## and ##, respectively).</w:t>
      </w:r>
      <w:r>
        <w:t xml:space="preserve"> </w:t>
      </w:r>
      <w:r>
        <w:t xml:space="preserve">Specifically,</w:t>
      </w:r>
      <w:r>
        <w:t xml:space="preserve"> </w:t>
      </w:r>
      <w:hyperlink r:id="rId25">
        <w:r>
          <w:rPr>
            <w:rStyle w:val="Hyperlink"/>
          </w:rPr>
          <w:t xml:space="preserve">greenup DOY occurred 21 days earlier at SCBI and 7 days earlier at Harvard Forest when comparing the years with the warmest and coldest CTW</w:t>
        </w:r>
        <w:r>
          <w:rPr>
            <w:rStyle w:val="Hyperlink"/>
          </w:rPr>
          <w:t xml:space="preserve"> </w:t>
        </w:r>
        <m:oMath>
          <m:sSub>
            <m:e>
              <m:r>
                <m:t>T</m:t>
              </m:r>
            </m:e>
            <m:sub>
              <m:r>
                <m:t>m</m:t>
              </m:r>
              <m:r>
                <m:t>a</m:t>
              </m:r>
              <m:r>
                <m:t>x</m:t>
              </m:r>
            </m:sub>
          </m:sSub>
        </m:oMath>
      </w:hyperlink>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r>
              <m:t>g</m:t>
            </m:r>
            <m:r>
              <m:rPr>
                <m:sty m:val="p"/>
              </m:rPr>
              <m:t>.</m:t>
            </m:r>
            <m:r>
              <m:t>m</m:t>
            </m:r>
            <m:r>
              <m:t>a</m:t>
            </m:r>
            <m:r>
              <m:t>x</m:t>
            </m:r>
          </m:sub>
        </m:sSub>
      </m:oMath>
      <w:r>
        <w:t xml:space="preserve"> </w:t>
      </w:r>
      <w:r>
        <w:t xml:space="preserve">at both sites all decreased significantly with CTW</w:t>
      </w:r>
      <w:r>
        <w:t xml:space="preserve"> </w:t>
      </w:r>
      <m:oMath>
        <m:sSub>
          <m:e>
            <m:r>
              <m:t>T</m:t>
            </m:r>
          </m:e>
          <m:sub>
            <m:r>
              <m:t>m</m:t>
            </m:r>
            <m:r>
              <m:t>a</m:t>
            </m:r>
            <m:r>
              <m:t>x</m:t>
            </m:r>
          </m:sub>
        </m:sSub>
      </m:oMath>
      <w:r>
        <w:t xml:space="preserve">, advancing</w:t>
      </w:r>
      <w:r>
        <w:t xml:space="preserve"> </w:t>
      </w:r>
      <w:hyperlink r:id="rId25">
        <w:r>
          <w:rPr>
            <w:rStyle w:val="Hyperlink"/>
          </w:rPr>
          <w:t xml:space="preserve">1-8 days per degree Celsius</w:t>
        </w:r>
      </w:hyperlink>
      <w:r>
        <w:t xml:space="preserve"> </w:t>
      </w:r>
      <w:r>
        <w:t xml:space="preserve">during the CTW (Figs. 1, 2; see also Extended Data Figures Extended Data Figure 4-Extended Data Figure 6).</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springs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 rates.</w:t>
      </w:r>
    </w:p>
    <w:bookmarkEnd w:id="26"/>
    <w:bookmarkStart w:id="29"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responses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COLOR SCALE IS A BIT OFF IN THIS COMPOSITE FIGURE (scales not identical across panels).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w:t>
      </w:r>
      <w:r>
        <w:t xml:space="preserve"> </w:t>
      </w:r>
      <w:r>
        <w:rPr>
          <w:bCs/>
          <w:b/>
        </w:rPr>
        <w:t xml:space="preserve">COLOR SCALE IS A BIT OFF IN THIS COMPOSITE FIGURE (scales not identical across panels).</w:t>
      </w:r>
      <w:r>
        <w:t xml:space="preserve"> </w:t>
      </w:r>
      <w:r>
        <w:t xml:space="preserve">See</w:t>
      </w:r>
      <w:r>
        <w:t xml:space="preserve"> </w:t>
      </w:r>
      <w:hyperlink r:id="rId28">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 208 species at sites distributed from Alabama (Lat = 34.35) to Michigan (Lat = 45.56) and spanning a 15</w:t>
      </w:r>
      <w:r>
        <w:t xml:space="preserve"> </w:t>
      </w:r>
      <m:oMath>
        <m:sSup>
          <m:e>
            <m:r>
              <m:t>​</m:t>
            </m:r>
          </m:e>
          <m:sup>
            <m:r>
              <m:rPr>
                <m:sty m:val="p"/>
              </m:rPr>
              <m:t>∘</m:t>
            </m:r>
          </m:sup>
        </m:sSup>
      </m:oMath>
      <w:r>
        <w:t xml:space="preserve">C range in CTW.</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or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9"/>
    <w:bookmarkStart w:id="31"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possibile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accompanied by little change in growth rate (</w:t>
      </w:r>
      <m:oMath>
        <m:sSub>
          <m:e>
            <m:r>
              <m:t>g</m:t>
            </m:r>
          </m:e>
          <m:sub>
            <m:r>
              <m:t>m</m:t>
            </m:r>
            <m:r>
              <m:t>a</m:t>
            </m:r>
            <m:r>
              <m:t>x</m:t>
            </m:r>
          </m:sub>
        </m:sSub>
      </m:oMath>
      <w:r>
        <w:t xml:space="preserve">) results in an earlier end to the season of rapid growth (</w:t>
      </w:r>
      <m:oMath>
        <m:r>
          <m:t>D</m:t>
        </m:r>
        <m:r>
          <m:t>O</m:t>
        </m:r>
        <m:sSub>
          <m:e>
            <m:r>
              <m:t>Y</m:t>
            </m:r>
          </m:e>
          <m:sub>
            <m:r>
              <m:t>75</m:t>
            </m:r>
          </m:sub>
        </m:sSub>
      </m:oMath>
      <w:r>
        <w:t xml:space="preserve">).</w:t>
      </w:r>
      <w:r>
        <w:t xml:space="preserve"> </w:t>
      </w:r>
      <w:r>
        <w:t xml:space="preserve">Alternatively, warm springs may be associated with greater seasonal water stress, effectively canceling out any positive effects of an extended growing period.</w:t>
      </w:r>
      <w:r>
        <w:rPr>
          <w:vertAlign w:val="superscript"/>
        </w:rPr>
        <w:t xml:space="preserve">3</w:t>
      </w:r>
    </w:p>
    <w:p>
      <w:pPr>
        <w:pStyle w:val="BodyText"/>
      </w:pPr>
      <w:r>
        <w:t xml:space="preserve">However, spring warming at SCBI in the study years used here did not result in increased summer water stress (SPEI; Supp(?) SPEI Figure). This suggests that even when warmer springs are not associated with greater seasonal water stress, the lack of increased stem growth still prevails.</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negligable increase of ring-width (supp (?) rw_drought_plot).</w:t>
      </w:r>
      <w:r>
        <w:br/>
      </w:r>
      <w:r>
        <w:t xml:space="preserve">It is possible that an earlier start to the growing season may provide some buffer against drought later in the growing season</w:t>
      </w:r>
      <w:r>
        <w:rPr>
          <w:vertAlign w:val="superscript"/>
        </w:rPr>
        <w:t xml:space="preserve">31</w:t>
      </w:r>
      <w:r>
        <w:t xml:space="preserve">, potentially contributing to observed trends of declining drought sensitivity in the region</w:t>
      </w:r>
      <w:r>
        <w:rPr>
          <w:vertAlign w:val="superscript"/>
        </w:rPr>
        <w:t xml:space="preserve">27,32</w:t>
      </w:r>
      <w:r>
        <w:t xml:space="preserve">.</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r>
        <w:t xml:space="preserve"> </w:t>
      </w: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27</w:t>
      </w:r>
      <w:r>
        <w:t xml:space="preserve"> </w:t>
      </w:r>
      <w:r>
        <w:rPr>
          <w:iCs/>
          <w:i/>
        </w:rPr>
        <w:t xml:space="preserve">we can easily test this:</w:t>
      </w:r>
      <w:r>
        <w:rPr>
          <w:iCs/>
          <w:i/>
        </w:rPr>
        <w:t xml:space="preserve"> </w:t>
      </w:r>
      <w:hyperlink r:id="rId30">
        <w:r>
          <w:rPr>
            <w:rStyle w:val="Hyperlink"/>
            <w:iCs/>
            <w:i/>
          </w:rPr>
          <w:t xml:space="preserve">GitHub issue 57</w:t>
        </w:r>
      </w:hyperlink>
      <w:r>
        <w:rPr>
          <w:iCs/>
          <w:i/>
        </w:rP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bCs/>
          <w:b/>
        </w:rPr>
        <w:t xml:space="preserve">REFS?</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1">
        <w:r>
          <w:rPr>
            <w:rStyle w:val="Hyperlink"/>
            <w:iCs/>
            <w:i/>
          </w:rPr>
          <w:t xml:space="preserve">GitHub issue 56 on representation in models</w:t>
        </w:r>
      </w:hyperlink>
      <w:r>
        <w:t xml:space="preserve">)</w:t>
      </w:r>
      <w:r>
        <w:t xml:space="preserve"> </w:t>
      </w:r>
      <w:r>
        <w:t xml:space="preserve">m</w:t>
      </w:r>
    </w:p>
    <w:bookmarkEnd w:id="31"/>
    <w:bookmarkEnd w:id="32"/>
    <w:bookmarkStart w:id="45"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3"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bookmarkEnd w:id="33"/>
    <w:bookmarkStart w:id="41" w:name="Data"/>
    <w:p>
      <w:pPr>
        <w:pStyle w:val="Heading2"/>
      </w:pPr>
      <w:r>
        <w:t xml:space="preserve">Data collection and preparation</w:t>
      </w:r>
    </w:p>
    <w:bookmarkStart w:id="34"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 respectively.</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shrubs and herbs was observed, with the earliest start date being March 30, 2020. Measurements were continued through to fall leaf senescence, with the median end date being 10/17 and the latest end date was November 26, 2012.</w:t>
      </w:r>
      <w:r>
        <w:t xml:space="preserve"> </w:t>
      </w:r>
      <w:r>
        <w:t xml:space="preserve">Timing of measurements at Harvard Forest was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followed by normal growth pattern, this was assumed to be a case where the band was stuck and then released. In these cases, the full annual record for the tree was removed.</w:t>
      </w:r>
      <w:r>
        <w:t xml:space="preserve"> </w:t>
      </w:r>
      <w:r>
        <w:t xml:space="preserve">Third, there were cases where data were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We fit the model of</w:t>
      </w:r>
      <w:r>
        <w:rPr>
          <w:vertAlign w:val="superscript"/>
        </w:rP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28</w:t>
      </w:r>
      <w:r>
        <w:t xml:space="preserve"> </w:t>
      </w:r>
      <w:r>
        <w:t xml:space="preserve">model, we used a script to remove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was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4"/>
    <w:bookmarkStart w:id="36" w:name="leaf-phenology"/>
    <w:p>
      <w:pPr>
        <w:pStyle w:val="Heading3"/>
      </w:pPr>
      <w:r>
        <w:rPr>
          <w:rStyle w:val="SectionNumber"/>
        </w:rPr>
        <w:t xml:space="preserve">1.0.1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5">
        <w:r>
          <w:rPr>
            <w:rStyle w:val="Hyperlink"/>
          </w:rPr>
          <w:t xml:space="preserve">https://developers.google.com/earth-engine/datasets/catalog/MODIS_006_MCD12Q2#description</w:t>
        </w:r>
      </w:hyperlink>
    </w:p>
    <w:bookmarkEnd w:id="36"/>
    <w:bookmarkStart w:id="37"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27</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38</w:t>
      </w:r>
      <w:r>
        <w:t xml:space="preserve"> and trees found newly dead in annual tree mortality in 2016 and 2017.</w:t>
      </w:r>
      <w:r>
        <w:rPr>
          <w:vertAlign w:val="superscript"/>
        </w:rPr>
        <w:t xml:space="preserve">27</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29</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7"/>
    <w:bookmarkStart w:id="40"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8">
        <w:r>
          <w:rPr>
            <w:rStyle w:val="Hyperlink"/>
          </w:rPr>
          <w:t xml:space="preserve">https://forestgeo.github.io/Climate/</w:t>
        </w:r>
      </w:hyperlink>
      <w:r>
        <w:t xml:space="preserve">;].</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9">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again via the ForestGEO Climate Data Portal v1.0.</w:t>
      </w:r>
      <w:r>
        <w:rPr>
          <w:vertAlign w:val="superscript"/>
        </w:rPr>
        <w:t xml:space="preserve">43</w:t>
      </w:r>
    </w:p>
    <w:bookmarkEnd w:id="40"/>
    <w:bookmarkEnd w:id="41"/>
    <w:bookmarkStart w:id="44" w:name="analyses"/>
    <w:p>
      <w:pPr>
        <w:pStyle w:val="Heading2"/>
      </w:pPr>
      <w:r>
        <w:rPr>
          <w:rStyle w:val="SectionNumber"/>
        </w:rPr>
        <w:t xml:space="preserve">1.1</w:t>
      </w:r>
      <w:r>
        <w:tab/>
      </w:r>
      <w:r>
        <w:t xml:space="preserve">Analyses</w:t>
      </w:r>
    </w:p>
    <w:bookmarkStart w:id="42"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Determining the climate variables that most strongly control all parameters is beyond the scope of this analysis.</w:t>
      </w:r>
    </w:p>
    <w:bookmarkEnd w:id="42"/>
    <w:bookmarkStart w:id="43"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3"/>
    <w:bookmarkEnd w:id="44"/>
    <w:bookmarkEnd w:id="45"/>
    <w:bookmarkStart w:id="46"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6"/>
    <w:bookmarkStart w:id="47" w:name="Author"/>
    <w:p>
      <w:pPr>
        <w:pStyle w:val="Heading1"/>
      </w:pPr>
      <w:r>
        <w:t xml:space="preserve">Author Contributions</w:t>
      </w:r>
    </w:p>
    <w:bookmarkEnd w:id="47"/>
    <w:bookmarkStart w:id="48"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8"/>
    <w:bookmarkStart w:id="101" w:name="References"/>
    <w:p>
      <w:pPr>
        <w:pStyle w:val="Heading1"/>
      </w:pPr>
      <w:r>
        <w:t xml:space="preserve">References</w:t>
      </w:r>
    </w:p>
    <w:bookmarkStart w:id="100" w:name="refs"/>
    <w:bookmarkStart w:id="49"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9"/>
    <w:bookmarkStart w:id="50"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0"/>
    <w:bookmarkStart w:id="51"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1"/>
    <w:bookmarkStart w:id="52"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2"/>
    <w:bookmarkStart w:id="53"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3"/>
    <w:bookmarkStart w:id="54"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4"/>
    <w:bookmarkStart w:id="55"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1" w:name="ref-anderson-teixeira_carbon_2021"/>
    <w:p>
      <w:pPr>
        <w:pStyle w:val="Bibliography"/>
      </w:pPr>
      <w:r>
        <w:t xml:space="preserve">12.</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60">
        <w:r>
          <w:rPr>
            <w:rStyle w:val="Hyperlink"/>
          </w:rPr>
          <w:t xml:space="preserve">10.1088/1748-9326/abed01</w:t>
        </w:r>
      </w:hyperlink>
      <w:r>
        <w:t xml:space="preserve">.</w:t>
      </w:r>
    </w:p>
    <w:bookmarkEnd w:id="61"/>
    <w:bookmarkStart w:id="62" w:name="ref-xue_global_2017"/>
    <w:p>
      <w:pPr>
        <w:pStyle w:val="Bibliography"/>
      </w:pPr>
      <w:r>
        <w:t xml:space="preserve">13.</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14.</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3"/>
    <w:bookmarkStart w:id="64" w:name="ref-profft_forest_2009"/>
    <w:p>
      <w:pPr>
        <w:pStyle w:val="Bibliography"/>
      </w:pPr>
      <w:r>
        <w:t xml:space="preserve">15.</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4"/>
    <w:bookmarkStart w:id="65" w:name="ref-zhang_drought_2021"/>
    <w:p>
      <w:pPr>
        <w:pStyle w:val="Bibliography"/>
      </w:pPr>
      <w:r>
        <w:t xml:space="preserve">16.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5"/>
    <w:bookmarkStart w:id="66" w:name="ref-zohner_ongoing_2019"/>
    <w:p>
      <w:pPr>
        <w:pStyle w:val="Bibliography"/>
      </w:pPr>
      <w:r>
        <w:t xml:space="preserve">17.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6"/>
    <w:bookmarkStart w:id="67" w:name="ref-zani_increased_2020"/>
    <w:p>
      <w:pPr>
        <w:pStyle w:val="Bibliography"/>
      </w:pPr>
      <w:r>
        <w:t xml:space="preserve">18.</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8"/>
    <w:bookmarkStart w:id="69"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9"/>
    <w:bookmarkStart w:id="70" w:name="ref-piao_net_2008"/>
    <w:p>
      <w:pPr>
        <w:pStyle w:val="Bibliography"/>
      </w:pPr>
      <w:r>
        <w:t xml:space="preserve">21.</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70"/>
    <w:bookmarkStart w:id="71"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1"/>
    <w:bookmarkStart w:id="72"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2"/>
    <w:bookmarkStart w:id="73" w:name="ref-churkina_spatial_2005"/>
    <w:p>
      <w:pPr>
        <w:pStyle w:val="Bibliography"/>
      </w:pPr>
      <w:r>
        <w:t xml:space="preserve">24.</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3"/>
    <w:bookmarkStart w:id="74" w:name="ref-arora_carbon_2020"/>
    <w:p>
      <w:pPr>
        <w:pStyle w:val="Bibliography"/>
      </w:pPr>
      <w:r>
        <w:t xml:space="preserve">25.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4"/>
    <w:bookmarkStart w:id="75" w:name="ref-friedlingstein_global_2020"/>
    <w:p>
      <w:pPr>
        <w:pStyle w:val="Bibliography"/>
      </w:pPr>
      <w:r>
        <w:t xml:space="preserve">26.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5"/>
    <w:bookmarkStart w:id="76"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6"/>
    <w:bookmarkStart w:id="77"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7"/>
    <w:bookmarkStart w:id="78" w:name="ref-dorangeville_drought_2018"/>
    <w:p>
      <w:pPr>
        <w:pStyle w:val="Bibliography"/>
      </w:pPr>
      <w:r>
        <w:t xml:space="preserve">29.</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8"/>
    <w:bookmarkStart w:id="79" w:name="ref-alexander_potential_2019"/>
    <w:p>
      <w:pPr>
        <w:pStyle w:val="Bibliography"/>
      </w:pPr>
      <w:r>
        <w:t xml:space="preserve">30.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9"/>
    <w:bookmarkStart w:id="80" w:name="ref-wolf_warm_2016"/>
    <w:p>
      <w:pPr>
        <w:pStyle w:val="Bibliography"/>
      </w:pPr>
      <w:r>
        <w:t xml:space="preserve">31.</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80"/>
    <w:bookmarkStart w:id="81" w:name="ref-maxwell_declining_2016"/>
    <w:p>
      <w:pPr>
        <w:pStyle w:val="Bibliography"/>
      </w:pPr>
      <w:r>
        <w:t xml:space="preserve">32.</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1"/>
    <w:bookmarkStart w:id="82"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2"/>
    <w:bookmarkStart w:id="83"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3"/>
    <w:bookmarkStart w:id="84"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4"/>
    <w:bookmarkStart w:id="86"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5">
        <w:r>
          <w:rPr>
            <w:rStyle w:val="Hyperlink"/>
          </w:rPr>
          <w:t xml:space="preserve">10.1111/gcb.15574</w:t>
        </w:r>
      </w:hyperlink>
      <w:r>
        <w:t xml:space="preserve">.</w:t>
      </w:r>
    </w:p>
    <w:bookmarkEnd w:id="86"/>
    <w:bookmarkStart w:id="88" w:name="ref-friedl_mcd12q2_2019"/>
    <w:p>
      <w:pPr>
        <w:pStyle w:val="Bibliography"/>
      </w:pPr>
      <w:r>
        <w:t xml:space="preserve">37.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7">
        <w:r>
          <w:rPr>
            <w:rStyle w:val="Hyperlink"/>
          </w:rPr>
          <w:t xml:space="preserve">10.5067/MODIS/MCD12Q2.006</w:t>
        </w:r>
      </w:hyperlink>
      <w:r>
        <w:t xml:space="preserve">.</w:t>
      </w:r>
    </w:p>
    <w:bookmarkEnd w:id="88"/>
    <w:bookmarkStart w:id="89"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9"/>
    <w:bookmarkStart w:id="90" w:name="ref-cook_time_1985"/>
    <w:p>
      <w:pPr>
        <w:pStyle w:val="Bibliography"/>
      </w:pPr>
      <w:r>
        <w:t xml:space="preserve">39.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90"/>
    <w:bookmarkStart w:id="92" w:name="ref-cook_methods_1990"/>
    <w:p>
      <w:pPr>
        <w:pStyle w:val="Bibliography"/>
      </w:pPr>
      <w:r>
        <w:t xml:space="preserve">40.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1">
        <w:r>
          <w:rPr>
            <w:rStyle w:val="Hyperlink"/>
          </w:rPr>
          <w:t xml:space="preserve">10.1007/978-94-015-7879-0</w:t>
        </w:r>
      </w:hyperlink>
      <w:r>
        <w:t xml:space="preserve">.</w:t>
      </w:r>
    </w:p>
    <w:bookmarkEnd w:id="92"/>
    <w:bookmarkStart w:id="93" w:name="ref-cook_calculating_1997"/>
    <w:p>
      <w:pPr>
        <w:pStyle w:val="Bibliography"/>
      </w:pPr>
      <w:r>
        <w:t xml:space="preserve">41.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3"/>
    <w:bookmarkStart w:id="94" w:name="ref-jones_estimating_1997"/>
    <w:p>
      <w:pPr>
        <w:pStyle w:val="Bibliography"/>
      </w:pPr>
      <w:r>
        <w:t xml:space="preserve">42.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4"/>
    <w:bookmarkStart w:id="96"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5">
        <w:r>
          <w:rPr>
            <w:rStyle w:val="Hyperlink"/>
          </w:rPr>
          <w:t xml:space="preserve">10.5281/ZENODO.4041609</w:t>
        </w:r>
      </w:hyperlink>
      <w:r>
        <w:t xml:space="preserve">.</w:t>
      </w:r>
    </w:p>
    <w:bookmarkEnd w:id="96"/>
    <w:bookmarkStart w:id="97" w:name="ref-harris_version_2020"/>
    <w:p>
      <w:pPr>
        <w:pStyle w:val="Bibliography"/>
      </w:pPr>
      <w:r>
        <w:t xml:space="preserve">44.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7"/>
    <w:bookmarkStart w:id="98"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8"/>
    <w:bookmarkStart w:id="99"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9"/>
    <w:bookmarkEnd w:id="100"/>
    <w:bookmarkEnd w:id="101"/>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1" Target="https://doi.org/10.1007/978-94-015-7879-0" TargetMode="External" /><Relationship Type="http://schemas.openxmlformats.org/officeDocument/2006/relationships/hyperlink" Id="rId60" Target="https://doi.org/10.1088/1748-9326/abed01" TargetMode="External" /><Relationship Type="http://schemas.openxmlformats.org/officeDocument/2006/relationships/hyperlink" Id="rId85" Target="https://doi.org/10.1111/gcb.15574" TargetMode="External" /><Relationship Type="http://schemas.openxmlformats.org/officeDocument/2006/relationships/hyperlink" Id="rId87" Target="https://doi.org/10.5067/MODIS/MCD12Q2.006" TargetMode="External" /><Relationship Type="http://schemas.openxmlformats.org/officeDocument/2006/relationships/hyperlink" Id="rId95"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4" Target="https://github.com/EcoClimLab/growth_phenology/issues/50" TargetMode="External" /><Relationship Type="http://schemas.openxmlformats.org/officeDocument/2006/relationships/hyperlink" Id="rId21" Target="https://github.com/EcoClimLab/growth_phenology/issues/56" TargetMode="External" /><Relationship Type="http://schemas.openxmlformats.org/officeDocument/2006/relationships/hyperlink" Id="rId30" Target="https://github.com/EcoClimLab/growth_phenology/issues/57" TargetMode="External" /><Relationship Type="http://schemas.openxmlformats.org/officeDocument/2006/relationships/hyperlink" Id="rId25" Target="https://github.com/EcoClimLab/growth_phenology/issues/58"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s://developers.google.com/earth-engine/datasets/catalog/MODIS_006_MCD12Q2#description" TargetMode="External" /><Relationship Type="http://schemas.openxmlformats.org/officeDocument/2006/relationships/hyperlink" Id="rId91" Target="https://doi.org/10.1007/978-94-015-7879-0" TargetMode="External" /><Relationship Type="http://schemas.openxmlformats.org/officeDocument/2006/relationships/hyperlink" Id="rId60" Target="https://doi.org/10.1088/1748-9326/abed01" TargetMode="External" /><Relationship Type="http://schemas.openxmlformats.org/officeDocument/2006/relationships/hyperlink" Id="rId85" Target="https://doi.org/10.1111/gcb.15574" TargetMode="External" /><Relationship Type="http://schemas.openxmlformats.org/officeDocument/2006/relationships/hyperlink" Id="rId87" Target="https://doi.org/10.5067/MODIS/MCD12Q2.006" TargetMode="External" /><Relationship Type="http://schemas.openxmlformats.org/officeDocument/2006/relationships/hyperlink" Id="rId95" Target="https://doi.org/10.5281/ZENODO.4041609" TargetMode="External" /><Relationship Type="http://schemas.openxmlformats.org/officeDocument/2006/relationships/hyperlink" Id="rId38" Target="https://forestgeo.github.io/Climate/" TargetMode="External" /><Relationship Type="http://schemas.openxmlformats.org/officeDocument/2006/relationships/hyperlink" Id="rId28" Target="https://github.com/EcoClimLab/growth_phenology/issues/49" TargetMode="External" /><Relationship Type="http://schemas.openxmlformats.org/officeDocument/2006/relationships/hyperlink" Id="rId24" Target="https://github.com/EcoClimLab/growth_phenology/issues/50" TargetMode="External" /><Relationship Type="http://schemas.openxmlformats.org/officeDocument/2006/relationships/hyperlink" Id="rId21" Target="https://github.com/EcoClimLab/growth_phenology/issues/56" TargetMode="External" /><Relationship Type="http://schemas.openxmlformats.org/officeDocument/2006/relationships/hyperlink" Id="rId30" Target="https://github.com/EcoClimLab/growth_phenology/issues/57" TargetMode="External" /><Relationship Type="http://schemas.openxmlformats.org/officeDocument/2006/relationships/hyperlink" Id="rId25" Target="https://github.com/EcoClimLab/growth_phenology/issues/58" TargetMode="External" /><Relationship Type="http://schemas.openxmlformats.org/officeDocument/2006/relationships/hyperlink" Id="rId3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2021-08-23T17:30:46Z</dcterms:created>
  <dcterms:modified xsi:type="dcterms:W3CDTF">2021-08-23T17:30:46Z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