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7,</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19</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26–28</w:t>
      </w:r>
      <w:r>
        <w:t xml:space="preserve"> </w:t>
      </w:r>
      <w:r>
        <w:t xml:space="preserve">and increased annual growth in mesic climates</w:t>
      </w:r>
      <w:r>
        <w:rPr>
          <w:vertAlign w:val="superscript"/>
        </w:rPr>
        <w:t xml:space="preserve">29–32</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33,34</w:t>
      </w:r>
      <w:r>
        <w:t xml:space="preserve">, and annual growth is more closely linked to conditions within the growing season than to growing season length</w:t>
      </w:r>
      <w:r>
        <w:rPr>
          <w:vertAlign w:val="superscript"/>
        </w:rPr>
        <w:t xml:space="preserve">35</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17,25,36</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37,38</w:t>
      </w:r>
      <w:r>
        <w:t xml:space="preserve">, with some evidence that warmer springs may have a modest, but usually insignificant, positive effect on growth</w:t>
      </w:r>
      <w:r>
        <w:rPr>
          <w:vertAlign w:val="superscript"/>
        </w:rPr>
        <w:t xml:space="preserve">32,38</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34,40</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for all combinations of consecutive weeks 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m:oMath>
        <m:sSub>
          <m:e>
            <m:r>
              <m:t>T</m:t>
            </m:r>
          </m:e>
          <m:sub>
            <m:r>
              <m:t>m</m:t>
            </m:r>
            <m:r>
              <m:t>a</m:t>
            </m:r>
            <m:r>
              <m:t>x</m:t>
            </m:r>
          </m:sub>
        </m:sSub>
      </m:oMath>
      <w:r>
        <w:t xml:space="preserve"> </w:t>
      </w:r>
      <w:r>
        <w:t xml:space="preserve">during this period (CTW</w:t>
      </w:r>
      <w:r>
        <w:t xml:space="preserve"> </w:t>
      </w:r>
      <m:oMath>
        <m:sSub>
          <m:e>
            <m:r>
              <m:t>T</m:t>
            </m:r>
          </m:e>
          <m:sub>
            <m:r>
              <m:t>m</m:t>
            </m:r>
            <m:r>
              <m:t>a</m:t>
            </m:r>
            <m:r>
              <m:t>x</m:t>
            </m:r>
          </m:sub>
        </m:sSub>
      </m:oMath>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maximum temperature (T_{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_{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maximum temperature (</w:t>
      </w:r>
      <m:oMath>
        <m:sSub>
          <m:e>
            <m:r>
              <m:t>T</m:t>
            </m:r>
          </m:e>
          <m:sub>
            <m:r>
              <m:t>m</m:t>
            </m:r>
            <m:r>
              <m:t>a</m:t>
            </m:r>
            <m:r>
              <m:t>x</m:t>
            </m:r>
          </m:sub>
        </m:sSub>
      </m:oMath>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m:oMath>
        <m:sSub>
          <m:e>
            <m:r>
              <m:t>T</m:t>
            </m:r>
          </m:e>
          <m:sub>
            <m:r>
              <m:t>m</m:t>
            </m:r>
            <m:r>
              <m:t>a</m:t>
            </m:r>
            <m:r>
              <m:t>x</m:t>
            </m:r>
          </m:sub>
        </m:sSub>
      </m:oMath>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CTW</w:t>
      </w:r>
      <w:r>
        <w:t xml:space="preserve"> </w:t>
      </w:r>
      <m:oMath>
        <m:sSub>
          <m:e>
            <m:r>
              <m:t>T</m:t>
            </m:r>
          </m:e>
          <m:sub>
            <m:r>
              <m:t>m</m:t>
            </m:r>
            <m:r>
              <m:t>a</m:t>
            </m:r>
            <m:r>
              <m:t>x</m:t>
            </m:r>
          </m:sub>
        </m:sSub>
      </m:oMath>
      <w:r>
        <w:t xml:space="preserve"> </w:t>
      </w:r>
      <w:r>
        <w:t xml:space="preserve">(Figs.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 CTW</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(Harvard Forest) or changes in opposite directions (SCBI) in relationship to CTW</w:t>
      </w:r>
      <w:r>
        <w:t xml:space="preserve"> </w:t>
      </w:r>
      <m:oMath>
        <m:sSub>
          <m:e>
            <m:r>
              <m:t>T</m:t>
            </m:r>
          </m:e>
          <m:sub>
            <m:r>
              <m:t>m</m:t>
            </m:r>
            <m:r>
              <m:t>a</m:t>
            </m:r>
            <m:r>
              <m:t>x</m:t>
            </m:r>
          </m:sub>
        </m:sSub>
      </m:oMath>
      <w:r>
        <w:t xml:space="preserve"> </w:t>
      </w:r>
      <w:r>
        <w:t xml:space="preserve">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CTW</w:t>
      </w:r>
      <w:r>
        <w:t xml:space="preserve"> </w:t>
      </w:r>
      <m:oMath>
        <m:sSub>
          <m:e>
            <m:r>
              <m:t>T</m:t>
            </m:r>
          </m:e>
          <m:sub>
            <m:r>
              <m:t>m</m:t>
            </m:r>
            <m:r>
              <m:t>a</m:t>
            </m:r>
            <m:r>
              <m:t>x</m:t>
            </m:r>
          </m:sub>
        </m:sSub>
      </m:oMath>
      <w:r>
        <w:t xml:space="preserve"> </w:t>
      </w:r>
      <w:r>
        <w:t xml:space="preserve">at SCBI and a weak negative relationship (-0.2-0.03 mm/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38</w:t>
      </w:r>
      <w:r>
        <w:t xml:space="preserve"> </w:t>
      </w:r>
      <w:r>
        <w:t xml:space="preserve">and 4 species at Harvard Forest (Extended Data Table 1), plus an additional 191 chronologies from 106 sites (Fig. 3; Extended Data Figure 1; Extended Data Table 3)</w:t>
      </w:r>
      <w:r>
        <w:rPr>
          <w:vertAlign w:val="superscript"/>
        </w:rPr>
        <w:t xml:space="preserve">37</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41</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m:oMath>
        <m:sSub>
          <m:e>
            <m:r>
              <m:t>T</m:t>
            </m:r>
          </m:e>
          <m:sub>
            <m:r>
              <m:t>m</m:t>
            </m:r>
            <m:r>
              <m:t>a</m:t>
            </m:r>
            <m:r>
              <m:t>x</m:t>
            </m:r>
          </m:sub>
        </m:sSub>
      </m:oMath>
      <w:r>
        <w:t xml:space="preserve"> </w:t>
      </w:r>
      <w:r>
        <w:t xml:space="preserve">for 5/142 ring porous chronologies and to previous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4,35</w:t>
      </w:r>
      <w:r>
        <w:t xml:space="preserve">, is driven by cues other than photosynthate limitation, such as water stress, daylength, or sink limitation</w:t>
      </w:r>
      <w:r>
        <w:rPr>
          <w:vertAlign w:val="superscript"/>
        </w:rPr>
        <w:t xml:space="preserve">17,33,35,42,14,</w:t>
      </w:r>
      <w:r>
        <w:rPr>
          <w:vertAlign w:val="superscript"/>
        </w:rPr>
        <w:t xml:space="preserve"> </w:t>
      </w:r>
      <w:r>
        <w:rPr>
          <w:vertAlign w:val="superscript"/>
        </w:rPr>
        <w:t xml:space="preserve">25</w:t>
      </w:r>
      <w:r>
        <w:t xml:space="preserve">.</w:t>
      </w:r>
      <w:r>
        <w:t xml:space="preserve"> </w:t>
      </w:r>
      <w:r>
        <w:t xml:space="preserve">Combined with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w:t>
      </w:r>
      <w:r>
        <w:t xml:space="preserve"> </w:t>
      </w:r>
      <w:r>
        <w:t xml:space="preserve">What happens with this extra C?</w:t>
      </w:r>
    </w:p>
    <w:p>
      <w:pPr>
        <w:pStyle w:val="BodyText"/>
      </w:pPr>
      <w:r>
        <w:t xml:space="preserve">Additional C fixation in years with warm springs</w:t>
      </w:r>
      <w:r>
        <w:rPr>
          <w:vertAlign w:val="superscript"/>
        </w:rPr>
        <w:t xml:space="preserve">2,4,8–12</w:t>
      </w:r>
      <w:r>
        <w:t xml:space="preserve"> </w:t>
      </w:r>
      <w:r>
        <w:t xml:space="preserve">does not substantially augment stem diameter growth in the current or following year (Extended Data Figure 7), and is unlikely to augment</w:t>
      </w:r>
      <w:r>
        <w:t xml:space="preserve"> </w:t>
      </w:r>
      <m:oMath>
        <m:r>
          <m:t>A</m:t>
        </m:r>
        <m:r>
          <m:t>N</m:t>
        </m:r>
        <m:r>
          <m:t>P</m:t>
        </m:r>
        <m:sSub>
          <m:e>
            <m:r>
              <m:t>P</m:t>
            </m:r>
          </m:e>
          <m:sub>
            <m:r>
              <m:t>w</m:t>
            </m:r>
            <m:r>
              <m:t>o</m:t>
            </m:r>
            <m:r>
              <m:t>o</m:t>
            </m:r>
            <m:r>
              <m:t>d</m:t>
            </m:r>
            <m:r>
              <m:t>y</m:t>
            </m:r>
          </m:sub>
        </m:sSub>
      </m:oMath>
      <w:r>
        <w:t xml:space="preserve">.</w:t>
      </w:r>
      <w:r>
        <w:t xml:space="preserve"> </w:t>
      </w:r>
      <w:r>
        <w:t xml:space="preserve">Although</w:t>
      </w:r>
      <w:r>
        <w:t xml:space="preserve"> </w:t>
      </w:r>
      <m:oMath>
        <m:r>
          <m:t>A</m:t>
        </m:r>
        <m:r>
          <m:t>N</m:t>
        </m:r>
        <m:r>
          <m:t>P</m:t>
        </m:r>
        <m:sSub>
          <m:e>
            <m:r>
              <m:t>P</m:t>
            </m:r>
          </m:e>
          <m:sub>
            <m:r>
              <m:t>w</m:t>
            </m:r>
            <m:r>
              <m:t>o</m:t>
            </m:r>
            <m:r>
              <m:t>o</m:t>
            </m:r>
            <m:r>
              <m:t>d</m:t>
            </m:r>
            <m:r>
              <m:t>y</m:t>
            </m:r>
          </m:sub>
        </m:sSub>
      </m:oMath>
      <w:r>
        <w:t xml:space="preserve"> </w:t>
      </w:r>
      <w:r>
        <w:t xml:space="preserve">is routinely calculated based on stem growth, the two can be partially decoupled through differences in wood density or C content</w:t>
      </w:r>
      <w:r>
        <w:rPr>
          <w:vertAlign w:val="superscript"/>
        </w:rPr>
        <w:t xml:space="preserve">25</w:t>
      </w:r>
      <w:r>
        <w:t xml:space="preserve">.</w:t>
      </w:r>
      <w:r>
        <w:t xml:space="preserve"> </w:t>
      </w:r>
      <w:r>
        <w:t xml:space="preserve">It is theoretically possible that extra C is allocated to enhanced cell wall thickening, a process that lags behind stem expansion</w:t>
      </w:r>
      <w:r>
        <w:rPr>
          <w:vertAlign w:val="superscript"/>
        </w:rPr>
        <w:t xml:space="preserve">43</w:t>
      </w:r>
      <w:r>
        <w:t xml:space="preserve">, or to a higher ratio of high-density latewood to lower-density earlywood,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44,45</w:t>
      </w:r>
      <w:r>
        <w:t xml:space="preserve">, which is more strongly controlled by summer drought stress</w:t>
      </w:r>
      <w:r>
        <w:rPr>
          <w:vertAlign w:val="superscript"/>
        </w:rPr>
        <w:t xml:space="preserve">44,45</w:t>
      </w:r>
      <w:r>
        <w:t xml:space="preserve">, suggesting that a positive effect of warm springs on the total C content of annual rings is unlikely.</w:t>
      </w:r>
      <w:r>
        <w:t xml:space="preserve"> </w:t>
      </w:r>
      <w:r>
        <w:t xml:space="preserve">Rather, the most likely explanation of the observed lack of correlation between spring temperatures and stem growth is that growth is sink-limited, such that increased GPP does not enhance</w:t>
      </w:r>
      <w:r>
        <w:t xml:space="preserve"> </w:t>
      </w:r>
      <m:oMath>
        <m:r>
          <m:t>A</m:t>
        </m:r>
        <m:r>
          <m:t>N</m:t>
        </m:r>
        <m:r>
          <m:t>P</m:t>
        </m:r>
        <m:sSub>
          <m:e>
            <m:r>
              <m:t>P</m:t>
            </m:r>
          </m:e>
          <m:sub>
            <m:r>
              <m:t>w</m:t>
            </m:r>
            <m:r>
              <m:t>o</m:t>
            </m:r>
            <m:r>
              <m:t>o</m:t>
            </m:r>
            <m:r>
              <m:t>d</m:t>
            </m:r>
            <m:r>
              <m:t>y</m:t>
            </m:r>
          </m:sub>
        </m:sSub>
      </m:oMath>
      <w:r>
        <w:rPr>
          <w:vertAlign w:val="superscript"/>
        </w:rPr>
        <w:t xml:space="preserve">25</w:t>
      </w:r>
      <w:r>
        <w:t xml:space="preserve">.</w:t>
      </w:r>
    </w:p>
    <w:p>
      <w:pPr>
        <w:pStyle w:val="BodyText"/>
      </w:pPr>
      <w:r>
        <w:t xml:space="preserve">Our results add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fail to stimulate</w:t>
      </w:r>
      <w:r>
        <w:t xml:space="preserve"> </w:t>
      </w:r>
      <m:oMath>
        <m:r>
          <m:t>A</m:t>
        </m:r>
        <m:r>
          <m:t>N</m:t>
        </m:r>
        <m:r>
          <m:t>P</m:t>
        </m:r>
        <m:sSub>
          <m:e>
            <m:r>
              <m:t>P</m:t>
            </m:r>
          </m:e>
          <m:sub>
            <m:r>
              <m:t>w</m:t>
            </m:r>
            <m:r>
              <m:t>o</m:t>
            </m:r>
            <m:r>
              <m:t>o</m:t>
            </m:r>
            <m:r>
              <m:t>d</m:t>
            </m:r>
            <m:r>
              <m:t>y</m:t>
            </m:r>
          </m:sub>
        </m:sSub>
      </m:oMath>
      <w:r>
        <w:rPr>
          <w:vertAlign w:val="superscript"/>
        </w:rPr>
        <w:t xml:space="preserve">46,</w:t>
      </w:r>
      <w:r>
        <w:rPr>
          <w:bCs/>
          <w:b/>
          <w:vertAlign w:val="superscript"/>
        </w:rPr>
        <w:t xml:space="preserve">refs?</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36</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46</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w:t>
      </w:r>
      <w:r>
        <w:t xml:space="preserve"> </w:t>
      </w:r>
      <w:r>
        <w:t xml:space="preserve">Thus, observed augmentation of NEE by warm springs</w:t>
      </w:r>
      <w:r>
        <w:rPr>
          <w:vertAlign w:val="superscript"/>
        </w:rPr>
        <w:t xml:space="preserve">2,11,12</w:t>
      </w:r>
      <w:r>
        <w:t xml:space="preserve"> </w:t>
      </w:r>
      <w:r>
        <w:t xml:space="preserve">is likely to be short lived.</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31</w:t>
      </w:r>
      <w:r>
        <w:t xml:space="preserve">, woody productivity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36,50</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when increased atmospheric demand associated with high temperatures limits growth</w:t>
      </w:r>
      <w:r>
        <w:rPr>
          <w:vertAlign w:val="superscript"/>
        </w:rPr>
        <w:t xml:space="preserve">25,33,35,51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30,31,37,38</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at some times or places</w:t>
      </w:r>
      <w:r>
        <w:rPr>
          <w:vertAlign w:val="superscript"/>
        </w:rPr>
        <w:t xml:space="preserve">32</w:t>
      </w:r>
      <w:r>
        <w:t xml:space="preserve">.</w:t>
      </w:r>
    </w:p>
    <w:p>
      <w:pPr>
        <w:pStyle w:val="BodyText"/>
      </w:pPr>
      <w:r>
        <w:t xml:space="preserve">As climate change accelerates and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4,40</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38</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31</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31</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40</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39</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39</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39,57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63</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64,65</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66</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59,67,68</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69</w:t>
      </w:r>
      <w:r>
        <w:t xml:space="preserve">.</w:t>
      </w:r>
    </w:p>
    <w:p>
      <w:pPr>
        <w:pStyle w:val="BodyText"/>
      </w:pPr>
      <w:r>
        <w:t xml:space="preserve">Dominant tree species were cored at both SCBI</w:t>
      </w:r>
      <w:r>
        <w:rPr>
          <w:vertAlign w:val="superscript"/>
        </w:rPr>
        <w:t xml:space="preserve">38,54</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37,72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stabilises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77</w:t>
      </w:r>
      <w:r>
        <w:t xml:space="preserve"> </w:t>
      </w:r>
      <w:r>
        <w:t xml:space="preserve">Correlations between monthly climate and RWI were assessed using</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in R v 4.0 (R Core Team, 2020), which correlated functions and bootstrapped confidence intervals for these relationships</w:t>
      </w:r>
      <w:r>
        <w:rPr>
          <w:vertAlign w:val="superscript"/>
        </w:rPr>
        <w:t xml:space="preserve">80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delpierre_chilling_2019"/>
    <w:p>
      <w:pPr>
        <w:pStyle w:val="Bibliography"/>
      </w:pPr>
      <w:r>
        <w:t xml:space="preserve">27.</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6"/>
    <w:bookmarkStart w:id="77" w:name="ref-rossi_critical_2008"/>
    <w:p>
      <w:pPr>
        <w:pStyle w:val="Bibliography"/>
      </w:pPr>
      <w:r>
        <w:t xml:space="preserve">28.</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7"/>
    <w:bookmarkStart w:id="78" w:name="ref-cook_predicting_1991"/>
    <w:p>
      <w:pPr>
        <w:pStyle w:val="Bibliography"/>
      </w:pPr>
      <w:r>
        <w:t xml:space="preserve">29.</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8"/>
    <w:bookmarkStart w:id="79" w:name="ref-babst_twentieth_2019"/>
    <w:p>
      <w:pPr>
        <w:pStyle w:val="Bibliography"/>
      </w:pPr>
      <w:r>
        <w:t xml:space="preserve">30.</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9"/>
    <w:bookmarkStart w:id="80" w:name="ref-anderson-teixeira_joint_2021"/>
    <w:p>
      <w:pPr>
        <w:pStyle w:val="Bibliography"/>
      </w:pPr>
      <w:r>
        <w:t xml:space="preserve">31.</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0"/>
    <w:bookmarkStart w:id="82" w:name="ref-gao_earlier_2022"/>
    <w:p>
      <w:pPr>
        <w:pStyle w:val="Bibliography"/>
      </w:pPr>
      <w:r>
        <w:t xml:space="preserve">32.</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1">
        <w:r>
          <w:rPr>
            <w:rStyle w:val="Hyperlink"/>
          </w:rPr>
          <w:t xml:space="preserve">10.1038/s41559-022-01668-4</w:t>
        </w:r>
      </w:hyperlink>
      <w:r>
        <w:t xml:space="preserve">.</w:t>
      </w:r>
    </w:p>
    <w:bookmarkEnd w:id="82"/>
    <w:bookmarkStart w:id="83" w:name="ref-zweifel_why_2021"/>
    <w:p>
      <w:pPr>
        <w:pStyle w:val="Bibliography"/>
      </w:pPr>
      <w:r>
        <w:t xml:space="preserve">33.</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3"/>
    <w:bookmarkStart w:id="84" w:name="ref-tumajer_limitation_2022"/>
    <w:p>
      <w:pPr>
        <w:pStyle w:val="Bibliography"/>
      </w:pPr>
      <w:r>
        <w:t xml:space="preserve">34.</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4"/>
    <w:bookmarkStart w:id="85" w:name="ref-etzold_number_2022"/>
    <w:p>
      <w:pPr>
        <w:pStyle w:val="Bibliography"/>
      </w:pPr>
      <w:r>
        <w:t xml:space="preserve">35.</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5"/>
    <w:bookmarkStart w:id="86" w:name="ref-zohner_how_2021"/>
    <w:p>
      <w:pPr>
        <w:pStyle w:val="Bibliography"/>
      </w:pPr>
      <w:r>
        <w:t xml:space="preserve">36.</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6"/>
    <w:bookmarkStart w:id="87" w:name="ref-dorangeville_drought_2018"/>
    <w:p>
      <w:pPr>
        <w:pStyle w:val="Bibliography"/>
      </w:pPr>
      <w:r>
        <w:t xml:space="preserve">37.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7"/>
    <w:bookmarkStart w:id="88" w:name="ref-helcoski_growing_2019"/>
    <w:p>
      <w:pPr>
        <w:pStyle w:val="Bibliography"/>
      </w:pPr>
      <w:r>
        <w:t xml:space="preserve">38.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8"/>
    <w:bookmarkStart w:id="89" w:name="ref-mcmahon_general_2015"/>
    <w:p>
      <w:pPr>
        <w:pStyle w:val="Bibliography"/>
      </w:pPr>
      <w:r>
        <w:t xml:space="preserve">39.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9"/>
    <w:bookmarkStart w:id="91" w:name="ref-dorangeville_peak_2021"/>
    <w:p>
      <w:pPr>
        <w:pStyle w:val="Bibliography"/>
      </w:pPr>
      <w:r>
        <w:t xml:space="preserve">40.</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0">
        <w:r>
          <w:rPr>
            <w:rStyle w:val="Hyperlink"/>
          </w:rPr>
          <w:t xml:space="preserve">10.1093/treephys/tpab101</w:t>
        </w:r>
      </w:hyperlink>
      <w:r>
        <w:t xml:space="preserve">.</w:t>
      </w:r>
    </w:p>
    <w:bookmarkEnd w:id="91"/>
    <w:bookmarkStart w:id="92"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2"/>
    <w:bookmarkStart w:id="93" w:name="ref-keenan_timing_2015"/>
    <w:p>
      <w:pPr>
        <w:pStyle w:val="Bibliography"/>
      </w:pPr>
      <w:r>
        <w:t xml:space="preserve">42.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3"/>
    <w:bookmarkStart w:id="94"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4"/>
    <w:bookmarkStart w:id="95" w:name="ref-roibu_climatic_2020"/>
    <w:p>
      <w:pPr>
        <w:pStyle w:val="Bibliography"/>
      </w:pPr>
      <w:r>
        <w:t xml:space="preserve">44.</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5"/>
    <w:bookmarkStart w:id="96" w:name="ref-kern_multiple_2013"/>
    <w:p>
      <w:pPr>
        <w:pStyle w:val="Bibliography"/>
      </w:pPr>
      <w:r>
        <w:t xml:space="preserve">45.</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6"/>
    <w:bookmarkStart w:id="97" w:name="ref-jiang_fate_2020"/>
    <w:p>
      <w:pPr>
        <w:pStyle w:val="Bibliography"/>
      </w:pPr>
      <w:r>
        <w:t xml:space="preserve">46.</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7"/>
    <w:bookmarkStart w:id="98"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8"/>
    <w:bookmarkStart w:id="100"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99">
        <w:r>
          <w:rPr>
            <w:rStyle w:val="Hyperlink"/>
          </w:rPr>
          <w:t xml:space="preserve">10.1111/gcb.15574</w:t>
        </w:r>
      </w:hyperlink>
      <w:r>
        <w:t xml:space="preserve">.</w:t>
      </w:r>
    </w:p>
    <w:bookmarkEnd w:id="100"/>
    <w:bookmarkStart w:id="101"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50.</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51.</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53.</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9"/>
    <w:bookmarkStart w:id="111"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0">
        <w:r>
          <w:rPr>
            <w:rStyle w:val="Hyperlink"/>
          </w:rPr>
          <w:t xml:space="preserve">10.5067/MODIS/MCD12Q2.006</w:t>
        </w:r>
      </w:hyperlink>
      <w:r>
        <w:t xml:space="preserve">.</w:t>
      </w:r>
    </w:p>
    <w:bookmarkEnd w:id="111"/>
    <w:bookmarkStart w:id="113"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2">
        <w:r>
          <w:rPr>
            <w:rStyle w:val="Hyperlink"/>
          </w:rPr>
          <w:t xml:space="preserve">10.5281/ZENODO.4041609</w:t>
        </w:r>
      </w:hyperlink>
      <w:r>
        <w:t xml:space="preserve">.</w:t>
      </w:r>
    </w:p>
    <w:bookmarkEnd w:id="113"/>
    <w:bookmarkStart w:id="114"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4"/>
    <w:bookmarkStart w:id="116"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5">
        <w:r>
          <w:rPr>
            <w:rStyle w:val="Hyperlink"/>
          </w:rPr>
          <w:t xml:space="preserve">10.6073/PASTA/213335F5DAA17222A738C105B9FA60C4</w:t>
        </w:r>
      </w:hyperlink>
      <w:r>
        <w:t xml:space="preserve">.</w:t>
      </w:r>
    </w:p>
    <w:bookmarkEnd w:id="116"/>
    <w:bookmarkStart w:id="118"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7">
        <w:r>
          <w:rPr>
            <w:rStyle w:val="Hyperlink"/>
          </w:rPr>
          <w:t xml:space="preserve">10.6073/PASTA/69E92642B512897032446CFE795CFFB8</w:t>
        </w:r>
      </w:hyperlink>
      <w:r>
        <w:t xml:space="preserve">.</w:t>
      </w:r>
    </w:p>
    <w:bookmarkEnd w:id="118"/>
    <w:bookmarkStart w:id="119" w:name="ref-vandepol_identifying_2016"/>
    <w:p>
      <w:pPr>
        <w:pStyle w:val="Bibliography"/>
      </w:pPr>
      <w:r>
        <w:t xml:space="preserve">63.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64.</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_development_team_stan_2019"/>
    <w:p>
      <w:pPr>
        <w:pStyle w:val="Bibliography"/>
      </w:pPr>
      <w:r>
        <w:t xml:space="preserve">65.</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vicente-serrano_multiscalar_2010"/>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begueria_standardized_2014"/>
    <w:p>
      <w:pPr>
        <w:pStyle w:val="Bibliography"/>
      </w:pPr>
      <w:r>
        <w:t xml:space="preserve">67.</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3"/>
    <w:bookmarkStart w:id="124" w:name="ref-vicente-serrano_multiscalar_2010a"/>
    <w:p>
      <w:pPr>
        <w:pStyle w:val="Bibliography"/>
      </w:pPr>
      <w:r>
        <w:t xml:space="preserve">68.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4"/>
    <w:bookmarkStart w:id="125" w:name="ref-stokes_introduction_1968"/>
    <w:p>
      <w:pPr>
        <w:pStyle w:val="Bibliography"/>
      </w:pPr>
      <w:r>
        <w:t xml:space="preserve">69.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8"/>
    <w:bookmarkStart w:id="130" w:name="ref-cook_methods_1990"/>
    <w:p>
      <w:pPr>
        <w:pStyle w:val="Bibliography"/>
      </w:pPr>
      <w:r>
        <w:t xml:space="preserve">73.</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9">
        <w:r>
          <w:rPr>
            <w:rStyle w:val="Hyperlink"/>
          </w:rPr>
          <w:t xml:space="preserve">10.1007/978-94-015-7879-0</w:t>
        </w:r>
      </w:hyperlink>
      <w:r>
        <w:t xml:space="preserve">.</w:t>
      </w:r>
    </w:p>
    <w:bookmarkEnd w:id="130"/>
    <w:bookmarkStart w:id="131"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1"/>
    <w:bookmarkStart w:id="132"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2"/>
    <w:bookmarkStart w:id="133"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3"/>
    <w:bookmarkStart w:id="134" w:name="ref-harris_version_2020"/>
    <w:p>
      <w:pPr>
        <w:pStyle w:val="Bibliography"/>
      </w:pPr>
      <w:r>
        <w:t xml:space="preserve">77.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4"/>
    <w:bookmarkStart w:id="135"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80.</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2022-03-14T12:23:13Z</dcterms:created>
  <dcterms:modified xsi:type="dcterms:W3CDTF">2022-03-14T12:23:13Z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