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carbon balance.</w:t>
      </w:r>
      <w:r>
        <w:rPr>
          <w:bCs/>
          <w:b/>
        </w:rPr>
        <w:t xml:space="preserve"> </w:t>
      </w:r>
      <w:r>
        <w:t xml:space="preserve"> </w:t>
      </w:r>
      <w:r>
        <w:rPr>
          <w:bCs/>
          <w:b/>
        </w:rPr>
        <w:t xml:space="preserve">Rather, contradicting current projections from global carbon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carbon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w:t>
      </w:r>
      <w:r>
        <w:t xml:space="preserve"> </w:t>
      </w:r>
      <w:r>
        <w:rPr>
          <w:iCs/>
          <w:i/>
        </w:rPr>
        <w:t xml:space="preserve">NEE</w:t>
      </w:r>
      <w:r>
        <w:t xml:space="preserve">.</w:t>
      </w:r>
      <w:r>
        <w:rPr>
          <w:vertAlign w:val="superscript"/>
        </w:rPr>
        <w:t xml:space="preserve">2,4</w:t>
      </w:r>
      <w:r>
        <w:t xml:space="preserve"> </w:t>
      </w:r>
      <w:r>
        <w:t xml:space="preserve">However, inconsistent with the concept that an earlier start to growth would increase annual woody productivity, we demonstrate that warmer springs hasten the cessation of stem expansion, thus having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w:t>
      </w:r>
      <w:r>
        <w:t xml:space="preserve"> </w:t>
      </w:r>
      <w:r>
        <w:rPr>
          <w:iCs/>
          <w:i/>
        </w:rPr>
        <w:t xml:space="preserve">NEE</w:t>
      </w:r>
      <w:r>
        <w:t xml:space="preserve">.</w:t>
      </w:r>
      <w:r>
        <w:rPr>
          <w:vertAlign w:val="superscript"/>
        </w:rPr>
        <w:t xml:space="preserve">13,14</w:t>
      </w:r>
      <w:r>
        <w:t xml:space="preserve"> </w:t>
      </w:r>
      <w:r>
        <w:t xml:space="preserve">However, there is also a disconnect with findings that C uptake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ecosystem C uptake.</w:t>
      </w:r>
      <w:r>
        <w:t xml:space="preserve"> </w:t>
      </w:r>
      <w:r>
        <w:t xml:space="preserve">As the extra C uptake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t xml:space="preserve">.</w:t>
      </w:r>
      <w:r>
        <w:rPr>
          <w:vertAlign w:val="superscript"/>
        </w:rPr>
        <w:t xml:space="preserve">48</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rPr>
          <w:iCs/>
          <w:i/>
        </w:rPr>
        <w:t xml:space="preserve">ADD SOMETHING ON HOW STANDARD PRECIPITAITON EVAPOTRANSPIRATIN INDEX WAS FOUND</w:t>
      </w:r>
      <w:r>
        <w:t xml:space="preserve">!!!!</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65</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65,66</w:t>
      </w:r>
      <w:r>
        <w:t xml:space="preserve">.</w:t>
      </w:r>
      <w:r>
        <w:t xml:space="preserve"> </w:t>
      </w:r>
      <w:r>
        <w:t xml:space="preserve">An adaptive power transformation, a process that also stabilises the variance over time</w:t>
      </w:r>
      <w:r>
        <w:rPr>
          <w:vertAlign w:val="superscript"/>
        </w:rPr>
        <w:t xml:space="preserve">67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68</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7" w:name="ref-cook_methods_1990"/>
    <w:p>
      <w:pPr>
        <w:pStyle w:val="Bibliography"/>
      </w:pPr>
      <w:r>
        <w:t xml:space="preserve">65.</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8"/>
    <w:bookmarkStart w:id="109" w:name="ref-cook_calculating_1997"/>
    <w:p>
      <w:pPr>
        <w:pStyle w:val="Bibliography"/>
      </w:pPr>
      <w:r>
        <w:t xml:space="preserve">67.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9"/>
    <w:bookmarkStart w:id="110" w:name="ref-jones_estimating_1997"/>
    <w:p>
      <w:pPr>
        <w:pStyle w:val="Bibliography"/>
      </w:pPr>
      <w:r>
        <w:t xml:space="preserve">68.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2021-11-16T16:05:23Z</dcterms:created>
  <dcterms:modified xsi:type="dcterms:W3CDTF">2021-11-16T16:05:23Z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