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canopy foliage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canopy foliage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canopy foliage and stem growth phenology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canopy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canopy foliage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10,31,32</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rPr>
          <w:bCs/>
          <w:b/>
        </w:rPr>
        <w:t xml:space="preserve">REF?</w:t>
      </w:r>
      <w:r>
        <w:t xml:space="preserve">]</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 but may remain in the ecosystem for more than a year</w:t>
      </w:r>
      <w:r>
        <w:rPr>
          <w:vertAlign w:val="superscript"/>
        </w:rPr>
        <w:t xml:space="preserve">34</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in community composition[</w:t>
      </w:r>
      <w:r>
        <w:rPr>
          <w:bCs/>
          <w:b/>
        </w:rPr>
        <w:t xml:space="preserve">REFS</w:t>
      </w:r>
      <w:r>
        <w:t xml:space="preserve">] are likely to alter the phenology of forest C cycling.</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vertAlign w:val="superscript"/>
        </w:rPr>
        <w:t xml:space="preserve">38</w:t>
      </w:r>
    </w:p>
    <w:bookmarkEnd w:id="29"/>
    <w:bookmarkStart w:id="34" w:name="Methods"/>
    <w:p>
      <w:pPr>
        <w:pStyle w:val="Heading1"/>
      </w:pPr>
      <w:r>
        <w:t xml:space="preserve">Methods</w:t>
      </w:r>
    </w:p>
    <w:bookmarkStart w:id="32" w:name="Dendrometer"/>
    <w:p>
      <w:pPr>
        <w:pStyle w:val="Heading2"/>
      </w:pPr>
      <w:r>
        <w:t xml:space="preserve">Dendrometer band analysis</w:t>
      </w:r>
    </w:p>
    <w:p>
      <w:pPr>
        <w:pStyle w:val="FirstParagraph"/>
      </w:pPr>
      <w:r>
        <w:t xml:space="preserve">Dendrometer band were collected at SCBI</w:t>
      </w:r>
      <w:r>
        <w:rPr>
          <w:vertAlign w:val="superscript"/>
        </w:rPr>
        <w:t xml:space="preserve">39</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40,41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39</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36</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1.3.1093 using the functions developed in.</w:t>
      </w:r>
      <w:r>
        <w:rPr>
          <w:vertAlign w:val="superscript"/>
        </w:rPr>
        <w:t xml:space="preserve">27</w:t>
      </w:r>
      <w:r>
        <w:t xml:space="preserve"> 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42</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43</w:t>
      </w:r>
      <w:r>
        <w:t xml:space="preserve">.</w:t>
      </w:r>
      <w:r>
        <w:t xml:space="preserve"> </w:t>
      </w:r>
      <w:r>
        <w:t xml:space="preserve">The R package</w:t>
      </w:r>
      <w:r>
        <w:t xml:space="preserve"> </w:t>
      </w:r>
      <w:r>
        <w:rPr>
          <w:iCs/>
          <w:i/>
        </w:rPr>
        <w:t xml:space="preserve">clim.pact</w:t>
      </w:r>
      <w:r>
        <w:rPr>
          <w:vertAlign w:val="superscript"/>
        </w:rPr>
        <w:t xml:space="preserve">44,</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1">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bCs/>
          <w:b/>
          <w:vertAlign w:val="superscript"/>
        </w:rPr>
        <w:t xml:space="preserve">boose_shaler_2021-1?</w:t>
      </w:r>
      <w:r>
        <w:rPr>
          <w:vertAlign w:val="superscript"/>
        </w:rPr>
        <w:t xml:space="preserve">,</w:t>
      </w:r>
      <w:r>
        <w:rPr>
          <w:bCs/>
          <w:b/>
          <w:vertAlign w:val="superscript"/>
        </w:rPr>
        <w:t xml:space="preserve">boose_fisher_2021-2?</w:t>
      </w:r>
      <w:r>
        <w:t xml:space="preserve">.</w:t>
      </w:r>
      <w:r>
        <w:t xml:space="preserve"> </w:t>
      </w:r>
      <w:r>
        <w:rPr>
          <w:bCs/>
          <w:b/>
        </w:rPr>
        <w:t xml:space="preserve">(Cam, please be sure to sync these in Zotero.)</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45</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47</w:t>
      </w:r>
      <w:r>
        <w:t xml:space="preserve">. In all cases unless otherwise specified, all prior distributions are set to be the weakly informative defaults.</w:t>
      </w:r>
      <w:r>
        <w:t xml:space="preserve"> </w:t>
      </w:r>
    </w:p>
    <w:bookmarkEnd w:id="32"/>
    <w:bookmarkStart w:id="33"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48</w:t>
      </w:r>
      <w:r>
        <w:t xml:space="preserve">.</w:t>
      </w:r>
    </w:p>
    <w:p>
      <w:pPr>
        <w:pStyle w:val="BodyText"/>
      </w:pPr>
      <w:r>
        <w:t xml:space="preserve">Dominant tree species were cored at both SCBI</w:t>
      </w:r>
      <w:r>
        <w:rPr>
          <w:vertAlign w:val="superscript"/>
        </w:rPr>
        <w:t xml:space="preserve">26,39</w:t>
      </w:r>
      <w:r>
        <w:t xml:space="preserve"> </w:t>
      </w:r>
      <w:r>
        <w:t xml:space="preserve">and Harvard Forest</w:t>
      </w:r>
      <w:r>
        <w:rPr>
          <w:vertAlign w:val="superscript"/>
        </w:rPr>
        <w:t xml:space="preserve">4,49,50</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25,51–60</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61,62</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63</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64</w:t>
      </w:r>
      <w:r>
        <w:t xml:space="preserve"> </w:t>
      </w:r>
      <w:r>
        <w:t xml:space="preserve">and</w:t>
      </w:r>
      <w:r>
        <w:t xml:space="preserve"> </w:t>
      </w:r>
      <w:r>
        <w:t xml:space="preserve">‘</w:t>
      </w:r>
      <w:r>
        <w:t xml:space="preserve">bootRes</w:t>
      </w:r>
      <w:r>
        <w:t xml:space="preserve">’</w:t>
      </w:r>
      <w:r>
        <w:rPr>
          <w:vertAlign w:val="superscript"/>
        </w:rPr>
        <w:t xml:space="preserve">65</w:t>
      </w:r>
      <w:r>
        <w:t xml:space="preserve"> </w:t>
      </w:r>
      <w:r>
        <w:t xml:space="preserve">in R v.1.3.1093 (R Core Team, 2020), which correlated functions and bootstrapped confidence intervals for these relationships</w:t>
      </w:r>
      <w:r>
        <w:rPr>
          <w:vertAlign w:val="superscript"/>
        </w:rPr>
        <w:t xml:space="preserve">66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3"/>
    <w:bookmarkEnd w:id="34"/>
    <w:bookmarkStart w:id="35"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5"/>
    <w:bookmarkStart w:id="36"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6"/>
    <w:bookmarkStart w:id="3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7"/>
    <w:bookmarkStart w:id="110" w:name="References"/>
    <w:p>
      <w:pPr>
        <w:pStyle w:val="Heading1"/>
      </w:pPr>
      <w:r>
        <w:t xml:space="preserve">References</w:t>
      </w:r>
    </w:p>
    <w:bookmarkStart w:id="109" w:name="refs"/>
    <w:bookmarkStart w:id="3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8"/>
    <w:bookmarkStart w:id="3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9"/>
    <w:bookmarkStart w:id="4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0"/>
    <w:bookmarkStart w:id="4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1"/>
    <w:bookmarkStart w:id="42"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2"/>
    <w:bookmarkStart w:id="5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3"/>
    <w:bookmarkStart w:id="54"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8"/>
    <w:bookmarkStart w:id="59"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9"/>
    <w:bookmarkStart w:id="60"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0"/>
    <w:bookmarkStart w:id="62"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3"/>
    <w:bookmarkStart w:id="64"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4"/>
    <w:bookmarkStart w:id="65"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5"/>
    <w:bookmarkStart w:id="66"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8"/>
    <w:bookmarkStart w:id="69"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9"/>
    <w:bookmarkStart w:id="70" w:name="ref-xie_predicting_2018"/>
    <w:p>
      <w:pPr>
        <w:pStyle w:val="Bibliography"/>
      </w:pPr>
      <w:r>
        <w:t xml:space="preserve">32.</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0"/>
    <w:bookmarkStart w:id="7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1"/>
    <w:bookmarkStart w:id="7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2"/>
    <w:bookmarkStart w:id="7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3"/>
    <w:bookmarkStart w:id="74" w:name="ref-anderson-teixeira_joint_2021"/>
    <w:p>
      <w:pPr>
        <w:pStyle w:val="Bibliography"/>
      </w:pPr>
      <w:r>
        <w:t xml:space="preserve">36.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4"/>
    <w:bookmarkStart w:id="76"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5">
        <w:r>
          <w:rPr>
            <w:rStyle w:val="Hyperlink"/>
          </w:rPr>
          <w:t xml:space="preserve">10.1111/gcb.15574</w:t>
        </w:r>
      </w:hyperlink>
      <w:r>
        <w:t xml:space="preserve">.</w:t>
      </w:r>
    </w:p>
    <w:bookmarkEnd w:id="76"/>
    <w:bookmarkStart w:id="77" w:name="ref-fu_variation_2014"/>
    <w:p>
      <w:pPr>
        <w:pStyle w:val="Bibliography"/>
      </w:pPr>
      <w:r>
        <w:t xml:space="preserve">38.</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77"/>
    <w:bookmarkStart w:id="78" w:name="ref-bourg_initial_2013"/>
    <w:p>
      <w:pPr>
        <w:pStyle w:val="Bibliography"/>
      </w:pPr>
      <w:r>
        <w:t xml:space="preserve">39.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8"/>
    <w:bookmarkStart w:id="79" w:name="ref-anderson-teixeira_ctfsforestgeo_2015"/>
    <w:p>
      <w:pPr>
        <w:pStyle w:val="Bibliography"/>
      </w:pPr>
      <w:r>
        <w:t xml:space="preserve">40.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79"/>
    <w:bookmarkStart w:id="80" w:name="ref-davies_forestgeo_2021"/>
    <w:p>
      <w:pPr>
        <w:pStyle w:val="Bibliography"/>
      </w:pPr>
      <w:r>
        <w:t xml:space="preserve">41.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0"/>
    <w:bookmarkStart w:id="82" w:name="ref-friedl_mcd12q2_2019"/>
    <w:p>
      <w:pPr>
        <w:pStyle w:val="Bibliography"/>
      </w:pPr>
      <w:r>
        <w:t xml:space="preserve">42.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1">
        <w:r>
          <w:rPr>
            <w:rStyle w:val="Hyperlink"/>
          </w:rPr>
          <w:t xml:space="preserve">10.5067/MODIS/MCD12Q2.006</w:t>
        </w:r>
      </w:hyperlink>
      <w:r>
        <w:t xml:space="preserve">.</w:t>
      </w:r>
    </w:p>
    <w:bookmarkEnd w:id="82"/>
    <w:bookmarkStart w:id="84"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3">
        <w:r>
          <w:rPr>
            <w:rStyle w:val="Hyperlink"/>
          </w:rPr>
          <w:t xml:space="preserve">10.5281/ZENODO.4041609</w:t>
        </w:r>
      </w:hyperlink>
      <w:r>
        <w:t xml:space="preserve">.</w:t>
      </w:r>
    </w:p>
    <w:bookmarkEnd w:id="84"/>
    <w:bookmarkStart w:id="85" w:name="ref-benestad_empiricalstatistical_2008"/>
    <w:p>
      <w:pPr>
        <w:pStyle w:val="Bibliography"/>
      </w:pPr>
      <w:r>
        <w:t xml:space="preserve">44.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85"/>
    <w:bookmarkStart w:id="86"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6"/>
    <w:bookmarkStart w:id="87"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7"/>
    <w:bookmarkStart w:id="88" w:name="ref-gabry_rstanarm_2020"/>
    <w:p>
      <w:pPr>
        <w:pStyle w:val="Bibliography"/>
      </w:pPr>
      <w:r>
        <w:t xml:space="preserve">47.</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88"/>
    <w:bookmarkStart w:id="89" w:name="ref-stokes_introduction_1968"/>
    <w:p>
      <w:pPr>
        <w:pStyle w:val="Bibliography"/>
      </w:pPr>
      <w:r>
        <w:t xml:space="preserve">48.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89"/>
    <w:bookmarkStart w:id="90" w:name="ref-alexander_potential_2019"/>
    <w:p>
      <w:pPr>
        <w:pStyle w:val="Bibliography"/>
      </w:pPr>
      <w:r>
        <w:t xml:space="preserve">49.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90"/>
    <w:bookmarkStart w:id="91" w:name="ref-dye_comparing_2016"/>
    <w:p>
      <w:pPr>
        <w:pStyle w:val="Bibliography"/>
      </w:pPr>
      <w:r>
        <w:t xml:space="preserve">50.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91"/>
    <w:bookmarkStart w:id="92" w:name="ref-maxwell_sampling_2020"/>
    <w:p>
      <w:pPr>
        <w:pStyle w:val="Bibliography"/>
      </w:pPr>
      <w:r>
        <w:t xml:space="preserve">51.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92"/>
    <w:bookmarkStart w:id="93" w:name="ref-maxwell_increased_2017"/>
    <w:p>
      <w:pPr>
        <w:pStyle w:val="Bibliography"/>
      </w:pPr>
      <w:r>
        <w:t xml:space="preserve">52.</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3"/>
    <w:bookmarkStart w:id="94" w:name="ref-wilde_comparing_2018"/>
    <w:p>
      <w:pPr>
        <w:pStyle w:val="Bibliography"/>
      </w:pPr>
      <w:r>
        <w:t xml:space="preserve">53.</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4"/>
    <w:bookmarkStart w:id="95" w:name="ref-strange_comparing_2019"/>
    <w:p>
      <w:pPr>
        <w:pStyle w:val="Bibliography"/>
      </w:pPr>
      <w:r>
        <w:t xml:space="preserve">54.</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5"/>
    <w:bookmarkStart w:id="96" w:name="ref-au_demographic_2020"/>
    <w:p>
      <w:pPr>
        <w:pStyle w:val="Bibliography"/>
      </w:pPr>
      <w:r>
        <w:t xml:space="preserve">55.</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6"/>
    <w:bookmarkStart w:id="97" w:name="ref-matheus_placing_2018"/>
    <w:p>
      <w:pPr>
        <w:pStyle w:val="Bibliography"/>
      </w:pPr>
      <w:r>
        <w:t xml:space="preserve">56.</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7"/>
    <w:bookmarkStart w:id="98" w:name="ref-leblanc_radial_2020"/>
    <w:p>
      <w:pPr>
        <w:pStyle w:val="Bibliography"/>
      </w:pPr>
      <w:r>
        <w:t xml:space="preserve">57.</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98"/>
    <w:bookmarkStart w:id="99" w:name="ref-maxwell_higher_2019"/>
    <w:p>
      <w:pPr>
        <w:pStyle w:val="Bibliography"/>
      </w:pPr>
      <w:r>
        <w:t xml:space="preserve">58.</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99"/>
    <w:bookmarkStart w:id="100" w:name="ref-maxwell_dendroclimatic_2015"/>
    <w:p>
      <w:pPr>
        <w:pStyle w:val="Bibliography"/>
      </w:pPr>
      <w:r>
        <w:t xml:space="preserve">59.</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100"/>
    <w:bookmarkStart w:id="101" w:name="ref-schmidt_325year_2015"/>
    <w:p>
      <w:pPr>
        <w:pStyle w:val="Bibliography"/>
      </w:pPr>
      <w:r>
        <w:t xml:space="preserve">60.</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101"/>
    <w:bookmarkStart w:id="102" w:name="ref-cook_time_1985"/>
    <w:p>
      <w:pPr>
        <w:pStyle w:val="Bibliography"/>
      </w:pPr>
      <w:r>
        <w:t xml:space="preserve">61.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2"/>
    <w:bookmarkStart w:id="104" w:name="ref-cook_methods_1990"/>
    <w:p>
      <w:pPr>
        <w:pStyle w:val="Bibliography"/>
      </w:pPr>
      <w:r>
        <w:t xml:space="preserve">62.</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3">
        <w:r>
          <w:rPr>
            <w:rStyle w:val="Hyperlink"/>
          </w:rPr>
          <w:t xml:space="preserve">10.1007/978-94-015-7879-0</w:t>
        </w:r>
      </w:hyperlink>
      <w:r>
        <w:t xml:space="preserve">.</w:t>
      </w:r>
    </w:p>
    <w:bookmarkEnd w:id="104"/>
    <w:bookmarkStart w:id="105" w:name="ref-harris_version_2020"/>
    <w:p>
      <w:pPr>
        <w:pStyle w:val="Bibliography"/>
      </w:pPr>
      <w:r>
        <w:t xml:space="preserve">63.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bunn_dendrochronology_2008"/>
    <w:p>
      <w:pPr>
        <w:pStyle w:val="Bibliography"/>
      </w:pPr>
      <w:r>
        <w:t xml:space="preserve">64.</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6"/>
    <w:bookmarkStart w:id="107" w:name="ref-zang_dendroclimatic_2013"/>
    <w:p>
      <w:pPr>
        <w:pStyle w:val="Bibliography"/>
      </w:pPr>
      <w:r>
        <w:t xml:space="preserve">65.</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7"/>
    <w:bookmarkStart w:id="108" w:name="ref-biondi_dendroclim2002_2004"/>
    <w:p>
      <w:pPr>
        <w:pStyle w:val="Bibliography"/>
      </w:pPr>
      <w:r>
        <w:t xml:space="preserve">66.</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08"/>
    <w:bookmarkEnd w:id="109"/>
    <w:bookmarkEnd w:id="11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3"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5"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5"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2021-10-21T13:42:33Z</dcterms:created>
  <dcterms:modified xsi:type="dcterms:W3CDTF">2021-10-21T13:42:33Z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