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1–3,4</w:t>
      </w:r>
      <w:r>
        <w:rPr>
          <w:bCs/>
          <w:b/>
        </w:rPr>
        <w:t xml:space="preserve"> </w:t>
      </w:r>
      <w:r>
        <w:rPr>
          <w:bCs/>
          <w:b/>
        </w:rPr>
        <w:t xml:space="preserve">and commencement of net carbon dioxide (CO</w:t>
      </w:r>
      <w:r>
        <w:rPr>
          <w:vertAlign w:val="subscript"/>
          <w:bCs/>
          <w:b/>
        </w:rPr>
        <w:t xml:space="preserve">2</w:t>
      </w:r>
      <w:r>
        <w:rPr>
          <w:bCs/>
          <w:b/>
        </w:rPr>
        <w:t xml:space="preserve">) uptake</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to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(95% confidence interval did not include 0)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w:t>
      </w:r>
      <w:r>
        <w:rPr>
          <w:vertAlign w:val="superscript"/>
        </w:rPr>
        <w:t xml:space="preserve">23,28,30</w:t>
      </w:r>
      <w:r>
        <w:t xml:space="preserve">, nutrient limitation</w:t>
      </w:r>
      <w:r>
        <w:rPr>
          <w:vertAlign w:val="superscript"/>
        </w:rPr>
        <w:t xml:space="preserve">38</w:t>
      </w:r>
      <w:r>
        <w:t xml:space="preserve">, daylength</w:t>
      </w:r>
      <w:r>
        <w:rPr>
          <w:vertAlign w:val="superscript"/>
        </w:rPr>
        <w:t xml:space="preserve">30</w:t>
      </w:r>
      <w:r>
        <w:t xml:space="preserve">, or sink saturation</w:t>
      </w:r>
      <w:r>
        <w:rPr>
          <w:vertAlign w:val="superscript"/>
        </w:rPr>
        <w:t xml:space="preserve">23,31</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p>
    <w:p>
      <w:pPr>
        <w:pStyle w:val="BodyText"/>
      </w:pPr>
      <w:r>
        <w:t xml:space="preserve">Combined with widespread observations that warming springs tend to lengthen the season of CO</w:t>
      </w:r>
      <w:r>
        <w:rPr>
          <w:vertAlign w:val="subscript"/>
        </w:rPr>
        <w:t xml:space="preserve">2</w:t>
      </w:r>
      <w:r>
        <w:t xml:space="preserve"> </w:t>
      </w:r>
      <w:r>
        <w:t xml:space="preserve">uptake</w:t>
      </w:r>
      <w:r>
        <w:rPr>
          <w:vertAlign w:val="superscript"/>
        </w:rPr>
        <w:t xml:space="preserve">4,20</w:t>
      </w:r>
      <w:r>
        <w:t xml:space="preserve"> </w:t>
      </w:r>
      <w:r>
        <w:t xml:space="preserve">and increase net annual CO</w:t>
      </w:r>
      <w:r>
        <w:rPr>
          <w:vertAlign w:val="subscript"/>
        </w:rPr>
        <w:t xml:space="preserve">2</w:t>
      </w:r>
      <w:r>
        <w:t xml:space="preserve"> </w:t>
      </w:r>
      <w:r>
        <w:t xml:space="preserve">uptake</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 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27" w:name="References"/>
    <w:p>
      <w:pPr>
        <w:pStyle w:val="Heading1"/>
      </w:pPr>
      <w:r>
        <w:t xml:space="preserve">References</w:t>
      </w:r>
    </w:p>
    <w:bookmarkEnd w:id="27"/>
    <w:bookmarkStart w:id="33" w:name="Methods"/>
    <w:p>
      <w:pPr>
        <w:pStyle w:val="Heading1"/>
      </w:pPr>
      <w:r>
        <w:t xml:space="preserve">Methods</w:t>
      </w:r>
    </w:p>
    <w:bookmarkStart w:id="30"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8">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8">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30"/>
    <w:bookmarkStart w:id="31"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68,69</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33,72,73</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33,72,73</w:t>
      </w:r>
      <w:r>
        <w:t xml:space="preserve">, while ~15% of the total 207 chronologies came from plot-level collections where trees above a certain diameter (typically 10 cm DBH) were censused and cored</w:t>
      </w:r>
      <w:r>
        <w:rPr>
          <w:vertAlign w:val="superscript"/>
        </w:rPr>
        <w:t xml:space="preserve">34,71</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stabilizes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1"/>
    <w:bookmarkStart w:id="32" w:name="Methods"/>
    <w:p>
      <w:pPr>
        <w:pStyle w:val="Heading2"/>
      </w:pPr>
      <w:r>
        <w:t xml:space="preserve">Methods References</w:t>
      </w:r>
    </w:p>
    <w:bookmarkEnd w:id="32"/>
    <w:bookmarkEnd w:id="33"/>
    <w:bookmarkStart w:id="34"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4"/>
    <w:bookmarkStart w:id="35"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48"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7">
        <w:r>
          <w:rPr>
            <w:rStyle w:val="Hyperlink"/>
          </w:rPr>
          <w:t xml:space="preserve">https://github.com/SCBI-ForestGEO/Dendrobands</w:t>
        </w:r>
      </w:hyperlink>
      <w:r>
        <w:t xml:space="preserve">), which is archived in Zenodo (DOI 10.5281/zenodo.5551143), and for Harvard Forest via the Harvard Forest Data Archive (</w:t>
      </w:r>
      <w:hyperlink r:id="rId38">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9">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40">
        <w:r>
          <w:rPr>
            <w:rStyle w:val="Hyperlink"/>
          </w:rPr>
          <w:t xml:space="preserve">https://harvardforest1.fas.harvard.edu/exist/apps/datasets/showData.html?id=HF001</w:t>
        </w:r>
      </w:hyperlink>
      <w:r>
        <w:t xml:space="preserve"> </w:t>
      </w:r>
      <w:r>
        <w:t xml:space="preserve">AND</w:t>
      </w:r>
      <w:r>
        <w:t xml:space="preserve"> </w:t>
      </w:r>
      <w:hyperlink r:id="rId41">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2">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3">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4">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5">
        <w:r>
          <w:rPr>
            <w:rStyle w:val="Hyperlink"/>
          </w:rPr>
          <w:t xml:space="preserve">https://www.ncei.noaa.gov/products/paleoclimatology/tree-ring</w:t>
        </w:r>
      </w:hyperlink>
      <w:r>
        <w:t xml:space="preserve">), the DendroEcological Network (DEN;</w:t>
      </w:r>
      <w:r>
        <w:t xml:space="preserve"> </w:t>
      </w:r>
      <w:hyperlink r:id="rId46">
        <w:r>
          <w:rPr>
            <w:rStyle w:val="Hyperlink"/>
          </w:rPr>
          <w:t xml:space="preserve">https://www.uvm.edu/femc/dendro/</w:t>
        </w:r>
      </w:hyperlink>
      <w:r>
        <w:t xml:space="preserve">), and/or the Harvard Forest Data Archive (</w:t>
      </w:r>
      <w:hyperlink r:id="rId47">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8"/>
    <w:bookmarkStart w:id="51"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9">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50">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51"/>
    <w:bookmarkStart w:id="141"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Start w:id="140" w:name="refs"/>
    <w:bookmarkStart w:id="52"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2"/>
    <w:bookmarkStart w:id="53"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3"/>
    <w:bookmarkStart w:id="54"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4"/>
    <w:bookmarkStart w:id="55"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5"/>
    <w:bookmarkStart w:id="56"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5"/>
    <w:bookmarkStart w:id="67"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6">
        <w:r>
          <w:rPr>
            <w:rStyle w:val="Hyperlink"/>
          </w:rPr>
          <w:t xml:space="preserve">10.1038/s41558-020-00976-6</w:t>
        </w:r>
      </w:hyperlink>
      <w:r>
        <w:t xml:space="preserve">.</w:t>
      </w:r>
    </w:p>
    <w:bookmarkEnd w:id="67"/>
    <w:bookmarkStart w:id="68"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8"/>
    <w:bookmarkStart w:id="69"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9"/>
    <w:bookmarkStart w:id="70"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0"/>
    <w:bookmarkStart w:id="71"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1"/>
    <w:bookmarkStart w:id="72"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28</w:t>
      </w:r>
      <w:r>
        <w:t xml:space="preserve">, 3083–3093 (2022).</w:t>
      </w:r>
    </w:p>
    <w:bookmarkEnd w:id="72"/>
    <w:bookmarkStart w:id="73"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3"/>
    <w:bookmarkStart w:id="74"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4"/>
    <w:bookmarkStart w:id="75"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5"/>
    <w:bookmarkStart w:id="76"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6"/>
    <w:bookmarkStart w:id="77"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80"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9">
        <w:r>
          <w:rPr>
            <w:rStyle w:val="Hyperlink"/>
          </w:rPr>
          <w:t xml:space="preserve">10.1038/s41559-022-01668-4</w:t>
        </w:r>
      </w:hyperlink>
      <w:r>
        <w:t xml:space="preserve">.</w:t>
      </w:r>
    </w:p>
    <w:bookmarkEnd w:id="80"/>
    <w:bookmarkStart w:id="81"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1"/>
    <w:bookmarkStart w:id="82"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2"/>
    <w:bookmarkStart w:id="83"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3"/>
    <w:bookmarkStart w:id="84"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4"/>
    <w:bookmarkStart w:id="85"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elmore_earlier_2016"/>
    <w:p>
      <w:pPr>
        <w:pStyle w:val="Bibliography"/>
      </w:pPr>
      <w:r>
        <w:t xml:space="preserve">38.</w:t>
      </w:r>
      <w:r>
        <w:t xml:space="preserve"> </w:t>
      </w:r>
      <w:r>
        <w:t xml:space="preserve">	</w:t>
      </w:r>
      <w:r>
        <w:t xml:space="preserve">Elmore, A. J., Nelson, D. M. &amp; Craine, J. M. Earlier springs are causing reduced nitrogen availability in</w:t>
      </w:r>
      <w:r>
        <w:t xml:space="preserve"> </w:t>
      </w:r>
      <w:r>
        <w:t xml:space="preserve">North American</w:t>
      </w:r>
      <w:r>
        <w:t xml:space="preserve"> </w:t>
      </w:r>
      <w:r>
        <w:t xml:space="preserve">eastern deciduous forests.</w:t>
      </w:r>
      <w:r>
        <w:t xml:space="preserve"> </w:t>
      </w:r>
      <w:r>
        <w:rPr>
          <w:iCs/>
          <w:i/>
        </w:rPr>
        <w:t xml:space="preserve">Nature Plants</w:t>
      </w:r>
      <w:r>
        <w:t xml:space="preserve"> </w:t>
      </w:r>
      <w:r>
        <w:rPr>
          <w:bCs/>
          <w:b/>
        </w:rPr>
        <w:t xml:space="preserve">2</w:t>
      </w:r>
      <w:r>
        <w:t xml:space="preserve">, 16133 (2016).</w:t>
      </w:r>
    </w:p>
    <w:bookmarkEnd w:id="91"/>
    <w:bookmarkStart w:id="92"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2"/>
    <w:bookmarkStart w:id="93"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3"/>
    <w:bookmarkStart w:id="94"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4"/>
    <w:bookmarkStart w:id="95"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5"/>
    <w:bookmarkStart w:id="96"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6"/>
    <w:bookmarkStart w:id="98"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7">
        <w:r>
          <w:rPr>
            <w:rStyle w:val="Hyperlink"/>
          </w:rPr>
          <w:t xml:space="preserve">10.1073/pnas.2002713117</w:t>
        </w:r>
      </w:hyperlink>
      <w:r>
        <w:t xml:space="preserve">.</w:t>
      </w:r>
    </w:p>
    <w:bookmarkEnd w:id="98"/>
    <w:bookmarkStart w:id="99"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9"/>
    <w:bookmarkStart w:id="100"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100"/>
    <w:bookmarkStart w:id="101"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9"/>
    <w:bookmarkStart w:id="110"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0"/>
    <w:bookmarkStart w:id="111"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1"/>
    <w:bookmarkStart w:id="113"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2">
        <w:r>
          <w:rPr>
            <w:rStyle w:val="Hyperlink"/>
          </w:rPr>
          <w:t xml:space="preserve">10.5067/MODIS/MCD12Q2.006</w:t>
        </w:r>
      </w:hyperlink>
      <w:r>
        <w:t xml:space="preserve">.</w:t>
      </w:r>
    </w:p>
    <w:bookmarkEnd w:id="113"/>
    <w:bookmarkStart w:id="115"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4">
        <w:r>
          <w:rPr>
            <w:rStyle w:val="Hyperlink"/>
          </w:rPr>
          <w:t xml:space="preserve">10.5281/ZENODO.4041609</w:t>
        </w:r>
      </w:hyperlink>
      <w:r>
        <w:t xml:space="preserve">.</w:t>
      </w:r>
    </w:p>
    <w:bookmarkEnd w:id="115"/>
    <w:bookmarkStart w:id="116"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6"/>
    <w:bookmarkStart w:id="118"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7">
        <w:r>
          <w:rPr>
            <w:rStyle w:val="Hyperlink"/>
          </w:rPr>
          <w:t xml:space="preserve">10.6073/PASTA/213335F5DAA17222A738C105B9FA60C4</w:t>
        </w:r>
      </w:hyperlink>
      <w:r>
        <w:t xml:space="preserve">.</w:t>
      </w:r>
    </w:p>
    <w:bookmarkEnd w:id="118"/>
    <w:bookmarkStart w:id="120"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9">
        <w:r>
          <w:rPr>
            <w:rStyle w:val="Hyperlink"/>
          </w:rPr>
          <w:t xml:space="preserve">10.6073/PASTA/69E92642B512897032446CFE795CFFB8</w:t>
        </w:r>
      </w:hyperlink>
      <w:r>
        <w:t xml:space="preserve">.</w:t>
      </w:r>
    </w:p>
    <w:bookmarkEnd w:id="120"/>
    <w:bookmarkStart w:id="121"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1"/>
    <w:bookmarkStart w:id="122"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3"/>
    <w:bookmarkStart w:id="124"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4"/>
    <w:bookmarkStart w:id="125"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5"/>
    <w:bookmarkStart w:id="126"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6"/>
    <w:bookmarkStart w:id="127" w:name="ref-speer_fundamentals_2010"/>
    <w:p>
      <w:pPr>
        <w:pStyle w:val="Bibliography"/>
      </w:pPr>
      <w:r>
        <w:t xml:space="preserve">69.</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27"/>
    <w:bookmarkStart w:id="128"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8"/>
    <w:bookmarkStart w:id="129"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9"/>
    <w:bookmarkStart w:id="130" w:name="ref-pederson_climatic_2005"/>
    <w:p>
      <w:pPr>
        <w:pStyle w:val="Bibliography"/>
      </w:pPr>
      <w:r>
        <w:t xml:space="preserve">72.</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30"/>
    <w:bookmarkStart w:id="131"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1"/>
    <w:bookmarkStart w:id="133"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2">
        <w:r>
          <w:rPr>
            <w:rStyle w:val="Hyperlink"/>
          </w:rPr>
          <w:t xml:space="preserve">10.1007/978-94-015-7879-0</w:t>
        </w:r>
      </w:hyperlink>
      <w:r>
        <w:t xml:space="preserve">.</w:t>
      </w:r>
    </w:p>
    <w:bookmarkEnd w:id="133"/>
    <w:bookmarkStart w:id="134"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4"/>
    <w:bookmarkStart w:id="135"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5"/>
    <w:bookmarkStart w:id="136"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6"/>
    <w:bookmarkStart w:id="137"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7"/>
    <w:bookmarkStart w:id="138"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8"/>
    <w:bookmarkStart w:id="139"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9"/>
    <w:bookmarkEnd w:id="140"/>
    <w:bookmarkEnd w:id="141"/>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6"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97" Target="https://doi.org/10.1073/pnas.2002713117" TargetMode="External" /><Relationship Type="http://schemas.openxmlformats.org/officeDocument/2006/relationships/hyperlink" Id="rId112" Target="https://doi.org/10.5067/MODIS/MCD12Q2.006" TargetMode="External" /><Relationship Type="http://schemas.openxmlformats.org/officeDocument/2006/relationships/hyperlink" Id="rId114" Target="https://doi.org/10.5281/ZENODO.4041609" TargetMode="External" /><Relationship Type="http://schemas.openxmlformats.org/officeDocument/2006/relationships/hyperlink" Id="rId117" Target="https://doi.org/10.6073/PASTA/213335F5DAA17222A738C105B9FA60C4" TargetMode="External" /><Relationship Type="http://schemas.openxmlformats.org/officeDocument/2006/relationships/hyperlink" Id="rId119"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6"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97" Target="https://doi.org/10.1073/pnas.2002713117" TargetMode="External" /><Relationship Type="http://schemas.openxmlformats.org/officeDocument/2006/relationships/hyperlink" Id="rId112" Target="https://doi.org/10.5067/MODIS/MCD12Q2.006" TargetMode="External" /><Relationship Type="http://schemas.openxmlformats.org/officeDocument/2006/relationships/hyperlink" Id="rId114" Target="https://doi.org/10.5281/ZENODO.4041609" TargetMode="External" /><Relationship Type="http://schemas.openxmlformats.org/officeDocument/2006/relationships/hyperlink" Id="rId117" Target="https://doi.org/10.6073/PASTA/213335F5DAA17222A738C105B9FA60C4" TargetMode="External" /><Relationship Type="http://schemas.openxmlformats.org/officeDocument/2006/relationships/hyperlink" Id="rId119"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2022-04-27T16:03:30Z</dcterms:created>
  <dcterms:modified xsi:type="dcterms:W3CDTF">2022-04-27T16:03:30Z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