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1–4,7–9</w:t>
      </w:r>
      <w:r>
        <w:t xml:space="preserve">, very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rPr>
          <w:iCs/>
          <w:i/>
        </w:rPr>
        <w:t xml:space="preserve">ADD SOMETHING ON HOW STANDARD PRECIPITAITON EVAPOTRANSPIRATIN INDEX WAS FOUND</w:t>
      </w:r>
      <w:r>
        <w:t xml:space="preserve">!!!!</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60</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4,61,62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64</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64,65</w:t>
      </w:r>
      <w:r>
        <w:t xml:space="preserve">.</w:t>
      </w:r>
      <w:r>
        <w:t xml:space="preserve"> </w:t>
      </w:r>
      <w:r>
        <w:t xml:space="preserve">An adaptive power transformation, a process that also stabilises the variance over time</w:t>
      </w:r>
      <w:r>
        <w:rPr>
          <w:vertAlign w:val="superscript"/>
        </w:rPr>
        <w:t xml:space="preserve">66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67</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68</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5" w:name="References"/>
    <w:p>
      <w:pPr>
        <w:pStyle w:val="Heading1"/>
      </w:pPr>
      <w:r>
        <w:t xml:space="preserve">References</w:t>
      </w:r>
    </w:p>
    <w:bookmarkStart w:id="114"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9"/>
    <w:bookmarkStart w:id="100" w:name="ref-stan_development_team_stan_2019"/>
    <w:p>
      <w:pPr>
        <w:pStyle w:val="Bibliography"/>
      </w:pPr>
      <w:r>
        <w:t xml:space="preserve">59.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0"/>
    <w:bookmarkStart w:id="101" w:name="ref-stokes_introduction_1968"/>
    <w:p>
      <w:pPr>
        <w:pStyle w:val="Bibliography"/>
      </w:pPr>
      <w:r>
        <w:t xml:space="preserve">60.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1"/>
    <w:bookmarkStart w:id="102" w:name="ref-alexander_potential_2019"/>
    <w:p>
      <w:pPr>
        <w:pStyle w:val="Bibliography"/>
      </w:pPr>
      <w:r>
        <w:t xml:space="preserve">61.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2"/>
    <w:bookmarkStart w:id="103" w:name="ref-dye_comparing_2016"/>
    <w:p>
      <w:pPr>
        <w:pStyle w:val="Bibliography"/>
      </w:pPr>
      <w:r>
        <w:t xml:space="preserve">62.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3"/>
    <w:bookmarkStart w:id="104" w:name="ref-maxwell_sampling_2020"/>
    <w:p>
      <w:pPr>
        <w:pStyle w:val="Bibliography"/>
      </w:pPr>
      <w:r>
        <w:t xml:space="preserve">63.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4"/>
    <w:bookmarkStart w:id="106" w:name="ref-cook_methods_1990"/>
    <w:p>
      <w:pPr>
        <w:pStyle w:val="Bibliography"/>
      </w:pPr>
      <w:r>
        <w:t xml:space="preserve">64.</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5">
        <w:r>
          <w:rPr>
            <w:rStyle w:val="Hyperlink"/>
          </w:rPr>
          <w:t xml:space="preserve">10.1007/978-94-015-7879-0</w:t>
        </w:r>
      </w:hyperlink>
      <w:r>
        <w:t xml:space="preserve">.</w:t>
      </w:r>
    </w:p>
    <w:bookmarkEnd w:id="106"/>
    <w:bookmarkStart w:id="107" w:name="ref-cook_time_1985"/>
    <w:p>
      <w:pPr>
        <w:pStyle w:val="Bibliography"/>
      </w:pPr>
      <w:r>
        <w:t xml:space="preserve">65.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7"/>
    <w:bookmarkStart w:id="108" w:name="ref-cook_calculating_1997"/>
    <w:p>
      <w:pPr>
        <w:pStyle w:val="Bibliography"/>
      </w:pPr>
      <w:r>
        <w:t xml:space="preserve">66.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08"/>
    <w:bookmarkStart w:id="109" w:name="ref-jones_estimating_1997"/>
    <w:p>
      <w:pPr>
        <w:pStyle w:val="Bibliography"/>
      </w:pPr>
      <w:r>
        <w:t xml:space="preserve">67.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09"/>
    <w:bookmarkStart w:id="110" w:name="ref-harris_version_2020"/>
    <w:p>
      <w:pPr>
        <w:pStyle w:val="Bibliography"/>
      </w:pPr>
      <w:r>
        <w:t xml:space="preserve">68.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0"/>
    <w:bookmarkStart w:id="111" w:name="ref-bunn_dendrochronology_2008"/>
    <w:p>
      <w:pPr>
        <w:pStyle w:val="Bibliography"/>
      </w:pPr>
      <w:r>
        <w:t xml:space="preserve">69.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1"/>
    <w:bookmarkStart w:id="112" w:name="ref-zang_dendroclimatic_2013"/>
    <w:p>
      <w:pPr>
        <w:pStyle w:val="Bibliography"/>
      </w:pPr>
      <w:r>
        <w:t xml:space="preserve">70.</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2"/>
    <w:bookmarkStart w:id="113" w:name="ref-biondi_dendroclim2002_2004"/>
    <w:p>
      <w:pPr>
        <w:pStyle w:val="Bibliography"/>
      </w:pPr>
      <w:r>
        <w:t xml:space="preserve">71.</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3"/>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5"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2021-11-16T17:45:56Z</dcterms:created>
  <dcterms:modified xsi:type="dcterms:W3CDTF">2021-11-16T17:45:56Z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