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463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or strengthen the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21,22</w:t>
      </w:r>
      <w:r>
        <w:t xml:space="preserve">.</w:t>
      </w:r>
      <w:r>
        <w:t xml:space="preserve"> </w:t>
      </w:r>
      <w:r>
        <w:t xml:space="preserve">A substantive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w:t>
      </w:r>
      <w:r>
        <w:rPr>
          <w:vertAlign w:val="superscript"/>
        </w:rPr>
        <w:t xml:space="preserve">23</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24,25</w:t>
      </w:r>
      <w:r>
        <w:t xml:space="preserve">.</w:t>
      </w:r>
    </w:p>
    <w:p>
      <w:pPr>
        <w:pStyle w:val="BodyText"/>
      </w:pPr>
      <w:r>
        <w:t xml:space="preserve">~~~~ (rework starting here)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terrestrial ecosystem models, which have a rudimentary treatment of tree growth phenology</w:t>
      </w:r>
      <w:r>
        <w:rPr>
          <w:vertAlign w:val="superscript"/>
        </w:rPr>
        <w:t xml:space="preserve">16</w:t>
      </w:r>
      <w:r>
        <w:t xml:space="preserve">, effectively assume that longer growing seasons lead to increasing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w:t>
      </w:r>
      <w:r>
        <w:t xml:space="preserve">.</w:t>
      </w:r>
      <w:r>
        <w:t xml:space="preserve"> </w:t>
      </w:r>
      <w:r>
        <w:t xml:space="preserve">However, recent experimental and observational findings show that annual stem growth is not correlated with growing season length</w:t>
      </w:r>
      <w:r>
        <w:rPr>
          <w:vertAlign w:val="superscript"/>
        </w:rPr>
        <w:t xml:space="preserve">26</w:t>
      </w:r>
      <w:r>
        <w:t xml:space="preserve">, but rather can be limited by sink factors</w:t>
      </w:r>
      <w:r>
        <w:rPr>
          <w:vertAlign w:val="superscript"/>
        </w:rPr>
        <w:t xml:space="preserve">19,27–29</w:t>
      </w:r>
      <w:r>
        <w:t xml:space="preserve">,</w:t>
      </w:r>
      <w:r>
        <w:t xml:space="preserve"> </w:t>
      </w:r>
      <w:r>
        <w:t xml:space="preserve">and that positive effects of warm springs can be compensated by negative effects of accumulation of seasonal water deficits</w:t>
      </w:r>
      <w:r>
        <w:rPr>
          <w:vertAlign w:val="superscript"/>
        </w:rPr>
        <w:t xml:space="preserve">3</w:t>
      </w:r>
      <w:r>
        <w:t xml:space="preserve">.</w:t>
      </w:r>
      <w:r>
        <w:t xml:space="preserve"> </w:t>
      </w:r>
      <w:r>
        <w:t xml:space="preserve">These studies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responses of leaf phenology and seasonal</w:t>
      </w:r>
      <w:r>
        <w:t xml:space="preserve"> </w:t>
      </w:r>
      <w:r>
        <w:rPr>
          <w:iCs/>
          <w:i/>
        </w:rPr>
        <w:t xml:space="preserve">NEE</w:t>
      </w:r>
      <w:r>
        <w:t xml:space="preserve"> </w:t>
      </w:r>
      <w:r>
        <w:t xml:space="preserve">to warming spring temperatures have been documented in the temperate deciduous biome and beyond,</w:t>
      </w:r>
      <w:r>
        <w:rPr>
          <w:vertAlign w:val="superscript"/>
        </w:rPr>
        <w:t xml:space="preserve">1–4,7–9</w:t>
      </w:r>
      <w:r>
        <w:t xml:space="preserve"> little is known about how the longest-lived component of fixed C in trees, the woody stem growth, is responding to warming spring temperatures in deciduous forests</w:t>
      </w:r>
      <w:r>
        <w:rPr>
          <w:vertAlign w:val="superscript"/>
        </w:rPr>
        <w:t xml:space="preserve">15,16</w:t>
      </w:r>
      <w:r>
        <w:t xml:space="preserve"> </w:t>
      </w:r>
      <w:r>
        <w:t xml:space="preserve">(but see Refs.</w:t>
      </w:r>
      <w:r>
        <w:rPr>
          <w:vertAlign w:val="superscript"/>
        </w:rPr>
        <w:t xml:space="preserve">30–32</w:t>
      </w:r>
      <w:r>
        <w:t xml:space="preserve"> </w:t>
      </w:r>
      <w:r>
        <w:t xml:space="preserve">for influence of spring temperatures on timing of growth in conifers).</w:t>
      </w:r>
      <w:r>
        <w:t xml:space="preserve"> </w:t>
      </w:r>
      <w:r>
        <w:t xml:space="preserve">The timing of stem growth and its climate sensitivity is linked to annual growth</w:t>
      </w:r>
      <w:r>
        <w:rPr>
          <w:vertAlign w:val="superscript"/>
        </w:rPr>
        <w:t xml:space="preserve">26,29,33–35</w:t>
      </w:r>
      <w:r>
        <w:t xml:space="preserve">; however, the role of spring temperatures in shaping the timing and amount of growth remains unclear</w:t>
      </w:r>
      <w:r>
        <w:rPr>
          <w:vertAlign w:val="superscript"/>
        </w:rPr>
        <w:t xml:space="preserve">15</w:t>
      </w:r>
      <w:r>
        <w:t xml:space="preserve">.</w:t>
      </w:r>
      <w:r>
        <w:t xml:space="preserve"> </w:t>
      </w:r>
    </w:p>
    <w:p>
      <w:pPr>
        <w:pStyle w:val="BodyText"/>
      </w:pPr>
      <w:r>
        <w:t xml:space="preserve"> </w:t>
      </w:r>
      <w:r>
        <w:t xml:space="preserve">Three cambial processes drive the relationship between stem growth and woody productivity: cell differentiation, cell enlargement, and cell wall thickening. Irreversible stem expansion occurs as a result of differentiation (20% of stem growth) and expansion (80% of stem growth), and accounts for ~10% of annual woody productivity</w:t>
      </w:r>
      <w:r>
        <w:rPr>
          <w:vertAlign w:val="superscript"/>
        </w:rPr>
        <w:t xml:space="preserve">36</w:t>
      </w:r>
      <w:r>
        <w:t xml:space="preserve">. The remaining 90% of woody productivity is caused by cell wall thickening. It would stand to reason that years with identical stem growth have a similar number of cells which are similarly sized (increased latewood can be an issue here, as you acknowledge). If we assume that cell wall thickness is controlled by processes within the tree (ie. hormonal responses instead of external climate drivers), then we can predict that cell wall thickness is relatively uniform within each cell type (early wood and late wood). Therefore, years with a similar amount of stem growth would sequester a similar amount of carbon during cell wall thickening, and we can say that stem growth equates to woody productivity.</w:t>
      </w:r>
    </w:p>
    <w:p>
      <w:pPr>
        <w:pStyle w:val="BodyText"/>
      </w:pPr>
      <w:r>
        <w:rPr>
          <w:iCs/>
          <w:i/>
        </w:rPr>
        <w:t xml:space="preserve">points to make in new version</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29 and refs therein</w:t>
      </w:r>
    </w:p>
    <w:p>
      <w:pPr>
        <w:numPr>
          <w:ilvl w:val="0"/>
          <w:numId w:val="1002"/>
        </w:numPr>
        <w:pStyle w:val="Compact"/>
      </w:pPr>
      <w:r>
        <w:t xml:space="preserve">stem growth and woody productivity are decoupled from GPP</w:t>
      </w:r>
      <w:r>
        <w:rPr>
          <w:vertAlign w:val="superscript"/>
        </w:rPr>
        <w:t xml:space="preserve">29 and refs therein</w:t>
      </w:r>
    </w:p>
    <w:p>
      <w:pPr>
        <w:numPr>
          <w:ilvl w:val="0"/>
          <w:numId w:val="1002"/>
        </w:numPr>
        <w:pStyle w:val="Compact"/>
      </w:pPr>
      <w:r>
        <w:t xml:space="preserve">close coordination of budburst and xylogenesis</w:t>
      </w:r>
      <w:r>
        <w:rPr>
          <w:vertAlign w:val="superscript"/>
        </w:rPr>
        <w:t xml:space="preserve">16</w:t>
      </w:r>
    </w:p>
    <w:p>
      <w:pPr>
        <w:pStyle w:val="FirstParagraph"/>
      </w:pPr>
      <w:r>
        <w:t xml:space="preserve">~~~~ (rework ending here)</w:t>
      </w:r>
    </w:p>
    <w:p>
      <w:pPr>
        <w:pStyle w:val="BodyText"/>
      </w:pP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hints that warmer springs may have a modest positive effect on growth</w:t>
      </w:r>
      <w:r>
        <w:rPr>
          <w:vertAlign w:val="superscript"/>
        </w:rPr>
        <w:t xml:space="preserve">38</w:t>
      </w:r>
      <w:r>
        <w:t xml:space="preserve">.</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peak stem growth timing, growth rates, and annual growth of temperate deciduous trees across eastern North America.</w:t>
      </w:r>
      <w:r>
        <w:t xml:space="preserve"> </w:t>
      </w:r>
      <w:r>
        <w:t xml:space="preserve">To test whether warmer springs extend the period of peak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(69 trees at SCBI and 138 trees at Harvard Forest) and diffuse-porous (54 trees at SCBI and 202 trees at Harvard Forest) species, which differ in the seasonal timing of growth</w:t>
      </w:r>
      <w:r>
        <w:rPr>
          <w:vertAlign w:val="superscript"/>
        </w:rPr>
        <w:t xml:space="preserve">33,34</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6964679"/>
            <wp:effectExtent b="0" l="0" r="0" t="0"/>
            <wp:docPr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33</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 plot, where G = Greenup, M=Mid-greenup, P=peak, and S=Senescence (i.e., beginning of green-down). Panels (c-d) show the dates at which stem growth milestones were achieved, on average, for sampled populations of ring-porous and diffuse-porous trees at SCBI (2011-2020) and Harvard Forest (1998-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porous window at HF and diffuse-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 plot, where G = Greenup, M=Mid-greenup, P=peak, and S=Senescence (i.e., beginning of green-down). Panels (c-d) show the dates at which stem growth milestones were achieved, on average, for sampled populations of ring-porous and diffuse-porous trees at SCBI (2011-2020) and Harvard Forest (1998-2003).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(ring-porous window at HF and diffuse-porous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9,40,41</w:t>
      </w:r>
      <w:r>
        <w:t xml:space="preserve">, leaf phenological milestones advanced at both sites (Fig. 2a-b,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which makes sense given close coordination of budburst and xylogenesis</w:t>
      </w:r>
      <w:r>
        <w:rPr>
          <w:vertAlign w:val="superscript"/>
        </w:rPr>
        <w:t xml:space="preserve">16</w:t>
      </w:r>
      <w:r>
        <w:t xml:space="preserve">, 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hasten the deceleration of stem expansion and thereby have negligible effect on total annual growth for most species and locations (Fig. 3).</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on</w:t>
      </w:r>
      <w:r>
        <w:t xml:space="preserve"> </w:t>
      </w:r>
      <m:oMath>
        <m:r>
          <m:t>D</m:t>
        </m:r>
        <m:r>
          <m:t>O</m:t>
        </m:r>
        <m:sSub>
          <m:e>
            <m:r>
              <m:t>Y</m:t>
            </m:r>
          </m:e>
          <m:sub>
            <m:sSub>
              <m:e>
                <m:r>
                  <m:t>g</m:t>
                </m:r>
              </m:e>
              <m:sub>
                <m:r>
                  <m:t>m</m:t>
                </m:r>
                <m:r>
                  <m:t>a</m:t>
                </m:r>
                <m:r>
                  <m:t>x</m:t>
                </m:r>
              </m:sub>
            </m:sSub>
          </m:sub>
        </m:sSub>
      </m:oMath>
      <w:r>
        <w:t xml:space="preserve">), which occurs mid-summer near the time of</w:t>
      </w:r>
      <w:r>
        <w:t xml:space="preserve"> </w:t>
      </w:r>
      <w:r>
        <w:t xml:space="preserve"> </w:t>
      </w:r>
      <w:r>
        <w:t xml:space="preserve">peak canopy greenness (Extended Data Figure 2)</w:t>
      </w:r>
      <w:r>
        <w:rPr>
          <w:vertAlign w:val="superscript"/>
        </w:rPr>
        <w:t xml:space="preserve">4,26</w:t>
      </w:r>
      <w:r>
        <w:t xml:space="preserve">, is likely driven by cues other than photosynthate limitation, such as water stress, daylength, or sink limitation</w:t>
      </w:r>
      <w:r>
        <w:rPr>
          <w:vertAlign w:val="superscript"/>
        </w:rPr>
        <w:t xml:space="preserve">16,19,26,27,29,35,42</w:t>
      </w:r>
      <w:r>
        <w:t xml:space="preserve">.</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26,37</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3,43</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26,29,34</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12,44,45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46–48</w:t>
      </w:r>
      <w:r>
        <w:t xml:space="preserve">, which is more strongly controlled by summer drought stress</w:t>
      </w:r>
      <w:r>
        <w:rPr>
          <w:vertAlign w:val="superscript"/>
        </w:rPr>
        <w:t xml:space="preserve">46,47</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49,50</w:t>
      </w:r>
      <w:r>
        <w:t xml:space="preserve">, potentially including an earlier start to growth</w:t>
      </w:r>
      <w:r>
        <w:rPr>
          <w:vertAlign w:val="superscript"/>
        </w:rPr>
        <w:t xml:space="preserve">42</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28</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3,51</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49</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52</w:t>
      </w:r>
      <w:r>
        <w:t xml:space="preserve">.</w:t>
      </w:r>
      <w:r>
        <w:t xml:space="preserve"> </w:t>
      </w:r>
      <w:r>
        <w:t xml:space="preserve">Moreover, acclimation of trees to warming temperatures</w:t>
      </w:r>
      <w:r>
        <w:rPr>
          <w:vertAlign w:val="superscript"/>
        </w:rPr>
        <w:t xml:space="preserve">53</w:t>
      </w:r>
      <w:r>
        <w:t xml:space="preserve"> </w:t>
      </w:r>
      <w:r>
        <w:t xml:space="preserve">and, on longer time scales, species adaptations and shifts in community composition</w:t>
      </w:r>
      <w:r>
        <w:rPr>
          <w:vertAlign w:val="superscript"/>
        </w:rPr>
        <w:t xml:space="preserve">54</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55</w:t>
      </w:r>
      <w:r>
        <w:t xml:space="preserve">, woody productivity</w:t>
      </w:r>
      <w:r>
        <w:rPr>
          <w:vertAlign w:val="superscript"/>
        </w:rPr>
        <w:t xml:space="preserve">56</w:t>
      </w:r>
      <w:r>
        <w:t xml:space="preserve">, and</w:t>
      </w:r>
      <w:r>
        <w:t xml:space="preserve"> </w:t>
      </w:r>
      <w:r>
        <w:rPr>
          <w:iCs/>
          <w:i/>
        </w:rPr>
        <w:t xml:space="preserve">NEE</w:t>
      </w:r>
      <w:r>
        <w:rPr>
          <w:vertAlign w:val="superscript"/>
        </w:rPr>
        <w:t xml:space="preserve">57</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2,3,19,20</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58</w:t>
      </w:r>
      <w:r>
        <w:t xml:space="preserve"> </w:t>
      </w:r>
      <w:r>
        <w:t xml:space="preserve">and Harvard Forest</w:t>
      </w:r>
      <w:r>
        <w:rPr>
          <w:vertAlign w:val="superscript"/>
        </w:rPr>
        <w:t xml:space="preserve">4,33</w:t>
      </w:r>
      <w:r>
        <w:t xml:space="preserve">, both part of the Forest Global Earth Observatory (ForestGEO)</w:t>
      </w:r>
      <w:r>
        <w:rPr>
          <w:vertAlign w:val="superscript"/>
        </w:rPr>
        <w:t xml:space="preserve">59,60</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58</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55</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55</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rPr>
            <m:sty m:val="p"/>
          </m:rPr>
          <m:t>=</m:t>
        </m:r>
        <m:r>
          <m:t>1</m:t>
        </m:r>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39,61</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xylem architecture (SCBI = 26, Harvard Forest = 24);</w:t>
      </w:r>
      <w:r>
        <w:t xml:space="preserve"> </w:t>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3</m:t>
        </m:r>
      </m:oMath>
      <w:r>
        <w:t xml:space="preserve"> </w:t>
      </w:r>
      <w:r>
        <w:t xml:space="preserve">standard deviations away from the means for their xylem architecture group, year, and site (SCBI = 71, Harvard Forest = 226);</w:t>
      </w:r>
      <w:r>
        <w:t xml:space="preserve"> </w:t>
      </w:r>
      <w:r>
        <w:t xml:space="preserve">(3) tree-years with small or negligible total growth (</w:t>
      </w:r>
      <m:oMath>
        <m:r>
          <m:t>Δ</m:t>
        </m:r>
        <m:r>
          <m:t>D</m:t>
        </m:r>
        <m:r>
          <m:t>B</m:t>
        </m:r>
        <m:r>
          <m:t>H</m:t>
        </m:r>
      </m:oMath>
      <w:r>
        <w:t xml:space="preserve"> </w:t>
      </w:r>
      <m:oMath>
        <m:r>
          <m:rPr>
            <m:sty m:val="p"/>
          </m:rPr>
          <m:t>≤</m:t>
        </m:r>
        <m:r>
          <m:t>0.05</m:t>
        </m:r>
      </m:oMath>
      <w:r>
        <w:t xml:space="preserve"> </w:t>
      </w:r>
      <w:r>
        <w:t xml:space="preserve">mm; SCBI = 8, Harvard Forest = 137);</w:t>
      </w:r>
      <w:r>
        <w:t xml:space="preserve"> </w:t>
      </w:r>
      <w:r>
        <w:t xml:space="preserve">(4) tree years where first intraannual measurement was later than the first spring survey (trees that were missed in the initial census; SCBI = 20, HF = 6).</w:t>
      </w:r>
      <w:r>
        <w:t xml:space="preserve"> </w:t>
      </w:r>
      <w:r>
        <w:t xml:space="preserve">At both sites the tag years removed through this method were proportional to the original sample size, indicating that no species or size class was disproportionately removed compared to others.</w:t>
      </w:r>
      <w:r>
        <w:t xml:space="preserve"> </w:t>
      </w:r>
      <w:r>
        <w:t xml:space="preserve">This process was repeated using 2.5 and 3 standard deviations and the results of analyses were not qualitatively different.</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62</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and senescence as used in this study.</w:t>
      </w:r>
      <w:r>
        <w:t xml:space="preserve"> </w:t>
      </w:r>
      <w:r>
        <w:t xml:space="preserve">Data points were kept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65,66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67</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68,69</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70</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63,71,72</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73</w:t>
      </w:r>
      <w:r>
        <w:t xml:space="preserve">.</w:t>
      </w:r>
    </w:p>
    <w:p>
      <w:pPr>
        <w:pStyle w:val="BodyText"/>
      </w:pPr>
      <w:r>
        <w:t xml:space="preserve">Dominant tree species were cored at both SCBI</w:t>
      </w:r>
      <w:r>
        <w:rPr>
          <w:vertAlign w:val="superscript"/>
        </w:rPr>
        <w:t xml:space="preserve">38,58</w:t>
      </w:r>
      <w:r>
        <w:t xml:space="preserve"> </w:t>
      </w:r>
      <w:r>
        <w:t xml:space="preserve">and Harvard Forest</w:t>
      </w:r>
      <w:r>
        <w:rPr>
          <w:vertAlign w:val="superscript"/>
        </w:rPr>
        <w:t xml:space="preserve">4,74,75</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37,76</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77</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77,78</w:t>
      </w:r>
      <w:r>
        <w:t xml:space="preserve">.</w:t>
      </w:r>
      <w:r>
        <w:t xml:space="preserve"> </w:t>
      </w:r>
      <w:r>
        <w:t xml:space="preserve">An adaptive power transformation, a process that also stabilises the variance over time</w:t>
      </w:r>
      <w:r>
        <w:rPr>
          <w:vertAlign w:val="superscript"/>
        </w:rPr>
        <w:t xml:space="preserve">79</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80</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78</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81</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82</w:t>
      </w:r>
      <w:r>
        <w:t xml:space="preserve"> </w:t>
      </w:r>
      <w:r>
        <w:t xml:space="preserve">and</w:t>
      </w:r>
      <w:r>
        <w:t xml:space="preserve"> </w:t>
      </w:r>
      <w:r>
        <w:rPr>
          <w:iCs/>
          <w:i/>
        </w:rPr>
        <w:t xml:space="preserve">bootRes</w:t>
      </w:r>
      <w:r>
        <w:rPr>
          <w:vertAlign w:val="superscript"/>
        </w:rPr>
        <w:t xml:space="preserve">83</w:t>
      </w:r>
      <w:r>
        <w:t xml:space="preserve"> </w:t>
      </w:r>
      <w:r>
        <w:t xml:space="preserve">in R v 4.0 (R Core Team, 2020), which correlated functions and bootstrapped confidence intervals for these relationships</w:t>
      </w:r>
      <w:r>
        <w:rPr>
          <w:vertAlign w:val="superscript"/>
        </w:rPr>
        <w:t xml:space="preserve">84</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3" w:name="References"/>
    <w:p>
      <w:pPr>
        <w:pStyle w:val="Heading1"/>
      </w:pPr>
      <w:r>
        <w:t xml:space="preserve">References</w:t>
      </w:r>
    </w:p>
    <w:bookmarkStart w:id="142"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friedlingstein_global_2021"/>
    <w:p>
      <w:pPr>
        <w:pStyle w:val="Bibliography"/>
      </w:pPr>
      <w:r>
        <w:t xml:space="preserve">21.</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2021.</w:t>
      </w:r>
      <w:r>
        <w:t xml:space="preserve"> </w:t>
      </w:r>
      <w:r>
        <w:rPr>
          <w:iCs/>
          <w:i/>
        </w:rPr>
        <w:t xml:space="preserve">Earth System Science Data Discussions</w:t>
      </w:r>
      <w:r>
        <w:t xml:space="preserve"> </w:t>
      </w:r>
      <w:r>
        <w:t xml:space="preserve">1–191 (2021) doi:</w:t>
      </w:r>
      <w:hyperlink r:id="rId69">
        <w:r>
          <w:rPr>
            <w:rStyle w:val="Hyperlink"/>
          </w:rPr>
          <w:t xml:space="preserve">10.5194/essd-2021-386</w:t>
        </w:r>
      </w:hyperlink>
      <w:r>
        <w:t xml:space="preserve">.</w:t>
      </w:r>
    </w:p>
    <w:bookmarkEnd w:id="70"/>
    <w:bookmarkStart w:id="72" w:name="ref-harris_global_2021"/>
    <w:p>
      <w:pPr>
        <w:pStyle w:val="Bibliography"/>
      </w:pPr>
      <w:r>
        <w:t xml:space="preserve">22.</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71">
        <w:r>
          <w:rPr>
            <w:rStyle w:val="Hyperlink"/>
          </w:rPr>
          <w:t xml:space="preserve">10.1038/s41558-020-00976-6</w:t>
        </w:r>
      </w:hyperlink>
      <w:r>
        <w:t xml:space="preserve">.</w:t>
      </w:r>
    </w:p>
    <w:bookmarkEnd w:id="72"/>
    <w:bookmarkStart w:id="73" w:name="ref-pugh_role_2019"/>
    <w:p>
      <w:pPr>
        <w:pStyle w:val="Bibliography"/>
      </w:pPr>
      <w:r>
        <w:t xml:space="preserve">23.</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3"/>
    <w:bookmarkStart w:id="74" w:name="ref-arora_carbon_2020"/>
    <w:p>
      <w:pPr>
        <w:pStyle w:val="Bibliography"/>
      </w:pPr>
      <w:r>
        <w:t xml:space="preserve">24.</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4"/>
    <w:bookmarkStart w:id="75" w:name="ref-friedlingstein_global_2020"/>
    <w:p>
      <w:pPr>
        <w:pStyle w:val="Bibliography"/>
      </w:pPr>
      <w:r>
        <w:t xml:space="preserve">25.</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5"/>
    <w:bookmarkStart w:id="76" w:name="ref-etzold_number_2022"/>
    <w:p>
      <w:pPr>
        <w:pStyle w:val="Bibliography"/>
      </w:pPr>
      <w:r>
        <w:t xml:space="preserve">26.</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76"/>
    <w:bookmarkStart w:id="77" w:name="ref-keenan_timing_2015"/>
    <w:p>
      <w:pPr>
        <w:pStyle w:val="Bibliography"/>
      </w:pPr>
      <w:r>
        <w:t xml:space="preserve">27.</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77"/>
    <w:bookmarkStart w:id="78" w:name="ref-zohner_how_2021"/>
    <w:p>
      <w:pPr>
        <w:pStyle w:val="Bibliography"/>
      </w:pPr>
      <w:r>
        <w:t xml:space="preserve">28.</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78"/>
    <w:bookmarkStart w:id="79" w:name="ref-delpierre_wood_2016"/>
    <w:p>
      <w:pPr>
        <w:pStyle w:val="Bibliography"/>
      </w:pPr>
      <w:r>
        <w:t xml:space="preserve">29.</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9"/>
    <w:bookmarkStart w:id="80" w:name="ref-huang_photoperiod_2020"/>
    <w:p>
      <w:pPr>
        <w:pStyle w:val="Bibliography"/>
      </w:pPr>
      <w:r>
        <w:t xml:space="preserve">30.</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80"/>
    <w:bookmarkStart w:id="81" w:name="ref-delpierre_chilling_2019"/>
    <w:p>
      <w:pPr>
        <w:pStyle w:val="Bibliography"/>
      </w:pPr>
      <w:r>
        <w:t xml:space="preserve">31.</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81"/>
    <w:bookmarkStart w:id="82" w:name="ref-rossi_critical_2008"/>
    <w:p>
      <w:pPr>
        <w:pStyle w:val="Bibliography"/>
      </w:pPr>
      <w:r>
        <w:t xml:space="preserve">32.</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82"/>
    <w:bookmarkStart w:id="84" w:name="ref-dorangeville_peak_2021"/>
    <w:p>
      <w:pPr>
        <w:pStyle w:val="Bibliography"/>
      </w:pPr>
      <w:r>
        <w:t xml:space="preserve">33.</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3">
        <w:r>
          <w:rPr>
            <w:rStyle w:val="Hyperlink"/>
          </w:rPr>
          <w:t xml:space="preserve">10.1093/treephys/tpab101</w:t>
        </w:r>
      </w:hyperlink>
      <w:r>
        <w:t xml:space="preserve">.</w:t>
      </w:r>
    </w:p>
    <w:bookmarkEnd w:id="84"/>
    <w:bookmarkStart w:id="85"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5"/>
    <w:bookmarkStart w:id="86" w:name="ref-zweifel_why_2021"/>
    <w:p>
      <w:pPr>
        <w:pStyle w:val="Bibliography"/>
      </w:pPr>
      <w:r>
        <w:t xml:space="preserve">35.</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6"/>
    <w:bookmarkStart w:id="87"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87"/>
    <w:bookmarkStart w:id="88"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8"/>
    <w:bookmarkStart w:id="89"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9"/>
    <w:bookmarkStart w:id="90"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0"/>
    <w:bookmarkStart w:id="91" w:name="ref-parmesan_globally_2003"/>
    <w:p>
      <w:pPr>
        <w:pStyle w:val="Bibliography"/>
      </w:pPr>
      <w:r>
        <w:t xml:space="preserve">40.</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1"/>
    <w:bookmarkStart w:id="92" w:name="ref-friedl_tale_2014"/>
    <w:p>
      <w:pPr>
        <w:pStyle w:val="Bibliography"/>
      </w:pPr>
      <w:r>
        <w:t xml:space="preserve">41.</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2"/>
    <w:bookmarkStart w:id="93" w:name="ref-fu_variation_2014"/>
    <w:p>
      <w:pPr>
        <w:pStyle w:val="Bibliography"/>
      </w:pPr>
      <w:r>
        <w:t xml:space="preserve">42.</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3"/>
    <w:bookmarkStart w:id="94" w:name="ref-zhang_drought_2021"/>
    <w:p>
      <w:pPr>
        <w:pStyle w:val="Bibliography"/>
      </w:pPr>
      <w:r>
        <w:t xml:space="preserve">43.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4"/>
    <w:bookmarkStart w:id="95" w:name="ref-zohner_ongoing_2019"/>
    <w:p>
      <w:pPr>
        <w:pStyle w:val="Bibliography"/>
      </w:pPr>
      <w:r>
        <w:t xml:space="preserve">44.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5"/>
    <w:bookmarkStart w:id="96" w:name="ref-xie_predicting_2018"/>
    <w:p>
      <w:pPr>
        <w:pStyle w:val="Bibliography"/>
      </w:pPr>
      <w:r>
        <w:t xml:space="preserve">45.</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6"/>
    <w:bookmarkStart w:id="97" w:name="ref-tardif_influence_2006"/>
    <w:p>
      <w:pPr>
        <w:pStyle w:val="Bibliography"/>
      </w:pPr>
      <w:r>
        <w:t xml:space="preserve">46.</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7"/>
    <w:bookmarkStart w:id="98" w:name="ref-roibu_climatic_2020"/>
    <w:p>
      <w:pPr>
        <w:pStyle w:val="Bibliography"/>
      </w:pPr>
      <w:r>
        <w:t xml:space="preserve">47.</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8"/>
    <w:bookmarkStart w:id="99" w:name="ref-kern_multiple_2013"/>
    <w:p>
      <w:pPr>
        <w:pStyle w:val="Bibliography"/>
      </w:pPr>
      <w:r>
        <w:t xml:space="preserve">48.</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9"/>
    <w:bookmarkStart w:id="100" w:name="ref-trumbore_quantifying_2002"/>
    <w:p>
      <w:pPr>
        <w:pStyle w:val="Bibliography"/>
      </w:pPr>
      <w:r>
        <w:t xml:space="preserve">49.</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0"/>
    <w:bookmarkStart w:id="101" w:name="ref-richardson_seasonal_2013"/>
    <w:p>
      <w:pPr>
        <w:pStyle w:val="Bibliography"/>
      </w:pPr>
      <w:r>
        <w:t xml:space="preserve">50.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1"/>
    <w:bookmarkStart w:id="102" w:name="ref-oishi_warmer_2018"/>
    <w:p>
      <w:pPr>
        <w:pStyle w:val="Bibliography"/>
      </w:pPr>
      <w:r>
        <w:t xml:space="preserve">51.</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2"/>
    <w:bookmarkStart w:id="103" w:name="ref-kannenberg_linking_2019"/>
    <w:p>
      <w:pPr>
        <w:pStyle w:val="Bibliography"/>
      </w:pPr>
      <w:r>
        <w:t xml:space="preserve">52.</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3"/>
    <w:bookmarkStart w:id="104" w:name="ref-gessler_way_2020"/>
    <w:p>
      <w:pPr>
        <w:pStyle w:val="Bibliography"/>
      </w:pPr>
      <w:r>
        <w:t xml:space="preserve">53.</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4"/>
    <w:bookmarkStart w:id="105" w:name="ref-fisichelli_temperate_2014"/>
    <w:p>
      <w:pPr>
        <w:pStyle w:val="Bibliography"/>
      </w:pPr>
      <w:r>
        <w:t xml:space="preserve">54.</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5"/>
    <w:bookmarkStart w:id="106" w:name="ref-anderson-teixeira_joint_2021"/>
    <w:p>
      <w:pPr>
        <w:pStyle w:val="Bibliography"/>
      </w:pPr>
      <w:r>
        <w:t xml:space="preserve">55.</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106"/>
    <w:bookmarkStart w:id="108" w:name="ref-banburymorgan_global_2021"/>
    <w:p>
      <w:pPr>
        <w:pStyle w:val="Bibliography"/>
      </w:pPr>
      <w:r>
        <w:t xml:space="preserve">56.</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7">
        <w:r>
          <w:rPr>
            <w:rStyle w:val="Hyperlink"/>
          </w:rPr>
          <w:t xml:space="preserve">10.1111/gcb.15574</w:t>
        </w:r>
      </w:hyperlink>
      <w:r>
        <w:t xml:space="preserve">.</w:t>
      </w:r>
    </w:p>
    <w:bookmarkEnd w:id="108"/>
    <w:bookmarkStart w:id="109" w:name="ref-churkina_spatial_2005"/>
    <w:p>
      <w:pPr>
        <w:pStyle w:val="Bibliography"/>
      </w:pPr>
      <w:r>
        <w:t xml:space="preserve">57.</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9"/>
    <w:bookmarkStart w:id="110" w:name="ref-bourg_initial_2013"/>
    <w:p>
      <w:pPr>
        <w:pStyle w:val="Bibliography"/>
      </w:pPr>
      <w:r>
        <w:t xml:space="preserve">58.</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0"/>
    <w:bookmarkStart w:id="111" w:name="ref-anderson-teixeira_ctfsforestgeo_2015"/>
    <w:p>
      <w:pPr>
        <w:pStyle w:val="Bibliography"/>
      </w:pPr>
      <w:r>
        <w:t xml:space="preserve">59.</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1"/>
    <w:bookmarkStart w:id="112" w:name="ref-davies_forestgeo_2021"/>
    <w:p>
      <w:pPr>
        <w:pStyle w:val="Bibliography"/>
      </w:pPr>
      <w:r>
        <w:t xml:space="preserve">60.</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2"/>
    <w:bookmarkStart w:id="113" w:name="ref-herrmann_tree_2016"/>
    <w:p>
      <w:pPr>
        <w:pStyle w:val="Bibliography"/>
      </w:pPr>
      <w:r>
        <w:t xml:space="preserve">61.</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3"/>
    <w:bookmarkStart w:id="115" w:name="ref-friedl_mcd12q2_2019"/>
    <w:p>
      <w:pPr>
        <w:pStyle w:val="Bibliography"/>
      </w:pPr>
      <w:r>
        <w:t xml:space="preserve">62.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4">
        <w:r>
          <w:rPr>
            <w:rStyle w:val="Hyperlink"/>
          </w:rPr>
          <w:t xml:space="preserve">10.5067/MODIS/MCD12Q2.006</w:t>
        </w:r>
      </w:hyperlink>
      <w:r>
        <w:t xml:space="preserve">.</w:t>
      </w:r>
    </w:p>
    <w:bookmarkEnd w:id="115"/>
    <w:bookmarkStart w:id="117" w:name="ref-anderson-teixeira_forestgeo_2020"/>
    <w:p>
      <w:pPr>
        <w:pStyle w:val="Bibliography"/>
      </w:pPr>
      <w:r>
        <w:t xml:space="preserve">63.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6">
        <w:r>
          <w:rPr>
            <w:rStyle w:val="Hyperlink"/>
          </w:rPr>
          <w:t xml:space="preserve">10.5281/ZENODO.4041609</w:t>
        </w:r>
      </w:hyperlink>
      <w:r>
        <w:t xml:space="preserve">.</w:t>
      </w:r>
    </w:p>
    <w:bookmarkEnd w:id="117"/>
    <w:bookmarkStart w:id="118" w:name="ref-benestad_empiricalstatistical_2008"/>
    <w:p>
      <w:pPr>
        <w:pStyle w:val="Bibliography"/>
      </w:pPr>
      <w:r>
        <w:t xml:space="preserve">64.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8"/>
    <w:bookmarkStart w:id="120" w:name="ref-boose_shaler_2021"/>
    <w:p>
      <w:pPr>
        <w:pStyle w:val="Bibliography"/>
      </w:pPr>
      <w:r>
        <w:t xml:space="preserve">65.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9">
        <w:r>
          <w:rPr>
            <w:rStyle w:val="Hyperlink"/>
          </w:rPr>
          <w:t xml:space="preserve">10.6073/PASTA/213335F5DAA17222A738C105B9FA60C4</w:t>
        </w:r>
      </w:hyperlink>
      <w:r>
        <w:t xml:space="preserve">.</w:t>
      </w:r>
    </w:p>
    <w:bookmarkEnd w:id="120"/>
    <w:bookmarkStart w:id="122" w:name="ref-boose_fisher_2021"/>
    <w:p>
      <w:pPr>
        <w:pStyle w:val="Bibliography"/>
      </w:pPr>
      <w:r>
        <w:t xml:space="preserve">66.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1">
        <w:r>
          <w:rPr>
            <w:rStyle w:val="Hyperlink"/>
          </w:rPr>
          <w:t xml:space="preserve">10.6073/PASTA/69E92642B512897032446CFE795CFFB8</w:t>
        </w:r>
      </w:hyperlink>
      <w:r>
        <w:t xml:space="preserve">.</w:t>
      </w:r>
    </w:p>
    <w:bookmarkEnd w:id="122"/>
    <w:bookmarkStart w:id="123" w:name="ref-vandepol_identifying_2016"/>
    <w:p>
      <w:pPr>
        <w:pStyle w:val="Bibliography"/>
      </w:pPr>
      <w:r>
        <w:t xml:space="preserve">67.</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3"/>
    <w:bookmarkStart w:id="124" w:name="ref-gabry_rstanarm_2020"/>
    <w:p>
      <w:pPr>
        <w:pStyle w:val="Bibliography"/>
      </w:pPr>
      <w:r>
        <w:t xml:space="preserve">68.</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4"/>
    <w:bookmarkStart w:id="125" w:name="ref-stan_development_team_stan_2019"/>
    <w:p>
      <w:pPr>
        <w:pStyle w:val="Bibliography"/>
      </w:pPr>
      <w:r>
        <w:t xml:space="preserve">69.</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5"/>
    <w:bookmarkStart w:id="126" w:name="ref-vicente-serrano_multiscalar_2010"/>
    <w:p>
      <w:pPr>
        <w:pStyle w:val="Bibliography"/>
      </w:pPr>
      <w:r>
        <w:t xml:space="preserve">70.</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6"/>
    <w:bookmarkStart w:id="127" w:name="ref-begueria_standardized_2014"/>
    <w:p>
      <w:pPr>
        <w:pStyle w:val="Bibliography"/>
      </w:pPr>
      <w:r>
        <w:t xml:space="preserve">71.</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7"/>
    <w:bookmarkStart w:id="128" w:name="ref-vicente-serrano_multiscalar_2010a"/>
    <w:p>
      <w:pPr>
        <w:pStyle w:val="Bibliography"/>
      </w:pPr>
      <w:r>
        <w:t xml:space="preserve">72.</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8"/>
    <w:bookmarkStart w:id="129" w:name="ref-stokes_introduction_1968"/>
    <w:p>
      <w:pPr>
        <w:pStyle w:val="Bibliography"/>
      </w:pPr>
      <w:r>
        <w:t xml:space="preserve">73.</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9"/>
    <w:bookmarkStart w:id="130" w:name="ref-alexander_potential_2019"/>
    <w:p>
      <w:pPr>
        <w:pStyle w:val="Bibliography"/>
      </w:pPr>
      <w:r>
        <w:t xml:space="preserve">74.</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0"/>
    <w:bookmarkStart w:id="131" w:name="ref-dye_comparing_2016"/>
    <w:p>
      <w:pPr>
        <w:pStyle w:val="Bibliography"/>
      </w:pPr>
      <w:r>
        <w:t xml:space="preserve">75.</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1"/>
    <w:bookmarkStart w:id="132" w:name="ref-maxwell_sampling_2020"/>
    <w:p>
      <w:pPr>
        <w:pStyle w:val="Bibliography"/>
      </w:pPr>
      <w:r>
        <w:t xml:space="preserve">76.</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2"/>
    <w:bookmarkStart w:id="134" w:name="ref-cook_methods_1990"/>
    <w:p>
      <w:pPr>
        <w:pStyle w:val="Bibliography"/>
      </w:pPr>
      <w:r>
        <w:t xml:space="preserve">77.</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3">
        <w:r>
          <w:rPr>
            <w:rStyle w:val="Hyperlink"/>
          </w:rPr>
          <w:t xml:space="preserve">10.1007/978-94-015-7879-0</w:t>
        </w:r>
      </w:hyperlink>
      <w:r>
        <w:t xml:space="preserve">.</w:t>
      </w:r>
    </w:p>
    <w:bookmarkEnd w:id="134"/>
    <w:bookmarkStart w:id="135" w:name="ref-cook_time_1985"/>
    <w:p>
      <w:pPr>
        <w:pStyle w:val="Bibliography"/>
      </w:pPr>
      <w:r>
        <w:t xml:space="preserve">78.</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5"/>
    <w:bookmarkStart w:id="136" w:name="ref-cook_calculating_1997"/>
    <w:p>
      <w:pPr>
        <w:pStyle w:val="Bibliography"/>
      </w:pPr>
      <w:r>
        <w:t xml:space="preserve">79.</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6"/>
    <w:bookmarkStart w:id="137" w:name="ref-jones_estimating_1997"/>
    <w:p>
      <w:pPr>
        <w:pStyle w:val="Bibliography"/>
      </w:pPr>
      <w:r>
        <w:t xml:space="preserve">80.</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7"/>
    <w:bookmarkStart w:id="138" w:name="ref-harris_version_2020"/>
    <w:p>
      <w:pPr>
        <w:pStyle w:val="Bibliography"/>
      </w:pPr>
      <w:r>
        <w:t xml:space="preserve">81.</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8"/>
    <w:bookmarkStart w:id="139" w:name="ref-bunn_dendrochronology_2008"/>
    <w:p>
      <w:pPr>
        <w:pStyle w:val="Bibliography"/>
      </w:pPr>
      <w:r>
        <w:t xml:space="preserve">82.</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9"/>
    <w:bookmarkStart w:id="140" w:name="ref-zang_dendroclimatic_2013"/>
    <w:p>
      <w:pPr>
        <w:pStyle w:val="Bibliography"/>
      </w:pPr>
      <w:r>
        <w:t xml:space="preserve">83.</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0"/>
    <w:bookmarkStart w:id="141" w:name="ref-biondi_dendroclim2002_2004"/>
    <w:p>
      <w:pPr>
        <w:pStyle w:val="Bibliography"/>
      </w:pPr>
      <w:r>
        <w:t xml:space="preserve">84.</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1"/>
    <w:bookmarkEnd w:id="142"/>
    <w:bookmarkEnd w:id="143"/>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3" Target="https://doi.org/10.1007/978-94-015-7879-0" TargetMode="External" /><Relationship Type="http://schemas.openxmlformats.org/officeDocument/2006/relationships/hyperlink" Id="rId71"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3" Target="https://doi.org/10.1093/treephys/tpab101" TargetMode="External" /><Relationship Type="http://schemas.openxmlformats.org/officeDocument/2006/relationships/hyperlink" Id="rId107" Target="https://doi.org/10.1111/gcb.15574" TargetMode="External" /><Relationship Type="http://schemas.openxmlformats.org/officeDocument/2006/relationships/hyperlink" Id="rId114" Target="https://doi.org/10.5067/MODIS/MCD12Q2.006" TargetMode="External" /><Relationship Type="http://schemas.openxmlformats.org/officeDocument/2006/relationships/hyperlink" Id="rId69" Target="https://doi.org/10.5194/essd-2021-386" TargetMode="External" /><Relationship Type="http://schemas.openxmlformats.org/officeDocument/2006/relationships/hyperlink" Id="rId116" Target="https://doi.org/10.5281/ZENODO.4041609" TargetMode="External" /><Relationship Type="http://schemas.openxmlformats.org/officeDocument/2006/relationships/hyperlink" Id="rId119" Target="https://doi.org/10.6073/PASTA/213335F5DAA17222A738C105B9FA60C4" TargetMode="External" /><Relationship Type="http://schemas.openxmlformats.org/officeDocument/2006/relationships/hyperlink" Id="rId121"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3" Target="https://doi.org/10.1007/978-94-015-7879-0" TargetMode="External" /><Relationship Type="http://schemas.openxmlformats.org/officeDocument/2006/relationships/hyperlink" Id="rId71" Target="https://doi.org/10.1038/s41558-020-00976-6" TargetMode="External" /><Relationship Type="http://schemas.openxmlformats.org/officeDocument/2006/relationships/hyperlink" Id="rId53" Target="https://doi.org/10.1073/pnas.2002713117" TargetMode="External" /><Relationship Type="http://schemas.openxmlformats.org/officeDocument/2006/relationships/hyperlink" Id="rId83" Target="https://doi.org/10.1093/treephys/tpab101" TargetMode="External" /><Relationship Type="http://schemas.openxmlformats.org/officeDocument/2006/relationships/hyperlink" Id="rId107" Target="https://doi.org/10.1111/gcb.15574" TargetMode="External" /><Relationship Type="http://schemas.openxmlformats.org/officeDocument/2006/relationships/hyperlink" Id="rId114" Target="https://doi.org/10.5067/MODIS/MCD12Q2.006" TargetMode="External" /><Relationship Type="http://schemas.openxmlformats.org/officeDocument/2006/relationships/hyperlink" Id="rId69" Target="https://doi.org/10.5194/essd-2021-386" TargetMode="External" /><Relationship Type="http://schemas.openxmlformats.org/officeDocument/2006/relationships/hyperlink" Id="rId116" Target="https://doi.org/10.5281/ZENODO.4041609" TargetMode="External" /><Relationship Type="http://schemas.openxmlformats.org/officeDocument/2006/relationships/hyperlink" Id="rId119" Target="https://doi.org/10.6073/PASTA/213335F5DAA17222A738C105B9FA60C4" TargetMode="External" /><Relationship Type="http://schemas.openxmlformats.org/officeDocument/2006/relationships/hyperlink" Id="rId121"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2022-02-23T15:02:30Z</dcterms:created>
  <dcterms:modified xsi:type="dcterms:W3CDTF">2022-02-23T15:02:30Z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