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6.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r>
        <w:t xml:space="preserve"> </w:t>
      </w:r>
      <w:r>
        <w:rPr>
          <w:iCs/>
          <w:i/>
        </w:rPr>
        <w:t xml:space="preserve">/annual increments</w:t>
      </w:r>
    </w:p>
    <w:p>
      <w:pPr>
        <w:pStyle w:val="BodyText"/>
      </w:pPr>
      <w:r>
        <w:rPr>
          <w:bCs/>
          <w:b/>
        </w:rPr>
        <w:t xml:space="preserve">Authors:</w:t>
      </w:r>
    </w:p>
    <w:p>
      <w:pPr>
        <w:pStyle w:val="BodyText"/>
      </w:pPr>
      <w:r>
        <w:t xml:space="preserve">Cameron Dow</w:t>
      </w:r>
      <w:r>
        <w:rPr>
          <w:vertAlign w:val="superscript"/>
        </w:rPr>
        <w:t xml:space="preserve">1</w:t>
      </w:r>
    </w:p>
    <w:p>
      <w:pPr>
        <w:pStyle w:val="BodyText"/>
      </w:pPr>
      <w:r>
        <w:t xml:space="preserve">Albert Y. Kim</w:t>
      </w:r>
      <w:r>
        <w:rPr>
          <w:vertAlign w:val="superscript"/>
        </w:rPr>
        <w:t xml:space="preserve">1,2</w:t>
      </w:r>
    </w:p>
    <w:p>
      <w:pPr>
        <w:pStyle w:val="BodyText"/>
      </w:pPr>
      <w:r>
        <w:t xml:space="preserve">Loïc D’Orangeville</w:t>
      </w:r>
      <w:r>
        <w:rPr>
          <w:vertAlign w:val="superscript"/>
        </w:rPr>
        <w:t xml:space="preserve">3,4</w:t>
      </w:r>
    </w:p>
    <w:p>
      <w:pPr>
        <w:pStyle w:val="BodyText"/>
      </w:pPr>
      <w:r>
        <w:t xml:space="preserve">Erika B. Gonzalez-Akre</w:t>
      </w:r>
      <w:r>
        <w:rPr>
          <w:vertAlign w:val="superscript"/>
        </w:rPr>
        <w:t xml:space="preserve">1</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p>
    <w:p>
      <w:pPr>
        <w:pStyle w:val="BodyText"/>
      </w:pPr>
      <w:r>
        <w:t xml:space="preserve">Ian R. McGregor</w:t>
      </w:r>
      <w:r>
        <w:rPr>
          <w:vertAlign w:val="superscript"/>
        </w:rPr>
        <w:t xml:space="preserve">1,7</w:t>
      </w:r>
    </w:p>
    <w:p>
      <w:pPr>
        <w:pStyle w:val="BodyText"/>
      </w:pPr>
      <w:r>
        <w:t xml:space="preserve">William McShea</w:t>
      </w:r>
      <w:r>
        <w:rPr>
          <w:vertAlign w:val="superscript"/>
        </w:rPr>
        <w:t xml:space="preserve">1</w:t>
      </w:r>
    </w:p>
    <w:p>
      <w:pPr>
        <w:pStyle w:val="BodyText"/>
      </w:pPr>
      <w:r>
        <w:t xml:space="preserve">Sean McMahon</w:t>
      </w:r>
      <w:r>
        <w:rPr>
          <w:vertAlign w:val="superscript"/>
        </w:rPr>
        <w:t xml:space="preserve">8,10</w:t>
      </w:r>
    </w:p>
    <w:p>
      <w:pPr>
        <w:pStyle w:val="BodyText"/>
      </w:pPr>
      <w:r>
        <w:t xml:space="preserve">David A. Orwig</w:t>
      </w:r>
      <w:r>
        <w:rPr>
          <w:vertAlign w:val="superscript"/>
        </w:rPr>
        <w:t xml:space="preserve">3</w:t>
      </w:r>
    </w:p>
    <w:p>
      <w:pPr>
        <w:pStyle w:val="BodyText"/>
      </w:pPr>
      <w:r>
        <w:t xml:space="preserve">Neil Pederson</w:t>
      </w:r>
      <w:r>
        <w:rPr>
          <w:vertAlign w:val="superscript"/>
        </w:rPr>
        <w:t xml:space="preserve">3</w:t>
      </w:r>
    </w:p>
    <w:p>
      <w:pPr>
        <w:pStyle w:val="BodyText"/>
      </w:pPr>
      <w:r>
        <w:t xml:space="preserve">Alan J. Tepley</w:t>
      </w:r>
      <w:r>
        <w:rPr>
          <w:vertAlign w:val="superscript"/>
        </w:rPr>
        <w:t xml:space="preserve">1,9</w:t>
      </w:r>
    </w:p>
    <w:p>
      <w:pPr>
        <w:pStyle w:val="BodyText"/>
      </w:pPr>
      <w:r>
        <w:t xml:space="preserve">Kristina J. Anderson-Teixeira</w:t>
      </w:r>
      <w:r>
        <w:rPr>
          <w:vertAlign w:val="superscript"/>
        </w:rPr>
        <w:t xml:space="preserve">1,10</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iCs/>
          <w:i/>
        </w:rPr>
        <w:t xml:space="preserve">NOTE: In general, this needs to be condensed. The typical length of an article with 3-4 modest display items (figures and tables) is 2000-2500 words (summary paragraph plus body text). We’re currently at ~2700 words (or ~3000 with fig captions) and 2 modest + 2 large display items. Articles typically have 30-50 references (currently ok there)</w:t>
      </w:r>
    </w:p>
    <w:bookmarkStart w:id="31" w:name="summary-paragraph"/>
    <w:p>
      <w:pPr>
        <w:pStyle w:val="Heading1"/>
      </w:pPr>
      <w:r>
        <w:rPr>
          <w:rStyle w:val="SectionNumber"/>
        </w:rPr>
        <w:t xml:space="preserve">1</w:t>
      </w:r>
      <w:r>
        <w:tab/>
      </w:r>
      <w:r>
        <w:t xml:space="preserve">(Summary paragraph)</w:t>
      </w:r>
    </w:p>
    <w:p>
      <w:pPr>
        <w:pStyle w:val="FirstParagraph"/>
      </w:pPr>
      <w:r>
        <w:t xml:space="preserve">As the climate changes, warmer spring temperatures are causing earlier leaf-out</w:t>
      </w:r>
      <w:r>
        <w:rPr>
          <w:vertAlign w:val="superscript"/>
        </w:rPr>
        <w:t xml:space="preserve">1–3</w:t>
      </w:r>
      <w:r>
        <w:t xml:space="preserve"> </w:t>
      </w:r>
      <w:r>
        <w:t xml:space="preserve">and commencement of net carbon dioxide (CO</w:t>
      </w:r>
      <w:r>
        <w:rPr>
          <w:vertAlign w:val="subscript"/>
        </w:rPr>
        <w:t xml:space="preserve">2</w:t>
      </w:r>
      <w:r>
        <w:t xml:space="preserve">) sequestration</w:t>
      </w:r>
      <w:r>
        <w:rPr>
          <w:vertAlign w:val="superscript"/>
        </w:rPr>
        <w:t xml:space="preserve">2</w:t>
      </w:r>
      <w:r>
        <w:t xml:space="preserve"> </w:t>
      </w:r>
      <w:r>
        <w:t xml:space="preserve">in temperate deciduous forests, resulting in a tendency towards increased growing season length</w:t>
      </w:r>
      <w:r>
        <w:rPr>
          <w:vertAlign w:val="superscript"/>
        </w:rPr>
        <w:t xml:space="preserve">1,4–6</w:t>
      </w:r>
      <w:r>
        <w:t xml:space="preserve"> </w:t>
      </w:r>
      <w:r>
        <w:t xml:space="preserve">and annual CO</w:t>
      </w:r>
      <w:r>
        <w:rPr>
          <w:vertAlign w:val="subscript"/>
        </w:rPr>
        <w:t xml:space="preserve">2</w:t>
      </w:r>
      <w:r>
        <w:t xml:space="preserve"> </w:t>
      </w:r>
      <w:r>
        <w:t xml:space="preserve">sequestration</w:t>
      </w:r>
      <w:r>
        <w:rPr>
          <w:vertAlign w:val="superscript"/>
        </w:rPr>
        <w:t xml:space="preserve">2,7–11</w:t>
      </w:r>
      <w:r>
        <w:t xml:space="preserve">.</w:t>
      </w:r>
      <w:r>
        <w:t xml:space="preserve"> </w:t>
      </w:r>
      <w:r>
        <w:t xml:space="preserve">However, less is known about how spring temperatures affect tree stem growth, which sequesters carbon in wood that has a long residence time in the ecosystem</w:t>
      </w:r>
      <w:r>
        <w:rPr>
          <w:vertAlign w:val="superscript"/>
        </w:rPr>
        <w:t xml:space="preserve">12,13</w:t>
      </w:r>
      <w:r>
        <w:t xml:space="preserve"> </w:t>
      </w:r>
      <w:r>
        <w:t xml:space="preserve">or as wood products</w:t>
      </w:r>
      <w:r>
        <w:rPr>
          <w:vertAlign w:val="superscript"/>
        </w:rPr>
        <w:t xml:space="preserve">14</w:t>
      </w:r>
      <w:r>
        <w:t xml:space="preserve">.</w:t>
      </w:r>
      <w:r>
        <w:t xml:space="preserve"> </w:t>
      </w:r>
      <w:r>
        <w:t xml:space="preserve">Here, we show that in two forests, warmer spring temperatures consistently shifted the woody growth of deciduous trees earlier but had mixed, weak effects on peak growing season length, maximum daily growth rates, and annual growth.</w:t>
      </w:r>
      <w:r>
        <w:t xml:space="preserve"> </w:t>
      </w:r>
      <w:r>
        <w:t xml:space="preserve">The latter finding was confirmed on the centennial scale by 208 tree-ring chronologies from 108 forests across eastern North America, where annual growth was far more sensitive to temperatures during the peak growing season than in the spring.</w:t>
      </w:r>
      <w:r>
        <w:t xml:space="preserve"> </w:t>
      </w:r>
      <w:r>
        <w:t xml:space="preserve">These findings imply that any extra CO</w:t>
      </w:r>
      <w:r>
        <w:rPr>
          <w:vertAlign w:val="subscript"/>
        </w:rPr>
        <w:t xml:space="preserve">2</w:t>
      </w:r>
      <w:r>
        <w:t xml:space="preserve"> </w:t>
      </w:r>
      <w:r>
        <w:t xml:space="preserve">sequestered in years with warmer springs</w:t>
      </w:r>
      <w:r>
        <w:rPr>
          <w:vertAlign w:val="superscript"/>
        </w:rPr>
        <w:t xml:space="preserve">7–9</w:t>
      </w:r>
      <w:r>
        <w:t xml:space="preserve"> </w:t>
      </w:r>
      <w:r>
        <w:t xml:space="preserve">is not allocated to long-lived woody biomass, where it could have a substantial and lasting impact on the forest C balance.</w:t>
      </w:r>
      <w:r>
        <w:t xml:space="preserve"> </w:t>
      </w:r>
      <w:r>
        <w:t xml:space="preserve">Thus, warming spring temperatures are unlikely to increase the woody productivity or strengthen the carbon sink of temperate deciduous forests.</w:t>
      </w:r>
    </w:p>
    <w:p>
      <w:pPr>
        <w:pStyle w:val="BodyText"/>
      </w:pPr>
      <w:r>
        <w:rPr>
          <w:iCs/>
          <w:i/>
        </w:rPr>
        <w:t xml:space="preserve">removed from abstract; to integrate elsewhere:</w:t>
      </w:r>
    </w:p>
    <w:p>
      <w:pPr>
        <w:pStyle w:val="BodyText"/>
      </w:pPr>
      <w:r>
        <w:t xml:space="preserve">tree stem growth consumes only a modest portion of the carbon fixed annually</w:t>
      </w:r>
      <w:r>
        <w:rPr>
          <w:vertAlign w:val="superscript"/>
        </w:rPr>
        <w:t xml:space="preserve">15</w:t>
      </w:r>
    </w:p>
    <w:p>
      <w:pPr>
        <w:pStyle w:val="BodyText"/>
      </w:pPr>
      <w:r>
        <w:t xml:space="preserve">These findings align with those of previous studies that suggest annual CO</w:t>
      </w:r>
      <w:r>
        <w:rPr>
          <w:vertAlign w:val="subscript"/>
        </w:rPr>
        <w:t xml:space="preserve">2</w:t>
      </w:r>
      <w:r>
        <w:t xml:space="preserve"> </w:t>
      </w:r>
      <w:r>
        <w:t xml:space="preserve">sequestration is more strongly linked to conditions in the peak growing season than to growing season length</w:t>
      </w:r>
      <w:r>
        <w:rPr>
          <w:vertAlign w:val="superscript"/>
        </w:rPr>
        <w:t xml:space="preserve">11,16</w:t>
      </w:r>
      <w:r>
        <w:t xml:space="preserve"> </w:t>
      </w:r>
      <w:r>
        <w:t xml:space="preserve">and with observations that warm springs result in earlier leaf senescence of deciduous trees because CO</w:t>
      </w:r>
      <w:r>
        <w:rPr>
          <w:vertAlign w:val="subscript"/>
        </w:rPr>
        <w:t xml:space="preserve">2</w:t>
      </w:r>
      <w:r>
        <w:t xml:space="preserve"> </w:t>
      </w:r>
      <w:r>
        <w:t xml:space="preserve">sequestration is sink limited.</w:t>
      </w:r>
      <w:r>
        <w:rPr>
          <w:vertAlign w:val="superscript"/>
        </w:rPr>
        <w:t xml:space="preserve">17,18</w:t>
      </w:r>
      <w:r>
        <w:t xml:space="preserve"> </w:t>
      </w:r>
      <w:r>
        <w:t xml:space="preserve">They contrast, however, with the expectation</w:t>
      </w:r>
      <w:r>
        <w:t xml:space="preserve"> </w:t>
      </w:r>
      <w:r>
        <w:rPr>
          <w:iCs/>
          <w:i/>
        </w:rPr>
        <w:t xml:space="preserve">in most models</w:t>
      </w:r>
      <w:r>
        <w:rPr>
          <w:vertAlign w:val="superscript"/>
          <w:iCs/>
          <w:i/>
        </w:rPr>
        <w:t xml:space="preserve">18</w:t>
      </w:r>
      <w:r>
        <w:t xml:space="preserve"> </w:t>
      </w:r>
      <w:r>
        <w:t xml:space="preserve">that an earlier start to growing season would significantly increase the rate of biomass accumulation and thereby enhance the CO</w:t>
      </w:r>
      <w:r>
        <w:rPr>
          <w:vertAlign w:val="subscript"/>
        </w:rPr>
        <w:t xml:space="preserve">2</w:t>
      </w:r>
      <w:r>
        <w:t xml:space="preserve"> </w:t>
      </w:r>
      <w:r>
        <w:t xml:space="preserve">sink of temperate deciduous forests.</w:t>
      </w:r>
    </w:p>
    <w:p>
      <w:r>
        <w:br w:type="page"/>
      </w:r>
    </w:p>
    <w:p>
      <w:pPr>
        <w:pStyle w:val="BodyText"/>
      </w:pPr>
      <w:r>
        <w:rPr>
          <w:iCs/>
          <w:i/>
        </w:rPr>
        <w:t xml:space="preserve">The introduction and summary paragraph need work, and removal of overlap. Organizational/content suggestions are welcome, but we’re not at the stage of word-smithing.</w:t>
      </w:r>
    </w:p>
    <w:p>
      <w:pPr>
        <w:pStyle w:val="BodyText"/>
      </w:pPr>
      <w:r>
        <w:t xml:space="preserve">Warming temperatures in recent decades have resulted in widespread phenological changes indicative of earlier arrival of spring</w:t>
      </w:r>
      <w:r>
        <w:rPr>
          <w:vertAlign w:val="superscript"/>
        </w:rPr>
        <w:t xml:space="preserve">20</w:t>
      </w:r>
      <w:r>
        <w:t xml:space="preserve"> </w:t>
      </w:r>
      <w:r>
        <w:t xml:space="preserve">and sometimes later autumn senesence</w:t>
      </w:r>
      <w:r>
        <w:rPr>
          <w:vertAlign w:val="superscript"/>
        </w:rPr>
        <w:t xml:space="preserve">1</w:t>
      </w:r>
      <w:r>
        <w:t xml:space="preserve">.</w:t>
      </w:r>
      <w:r>
        <w:t xml:space="preserve"> </w:t>
      </w:r>
      <w:r>
        <w:t xml:space="preserve">In temperate deciduous forests, spring leaf-out has been occurring earlier</w:t>
      </w:r>
      <w:r>
        <w:rPr>
          <w:vertAlign w:val="superscript"/>
        </w:rPr>
        <w:t xml:space="preserve">1</w:t>
      </w:r>
      <w:r>
        <w:t xml:space="preserve">, as has the beginning of the annual period of net CO</w:t>
      </w:r>
      <w:r>
        <w:rPr>
          <w:vertAlign w:val="subscript"/>
        </w:rPr>
        <w:t xml:space="preserve">2</w:t>
      </w:r>
      <w:r>
        <w:t xml:space="preserve"> </w:t>
      </w:r>
      <w:r>
        <w:t xml:space="preserve">sequestration.</w:t>
      </w:r>
      <w:r>
        <w:rPr>
          <w:vertAlign w:val="superscript"/>
        </w:rPr>
        <w:t xml:space="preserve">2,21,</w:t>
      </w:r>
      <w:r>
        <w:rPr>
          <w:bCs/>
          <w:b/>
          <w:vertAlign w:val="superscript"/>
        </w:rPr>
        <w:t xml:space="preserve">barichivich_large-scale_2013?</w:t>
      </w:r>
      <w:r>
        <w:t xml:space="preserve"> </w:t>
      </w:r>
      <w:r>
        <w:t xml:space="preserve">Warmer spring temperatures and earlier leaf-out are also linked to earlier leaf senescence</w:t>
      </w:r>
      <w:r>
        <w:rPr>
          <w:vertAlign w:val="superscript"/>
        </w:rPr>
        <w:t xml:space="preserve">17,22,</w:t>
      </w:r>
      <w:r>
        <w:rPr>
          <w:bCs/>
          <w:b/>
          <w:vertAlign w:val="superscript"/>
        </w:rPr>
        <w:t xml:space="preserve">fu_variation_2014?</w:t>
      </w:r>
      <w:r>
        <w:t xml:space="preserve">, apparently because of sink-limitation to CO</w:t>
      </w:r>
      <w:r>
        <w:rPr>
          <w:vertAlign w:val="subscript"/>
        </w:rPr>
        <w:t xml:space="preserve">2</w:t>
      </w:r>
      <w:r>
        <w:t xml:space="preserve"> </w:t>
      </w:r>
      <w:r>
        <w:t xml:space="preserve">sequestration</w:t>
      </w:r>
      <w:r>
        <w:rPr>
          <w:vertAlign w:val="superscript"/>
        </w:rPr>
        <w:t xml:space="preserve">18,</w:t>
      </w:r>
      <w:r>
        <w:rPr>
          <w:bCs/>
          <w:b/>
          <w:vertAlign w:val="superscript"/>
        </w:rPr>
        <w:t xml:space="preserve">lempereur_growth_2015?</w:t>
      </w:r>
      <w:r>
        <w:t xml:space="preserve">.</w:t>
      </w:r>
      <w:r>
        <w:t xml:space="preserve"> </w:t>
      </w:r>
      <w:r>
        <w:t xml:space="preserve">However, warmer summer and autumn temperatures and drought led to a delay of leaf senescence</w:t>
      </w:r>
      <w:r>
        <w:rPr>
          <w:vertAlign w:val="superscript"/>
        </w:rPr>
        <w:t xml:space="preserve">1,6,8,9,17,23,</w:t>
      </w:r>
      <w:r>
        <w:rPr>
          <w:bCs/>
          <w:b/>
          <w:vertAlign w:val="superscript"/>
        </w:rPr>
        <w:t xml:space="preserve">xie_predicting_2018?</w:t>
      </w:r>
      <w:r>
        <w:t xml:space="preserve"> </w:t>
      </w:r>
      <w:r>
        <w:t xml:space="preserve">while heavy rainfall and heat stress led to earlier senescence</w:t>
      </w:r>
      <w:r>
        <w:rPr>
          <w:bCs/>
          <w:b/>
          <w:vertAlign w:val="superscript"/>
        </w:rPr>
        <w:t xml:space="preserve">xie_predicting_2018?</w:t>
      </w:r>
      <w:r>
        <w:t xml:space="preserve">. As a result, warming may advance or delay autumn senescence, with delays more common across eastern North America.</w:t>
      </w:r>
      <w:r>
        <w:rPr>
          <w:vertAlign w:val="superscript"/>
        </w:rPr>
        <w:t xml:space="preserve">3</w:t>
      </w:r>
    </w:p>
    <w:p>
      <w:pPr>
        <w:pStyle w:val="BodyText"/>
      </w:pPr>
      <w:r>
        <w:t xml:space="preserve">Spring warming generally results in an increased growing season length, measured as the period over which trees have photosynthetically active leaves[</w:t>
      </w:r>
      <w:r>
        <w:rPr>
          <w:vertAlign w:val="superscript"/>
        </w:rPr>
        <w:t xml:space="preserve">1</w:t>
      </w:r>
      <w:r>
        <w:t xml:space="preserve">;;</w:t>
      </w:r>
      <w:r>
        <w:rPr>
          <w:vertAlign w:val="superscript"/>
        </w:rPr>
        <w:t xml:space="preserve">6</w:t>
      </w:r>
      <w:r>
        <w:t xml:space="preserve">;;</w:t>
      </w:r>
      <w:r>
        <w:rPr>
          <w:vertAlign w:val="superscript"/>
        </w:rPr>
        <w:t xml:space="preserve">5</w:t>
      </w:r>
      <w:r>
        <w:t xml:space="preserve">;</w:t>
      </w:r>
      <w:r>
        <w:rPr>
          <w:vertAlign w:val="superscript"/>
        </w:rPr>
        <w:t xml:space="preserve">4</w:t>
      </w:r>
      <w:r>
        <w:t xml:space="preserve">] and the ecosystem is a net CO</w:t>
      </w:r>
      <w:r>
        <w:rPr>
          <w:vertAlign w:val="subscript"/>
        </w:rPr>
        <w:t xml:space="preserve">2</w:t>
      </w:r>
      <w:r>
        <w:t xml:space="preserve"> </w:t>
      </w:r>
      <w:r>
        <w:t xml:space="preserve">sink (Are flux sources used above ok to put here?).</w:t>
      </w:r>
      <w:r>
        <w:rPr>
          <w:vertAlign w:val="superscript"/>
        </w:rPr>
        <w:t xml:space="preserve">2,21,</w:t>
      </w:r>
      <w:r>
        <w:rPr>
          <w:bCs/>
          <w:b/>
          <w:vertAlign w:val="superscript"/>
        </w:rPr>
        <w:t xml:space="preserve">barichivich_large-scale_2013?</w:t>
      </w:r>
      <w:r>
        <w:t xml:space="preserve"> </w:t>
      </w:r>
      <w:r>
        <w:t xml:space="preserve">The expectation, is that as growing season length increases, net annual carbon sequestered will increase as well (</w:t>
      </w:r>
      <w:r>
        <w:rPr>
          <w:iCs/>
          <w:i/>
        </w:rPr>
        <w:t xml:space="preserve">i,e</w:t>
      </w:r>
      <w:r>
        <w:t xml:space="preserve">, net ecosystem exchange,</w:t>
      </w:r>
      <w:r>
        <w:t xml:space="preserve"> </w:t>
      </w:r>
      <m:oMath>
        <m:r>
          <m:t>N</m:t>
        </m:r>
        <m:r>
          <m:t>E</m:t>
        </m:r>
        <m:r>
          <m:t>E</m:t>
        </m:r>
      </m:oMath>
      <w:r>
        <w:t xml:space="preserve">)</w:t>
      </w:r>
      <w:r>
        <w:rPr>
          <w:vertAlign w:val="superscript"/>
        </w:rPr>
        <w:t xml:space="preserve">2,10,11,24</w:t>
      </w:r>
      <w:r>
        <w:t xml:space="preserve">, and</w:t>
      </w:r>
      <w:r>
        <w:t xml:space="preserve"> </w:t>
      </w:r>
      <w:hyperlink r:id="rId21">
        <w:r>
          <w:rPr>
            <w:rStyle w:val="Hyperlink"/>
          </w:rPr>
          <w:t xml:space="preserve">this expectation is represented in models</w:t>
        </w:r>
      </w:hyperlink>
      <w:r>
        <w:t xml:space="preserve">.</w:t>
      </w:r>
      <w:r>
        <w:rPr>
          <w:vertAlign w:val="superscript"/>
        </w:rPr>
        <w:t xml:space="preserve">3,18</w:t>
      </w:r>
    </w:p>
    <w:p>
      <w:pPr>
        <w:pStyle w:val="BodyText"/>
      </w:pPr>
      <w:r>
        <w:t xml:space="preserve">However, recent evidence that positive effects of warm springs are compensated by negative effects of accumulation of seasonal water deficits</w:t>
      </w:r>
      <w:r>
        <w:rPr>
          <w:vertAlign w:val="superscript"/>
        </w:rPr>
        <w:t xml:space="preserve">3</w:t>
      </w:r>
      <w:r>
        <w:t xml:space="preserve"> </w:t>
      </w:r>
      <w:r>
        <w:t xml:space="preserve">and that leaf senescence and stem growth cessation is induced when water deficits reach a certain point</w:t>
      </w:r>
      <w:r>
        <w:rPr>
          <w:bCs/>
          <w:b/>
          <w:vertAlign w:val="superscript"/>
        </w:rPr>
        <w:t xml:space="preserve">lempereur_growth_2015?</w:t>
      </w:r>
      <w:r>
        <w:t xml:space="preserve"> </w:t>
      </w:r>
      <w:r>
        <w:t xml:space="preserve">or sink factors become limiting</w:t>
      </w:r>
      <w:r>
        <w:rPr>
          <w:vertAlign w:val="superscript"/>
        </w:rPr>
        <w:t xml:space="preserve">18,</w:t>
      </w:r>
      <w:r>
        <w:rPr>
          <w:bCs/>
          <w:b/>
          <w:vertAlign w:val="superscript"/>
        </w:rPr>
        <w:t xml:space="preserve">zohner_how_2021?</w:t>
      </w:r>
      <w:r>
        <w:t xml:space="preserve"> </w:t>
      </w:r>
      <w:r>
        <w:t xml:space="preserve">suggests that warmer spring temperatures and earlier leaf-out may not have a positive effect on C sequestration in trees.</w:t>
      </w:r>
    </w:p>
    <w:p>
      <w:pPr>
        <w:pStyle w:val="BodyText"/>
      </w:pPr>
      <w:r>
        <w:t xml:space="preserve">Temperate deciduous forests, including those in eastern North America, have historically been net carbon sinks. Sink limitation means that resources or temperature effects on the sink (the trees) will become limiting before the source (CO2) is limiting. The implication is that the benefits of CO2 fertilization will eventually reach an asymptote as other resources necessary for plant growth run out. Currently, our understanding of when and where these limits will be reached is incomplete, so forest models tend to assume the increase in photosynthesis as atmospheric CO2 levels increase is unlimited.(Maybe not true, i’m not 100% familiar with the modeling still.)</w:t>
      </w:r>
    </w:p>
    <w:p>
      <w:pPr>
        <w:pStyle w:val="BodyText"/>
      </w:pPr>
      <w:r>
        <w:t xml:space="preserve">As Earth’s atmospheric CO</w:t>
      </w:r>
      <w:r>
        <w:rPr>
          <w:vertAlign w:val="subscript"/>
        </w:rPr>
        <w:t xml:space="preserve">2</w:t>
      </w:r>
      <w:r>
        <w:t xml:space="preserve"> </w:t>
      </w:r>
      <w:r>
        <w:t xml:space="preserve">concentrations and temperatures increase, the responses and feedbacks of forests will play an important yet uncertain role in influencing atmospheric CO</w:t>
      </w:r>
      <w:r>
        <w:rPr>
          <w:vertAlign w:val="subscript"/>
        </w:rPr>
        <w:t xml:space="preserve">2</w:t>
      </w:r>
      <w:r>
        <w:t xml:space="preserve"> </w:t>
      </w:r>
      <w:r>
        <w:t xml:space="preserve">and climate change</w:t>
      </w:r>
      <w:r>
        <w:rPr>
          <w:vertAlign w:val="superscript"/>
        </w:rPr>
        <w:t xml:space="preserve">25,26</w:t>
      </w:r>
      <w:r>
        <w:t xml:space="preserve">.</w:t>
      </w:r>
      <w:r>
        <w:t xml:space="preserve"> </w:t>
      </w:r>
      <w:r>
        <w:t xml:space="preserve">Understanding how trees are responding to warming temperatures and rising CO2 levels, and how growth may become limited because of interactions between the two is essential to improve our predictions. Zohner et al, (2020)</w:t>
      </w:r>
      <w:r>
        <w:rPr>
          <w:bCs/>
          <w:b/>
          <w:vertAlign w:val="superscript"/>
        </w:rPr>
        <w:t xml:space="preserve">zohner_how_2021?</w:t>
      </w:r>
      <w:r>
        <w:t xml:space="preserve"> </w:t>
      </w:r>
      <w:r>
        <w:t xml:space="preserve">found that under controled conditions, spring warming increases biomass accumulation in trees, with a larger proportion of root compared to shoot growth. The authors also found evidence of sink limitation in autumn, even with controlled water and fertilizer application to the study trees. To our knowledge, the link between phenology and growth has never been studied in-situ.</w:t>
      </w:r>
    </w:p>
    <w:p>
      <w:pPr>
        <w:pStyle w:val="BodyText"/>
      </w:pPr>
      <w:r>
        <w:t xml:space="preserve">We know very little about how the longest-lived component of fixed carbon in trees, the woody growth, is responding to warming spring temperatures.</w:t>
      </w:r>
      <w:r>
        <w:t xml:space="preserve"> </w:t>
      </w:r>
      <w:r>
        <w:t xml:space="preserve">In fact, we know little about the stem-growth phenology of temperate deciduous species, with multi-year records of growth phenology having been published for only a few site.</w:t>
      </w:r>
      <w:r>
        <w:rPr>
          <w:bCs/>
          <w:b/>
          <w:vertAlign w:val="superscript"/>
        </w:rPr>
        <w:t xml:space="preserve">doranngeville_radial_inreview?</w:t>
      </w:r>
      <w:r>
        <w:rPr>
          <w:vertAlign w:val="superscript"/>
        </w:rPr>
        <w:t xml:space="preserve">,</w:t>
      </w:r>
      <w:r>
        <w:rPr>
          <w:bCs/>
          <w:b/>
          <w:vertAlign w:val="superscript"/>
        </w:rPr>
        <w:t xml:space="preserve">martin_hydrometeorology_2017?</w:t>
      </w:r>
      <w:r>
        <w:t xml:space="preserve"> </w:t>
      </w:r>
      <w:r>
        <w:rPr>
          <w:iCs/>
          <w:i/>
        </w:rPr>
        <w:t xml:space="preserve">(We need to make sure we’re not missing anything. See European study cited in A-T et al in review)</w:t>
      </w:r>
      <w:r>
        <w:t xml:space="preserve"> </w:t>
      </w:r>
      <w:r>
        <w:t xml:space="preserve">Tree-ring records, which can be used to examine correlations of annual growth to monthly temperatures but not to understand growth phenology, reveal that growth of temperate deciduous trees tends to be most sensitive to summer temperatures (REFS), with some hints that warmer springs may have a modest positive effect on growth (e.g., Refs.[</w:t>
      </w:r>
      <w:r>
        <w:rPr>
          <w:vertAlign w:val="superscript"/>
        </w:rPr>
        <w:t xml:space="preserve">27</w:t>
      </w:r>
      <w:r>
        <w:t xml:space="preserve">;@] [MORE]).</w:t>
      </w:r>
      <w:r>
        <w:t xml:space="preserve"> </w:t>
      </w:r>
      <w:r>
        <w:t xml:space="preserve">Thus, tree-ring records do not necessarily support the suggestion that warming spring temperatures would increase annual CO</w:t>
      </w:r>
      <w:r>
        <w:rPr>
          <w:vertAlign w:val="subscript"/>
        </w:rPr>
        <w:t xml:space="preserve">2</w:t>
      </w:r>
      <w:r>
        <w:t xml:space="preserve"> </w:t>
      </w:r>
      <w:r>
        <w:t xml:space="preserve">sequestration.</w:t>
      </w:r>
      <w:r>
        <w:t xml:space="preserve"> </w:t>
      </w:r>
      <w:r>
        <w:t xml:space="preserve">Characterizing phenological responses of stem growth to warming spring temperatures is critical to bridging this conceptual disconnect and understanding how forest biomass growth is likely to change as the climate warms.(Loic suggests adding numbers to illustrate the importatnce of stem growth as a carbon sink.)</w:t>
      </w:r>
    </w:p>
    <w:p>
      <w:pPr>
        <w:pStyle w:val="BodyText"/>
      </w:pPr>
      <w:r>
        <w:t xml:space="preserve">Here, we characterize how early spring temperatures affect stem growth phenology, growth rates, and annual growth of temperate deciduous trees in two forests and annual growth across forests spanning eastern North America.</w:t>
      </w:r>
    </w:p>
    <w:bookmarkStart w:id="25" w:name="Dendrometer"/>
    <w:p>
      <w:pPr>
        <w:pStyle w:val="Heading2"/>
      </w:pPr>
      <w:r>
        <w:t xml:space="preserve">Dendrometer band analysis</w:t>
      </w:r>
    </w:p>
    <w:p>
      <w:pPr>
        <w:pStyle w:val="FirstParagraph"/>
      </w:pPr>
      <w:r>
        <w:t xml:space="preserve">First, using dendrometer band measurements taken throughout the growing season at the Smithsonian Conservation Biology Institute (SCBI; Virginia; n =</w:t>
      </w:r>
      <w:r>
        <w:t xml:space="preserve"> </w:t>
      </w:r>
      <w:r>
        <w:rPr>
          <w:bCs/>
          <w:b/>
        </w:rPr>
        <w:t xml:space="preserve">146</w:t>
      </w:r>
      <w:r>
        <w:t xml:space="preserve"> </w:t>
      </w:r>
      <w:r>
        <w:t xml:space="preserve">trees from 2011-2020) and Harvard Forest (Massachusetts; n =</w:t>
      </w:r>
      <w:r>
        <w:t xml:space="preserve"> </w:t>
      </w:r>
      <w:r>
        <w:rPr>
          <w:bCs/>
          <w:b/>
        </w:rPr>
        <w:t xml:space="preserve">755</w:t>
      </w:r>
      <w:r>
        <w:t xml:space="preserve"> </w:t>
      </w:r>
      <w:r>
        <w:t xml:space="preserve">trees from 1998-2003), we fit a growth model</w:t>
      </w:r>
      <w:r>
        <w:rPr>
          <w:vertAlign w:val="superscript"/>
        </w:rPr>
        <w:t xml:space="preserve">28</w:t>
      </w:r>
      <w:r>
        <w:t xml:space="preserve"> </w:t>
      </w:r>
      <w:r>
        <w:t xml:space="preserve">to determine the days of year where 25, 50, and 75% annual growth was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maximum growth rates (</w:t>
      </w:r>
      <m:oMath>
        <m:sSub>
          <m:e>
            <m:r>
              <m:t>g</m:t>
            </m:r>
          </m:e>
          <m:sub>
            <m:r>
              <m:t>m</m:t>
            </m:r>
            <m:r>
              <m:t>a</m:t>
            </m:r>
            <m:r>
              <m:t>x</m:t>
            </m:r>
          </m:sub>
        </m:sSub>
      </m:oMath>
      <w:r>
        <w:t xml:space="preserve">) and the DOY on which they occurred (</w:t>
      </w:r>
      <m:oMath>
        <m:r>
          <m:t>D</m:t>
        </m:r>
        <m:r>
          <m:t>O</m:t>
        </m:r>
        <m:sSub>
          <m:e>
            <m:r>
              <m:t>Y</m:t>
            </m:r>
          </m:e>
          <m:sub>
            <m:sSub>
              <m:e>
                <m:r>
                  <m:t>g</m:t>
                </m:r>
              </m:e>
              <m:sub>
                <m:r>
                  <m:t>m</m:t>
                </m:r>
                <m:r>
                  <m:t>a</m:t>
                </m:r>
                <m:r>
                  <m:t>x</m:t>
                </m:r>
              </m:sub>
            </m:sSub>
          </m:sub>
        </m:sSub>
      </m:oMath>
      <w:r>
        <w:t xml:space="preserve">), and total annual growth (</w:t>
      </w:r>
      <m:oMath>
        <m:r>
          <m:t>Δ</m:t>
        </m:r>
        <m:r>
          <m:t>D</m:t>
        </m:r>
        <m:r>
          <m:t>B</m:t>
        </m:r>
        <m:r>
          <m:t>H</m:t>
        </m:r>
      </m:oMath>
      <w:r>
        <w:t xml:space="preserve">; Fig. 1).</w:t>
      </w:r>
      <w:r>
        <w:t xml:space="preserve"> </w:t>
      </w:r>
      <w:r>
        <w:t xml:space="preserve">This analysis was performed separately for ring- and diffuse-porous species, which differ in growth phenology</w:t>
      </w:r>
      <w:r>
        <w:rPr>
          <w:bCs/>
          <w:b/>
          <w:vertAlign w:val="superscript"/>
        </w:rPr>
        <w:t xml:space="preserve">doranngeville_radial_inreview?</w:t>
      </w:r>
      <w:r>
        <w:t xml:space="preserve">, and set in the context of leaf phenology at these sites.</w:t>
      </w:r>
    </w:p>
    <w:p>
      <w:pPr>
        <w:pStyle w:val="CaptionedFigure"/>
      </w:pPr>
      <w:r>
        <w:drawing>
          <wp:inline>
            <wp:extent cx="5943600" cy="6776091"/>
            <wp:effectExtent b="0" l="0" r="0" t="0"/>
            <wp:docPr descr="Figure 1 | Summary of tree growth changes under warmer spring temperatures. (a) Schematic illustrating parameters of interest and summarizing how each responds to warmer maximum temperatures during a ‘critical temperature window (CTW)’, defined as that with the strongest control over DOY_{25}; (b) Variable definitions and summary responses to warmer spring temperatures at two temperate forests and for two groups of broadleaf deciduous species (RP=ring porous; DP=diffuse porous), where up and down arrows indicate increases and decreases, respectively, ‘n.s.’ indicates no signficant correlation, and ‘mixed’ indicates a mix of signficant and non-sign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776091"/>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 (CTW)</w:t>
      </w:r>
      <w:r>
        <w:t xml:space="preserve">’</w:t>
      </w:r>
      <w:r>
        <w:t xml:space="preserve">, defined as that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increases and decreases, respectively,</w:t>
      </w:r>
      <w:r>
        <w:t xml:space="preserve"> </w:t>
      </w:r>
      <w:r>
        <w:t xml:space="preserve">‘</w:t>
      </w:r>
      <w:r>
        <w:t xml:space="preserve">n.s.</w:t>
      </w:r>
      <w:r>
        <w:t xml:space="preserve">’</w:t>
      </w:r>
      <w:r>
        <w:t xml:space="preserve"> </w:t>
      </w:r>
      <w:r>
        <w:t xml:space="preserve">indicates no signficant correlation, and</w:t>
      </w:r>
      <w:r>
        <w:t xml:space="preserve"> </w:t>
      </w:r>
      <w:r>
        <w:t xml:space="preserve">‘</w:t>
      </w:r>
      <w:r>
        <w:t xml:space="preserve">mixed</w:t>
      </w:r>
      <w:r>
        <w:t xml:space="preserve">’</w:t>
      </w:r>
      <w:r>
        <w:t xml:space="preserve"> </w:t>
      </w:r>
      <w:r>
        <w:t xml:space="preserve">indicates a mix of signficant and non-signficant correlations, often in different directions.</w:t>
      </w:r>
    </w:p>
    <w:p>
      <w:pPr>
        <w:pStyle w:val="BodyText"/>
      </w:pPr>
      <w:r>
        <w:t xml:space="preserve">Both leaf phenology and stem growth milestones occurred earlier at SCBI than at Harvard Forest, with stem growth milestones achieved on average 6-10 days earlier at SCBI (Fig. 2, Extended Data Table 2).</w:t>
      </w:r>
      <w:r>
        <w:t xml:space="preserve"> </w:t>
      </w:r>
      <w:r>
        <w:t xml:space="preserve">Consistent with the results of Ref</w:t>
      </w:r>
      <w:r>
        <w:rPr>
          <w:bCs/>
          <w:b/>
          <w:vertAlign w:val="superscript"/>
        </w:rPr>
        <w:t xml:space="preserve">doranngeville_radial_inreview?</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out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Leaf (a,b) and stem growth (c,d) phenology at the Smithsonian Conservation Biology Institute (a,c) and Harvard Forest (b,d). 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needs attention!!!"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Leaf (a,b) and stem growth (c,d) phenology at the Smithsonian Conservation Biology Institute (a,c) and Harvard Forest (b,d).</w:t>
      </w:r>
      <w:r>
        <w:t xml:space="preserve"> </w:t>
      </w:r>
      <w:r>
        <w:t xml:space="preserve">Panels (a-b) show ecosystem-level leaf phenology, obtained from the MODIS Global Vegetation Phenology product (2001-2018), where G = Greenup, M=Mid-greenup, P=peak, and S=Senescence (i.e., beginning of green-down). Panels (c-d) show the dates at which stem growth milestones were acheived,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#needs attention!!!</w:t>
      </w:r>
    </w:p>
    <w:p>
      <w:pPr>
        <w:pStyle w:val="BodyText"/>
      </w:pPr>
      <w:r>
        <w:t xml:space="preserve">Both leaf phenology and stem growth were sensitive to spring temperatures (Figs. 2, Extended Data Figure 4-Extended Data Figure 6).</w:t>
      </w:r>
      <w:r>
        <w:t xml:space="preserve"> </w:t>
      </w:r>
      <w:r>
        <w:t xml:space="preserve">While the results described below were qualitatively consistent considering both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across a range of spring time windows (Extended Data Figures 3-7), we focused our analyses on the strongest relationships: responses to</w:t>
      </w:r>
      <w:r>
        <w:t xml:space="preserve"> </w:t>
      </w:r>
      <m:oMath>
        <m:sSub>
          <m:e>
            <m:r>
              <m:t>T</m:t>
            </m:r>
          </m:e>
          <m:sub>
            <m:r>
              <m:t>m</m:t>
            </m:r>
            <m:r>
              <m:t>a</m:t>
            </m:r>
            <m:r>
              <m:t>x</m:t>
            </m:r>
          </m:sub>
        </m:sSub>
      </m:oMath>
      <w:r>
        <w:t xml:space="preserve"> </w:t>
      </w:r>
      <w:r>
        <w:t xml:space="preserve">over the consecutive weekly time window between Jan. 1 and</w:t>
      </w:r>
      <w:r>
        <w:t xml:space="preserve"> </w:t>
      </w:r>
      <m:oMath>
        <m:r>
          <m:t>D</m:t>
        </m:r>
        <m:r>
          <m:t>O</m:t>
        </m:r>
        <m:sSub>
          <m:e>
            <m:r>
              <m:t>Y</m:t>
            </m:r>
          </m:e>
          <m:sub>
            <m:r>
              <m:t>25</m:t>
            </m:r>
          </m:sub>
        </m:sSub>
      </m:oMath>
      <w:r>
        <w:t xml:space="preserve"> </w:t>
      </w:r>
      <w:r>
        <w:t xml:space="preserve">for which the correlation between</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was strongest (henceforth, critical temperature window, CTW; Fig. 1).</w:t>
      </w:r>
      <w:r>
        <w:t xml:space="preserve"> </w:t>
      </w:r>
      <w:r>
        <w:t xml:space="preserve">The strongest relationships, including but not limited to the CTW (Extended Data Table 2), occurred for time windows closing</w:t>
      </w:r>
      <w:r>
        <w:t xml:space="preserve"> </w:t>
      </w:r>
      <m:oMath>
        <m:r>
          <m:rPr>
            <m:sty m:val="p"/>
          </m:rPr>
          <m:t>≤</m:t>
        </m:r>
      </m:oMath>
      <w:r>
        <w:t xml:space="preserve"> </w:t>
      </w:r>
      <w:r>
        <w:t xml:space="preserve">5 weeks prior to</w:t>
      </w:r>
      <w:r>
        <w:t xml:space="preserve"> </w:t>
      </w:r>
      <m:oMath>
        <m:r>
          <m:t>D</m:t>
        </m:r>
        <m:r>
          <m:t>O</m:t>
        </m:r>
        <m:sSub>
          <m:e>
            <m:r>
              <m:t>Y</m:t>
            </m:r>
          </m:e>
          <m:sub>
            <m:r>
              <m:t>25</m:t>
            </m:r>
          </m:sub>
        </m:sSub>
      </m:oMath>
      <w:r>
        <w:t xml:space="preserve"> </w:t>
      </w:r>
      <w:r>
        <w:t xml:space="preserve">(Extended Data Figure 3).</w:t>
      </w:r>
    </w:p>
    <w:p>
      <w:pPr>
        <w:pStyle w:val="BodyText"/>
      </w:pPr>
      <w:r>
        <w:t xml:space="preserve">For both ring- and diffuse- porous species at both sites, warmer</w:t>
      </w:r>
      <w:r>
        <w:t xml:space="preserve"> </w:t>
      </w:r>
      <m:oMath>
        <m:sSub>
          <m:e>
            <m:r>
              <m:t>T</m:t>
            </m:r>
          </m:e>
          <m:sub>
            <m:r>
              <m:t>m</m:t>
            </m:r>
            <m:r>
              <m:t>a</m:t>
            </m:r>
            <m:r>
              <m:t>x</m:t>
            </m:r>
          </m:sub>
        </m:sSub>
      </m:oMath>
      <w:r>
        <w:t xml:space="preserve"> </w:t>
      </w:r>
      <w:r>
        <w:t xml:space="preserve">in the CTW resulted in earlier achievement of growth milestones (Figs. 1, Extended Data Figure 4).</w:t>
      </w:r>
      <w:r>
        <w:t xml:space="preserve"> </w:t>
      </w:r>
      <w:r>
        <w:t xml:space="preserve">Consistent with findings from previous studies</w:t>
      </w:r>
      <w:r>
        <w:rPr>
          <w:vertAlign w:val="superscript"/>
        </w:rPr>
        <w:t xml:space="preserve">20</w:t>
      </w:r>
      <w:r>
        <w:t xml:space="preserve">, at our focal sites the DOYs of leaf greenup and mid-greenup (measured at ecosystem level via remote sensing) advanced with increasing</w:t>
      </w:r>
      <w:r>
        <w:t xml:space="preserve"> </w:t>
      </w:r>
      <m:oMath>
        <m:sSub>
          <m:e>
            <m:r>
              <m:t>T</m:t>
            </m:r>
          </m:e>
          <m:sub>
            <m:r>
              <m:t>m</m:t>
            </m:r>
            <m:r>
              <m:t>a</m:t>
            </m:r>
            <m:r>
              <m:t>x</m:t>
            </m:r>
          </m:sub>
        </m:sSub>
      </m:oMath>
      <w:r>
        <w:t xml:space="preserve"> </w:t>
      </w:r>
      <w:r>
        <w:t xml:space="preserve">during the CTW (p=0.001 and 0.139, respectively).</w:t>
      </w:r>
      <w:r>
        <w:t xml:space="preserve"> </w:t>
      </w:r>
      <w:r>
        <w:t xml:space="preserve">Specifically,</w:t>
      </w:r>
      <w:r>
        <w:t xml:space="preserve"> </w:t>
      </w:r>
      <w:hyperlink r:id="rId24">
        <w:r>
          <w:rPr>
            <w:rStyle w:val="Hyperlink"/>
          </w:rPr>
          <w:t xml:space="preserve">greenup DOY occurred 21 days earlier (-4.535 days/</w:t>
        </w:r>
        <m:oMath>
          <m:sSup>
            <m:e>
              <m:r>
                <m:t>​</m:t>
              </m:r>
            </m:e>
            <m:sup>
              <m:r>
                <m:rPr>
                  <m:sty m:val="p"/>
                </m:rPr>
                <m:t>∘</m:t>
              </m:r>
            </m:sup>
          </m:sSup>
        </m:oMath>
        <w:r>
          <w:rPr>
            <w:rStyle w:val="Hyperlink"/>
          </w:rPr>
          <w:t xml:space="preserve">C) at SCBI and 7 days earlier (-2.437 days/</w:t>
        </w:r>
        <w:r>
          <w:rPr>
            <w:rStyle w:val="Hyperlink"/>
          </w:rPr>
          <w:t xml:space="preserve"> </w:t>
        </w:r>
        <m:oMath>
          <m:sSup>
            <m:e>
              <m:r>
                <m:t>​</m:t>
              </m:r>
            </m:e>
            <m:sup>
              <m:r>
                <m:rPr>
                  <m:sty m:val="p"/>
                </m:rPr>
                <m:t>∘</m:t>
              </m:r>
            </m:sup>
          </m:sSup>
        </m:oMath>
        <w:r>
          <w:rPr>
            <w:rStyle w:val="Hyperlink"/>
          </w:rPr>
          <w:t xml:space="preserve">C) at Harvard Forest when comparing the years with the warmest and coldest CTW</w:t>
        </w:r>
        <w:r>
          <w:rPr>
            <w:rStyle w:val="Hyperlink"/>
          </w:rPr>
          <w:t xml:space="preserve"> </w:t>
        </w:r>
        <m:oMath>
          <m:sSub>
            <m:e>
              <m:r>
                <m:t>T</m:t>
              </m:r>
            </m:e>
            <m:sub>
              <m:r>
                <m:t>m</m:t>
              </m:r>
              <m:r>
                <m:t>a</m:t>
              </m:r>
              <m:r>
                <m:t>x</m:t>
              </m:r>
            </m:sub>
          </m:sSub>
        </m:oMath>
      </w:hyperlink>
      <w:r>
        <w:t xml:space="preserve">, and mid-greenup also advanced, but to a lesser extent (Fig. 2).</w:t>
      </w:r>
      <w:r>
        <w:t xml:space="preserve"> </w:t>
      </w:r>
      <w:r>
        <w:t xml:space="preserve">Similarly,</w:t>
      </w:r>
      <w:r>
        <w:t xml:space="preserve"> </w:t>
      </w:r>
      <m:oMath>
        <m:r>
          <m:t>D</m:t>
        </m:r>
        <m:r>
          <m:t>O</m:t>
        </m:r>
        <m:sSub>
          <m:e>
            <m:r>
              <m:t>Y</m:t>
            </m:r>
          </m:e>
          <m:sub>
            <m:r>
              <m:t>25</m:t>
            </m:r>
          </m:sub>
        </m:sSub>
      </m:oMath>
      <w:r>
        <w:t xml:space="preserve"> </w:t>
      </w:r>
      <w:r>
        <w:t xml:space="preserve">(SCBI: RP = -1.91 days/</w:t>
      </w:r>
      <w:r>
        <w:t xml:space="preserve"> </w:t>
      </w:r>
      <m:oMath>
        <m:sSup>
          <m:e>
            <m:r>
              <m:t>​</m:t>
            </m:r>
          </m:e>
          <m:sup>
            <m:r>
              <m:rPr>
                <m:sty m:val="p"/>
              </m:rPr>
              <m:t>∘</m:t>
            </m:r>
          </m:sup>
        </m:sSup>
      </m:oMath>
      <w:r>
        <w:t xml:space="preserve">C, DP = -3.47 days/</w:t>
      </w:r>
      <m:oMath>
        <m:sSup>
          <m:e>
            <m:r>
              <m:t>​</m:t>
            </m:r>
          </m:e>
          <m:sup>
            <m:r>
              <m:rPr>
                <m:sty m:val="p"/>
              </m:rPr>
              <m:t>∘</m:t>
            </m:r>
          </m:sup>
        </m:sSup>
      </m:oMath>
      <w:r>
        <w:t xml:space="preserve">C , HF: RP = -2.79 days/</w:t>
      </w:r>
      <m:oMath>
        <m:sSup>
          <m:e>
            <m:r>
              <m:t>​</m:t>
            </m:r>
          </m:e>
          <m:sup>
            <m:r>
              <m:rPr>
                <m:sty m:val="p"/>
              </m:rPr>
              <m:t>∘</m:t>
            </m:r>
          </m:sup>
        </m:sSup>
      </m:oMath>
      <w:r>
        <w:t xml:space="preserve">C, DP = -7.90 days/</w:t>
      </w:r>
      <m:oMath>
        <m:sSup>
          <m:e>
            <m:r>
              <m:t>​</m:t>
            </m:r>
          </m:e>
          <m:sup>
            <m:r>
              <m:rPr>
                <m:sty m:val="p"/>
              </m:rPr>
              <m:t>∘</m:t>
            </m:r>
          </m:sup>
        </m:sSup>
      </m:oMath>
      <w:r>
        <w:t xml:space="preserve">C ),</w:t>
      </w:r>
      <w:r>
        <w:t xml:space="preserve"> </w:t>
      </w:r>
      <m:oMath>
        <m:r>
          <m:t>D</m:t>
        </m:r>
        <m:r>
          <m:t>O</m:t>
        </m:r>
        <m:sSub>
          <m:e>
            <m:r>
              <m:t>Y</m:t>
            </m:r>
          </m:e>
          <m:sub>
            <m:r>
              <m:t>50</m:t>
            </m:r>
          </m:sub>
        </m:sSub>
      </m:oMath>
      <w:r>
        <w:t xml:space="preserve"> </w:t>
      </w:r>
      <w:r>
        <w:t xml:space="preserve">(SCBI: RP = -1.54 days/</w:t>
      </w:r>
      <w:r>
        <w:t xml:space="preserve"> </w:t>
      </w:r>
      <m:oMath>
        <m:sSup>
          <m:e>
            <m:r>
              <m:t>​</m:t>
            </m:r>
          </m:e>
          <m:sup>
            <m:r>
              <m:rPr>
                <m:sty m:val="p"/>
              </m:rPr>
              <m:t>∘</m:t>
            </m:r>
          </m:sup>
        </m:sSup>
      </m:oMath>
      <w:r>
        <w:t xml:space="preserve">C, DP = -3.52 days/</w:t>
      </w:r>
      <m:oMath>
        <m:sSup>
          <m:e>
            <m:r>
              <m:t>​</m:t>
            </m:r>
          </m:e>
          <m:sup>
            <m:r>
              <m:rPr>
                <m:sty m:val="p"/>
              </m:rPr>
              <m:t>∘</m:t>
            </m:r>
          </m:sup>
        </m:sSup>
      </m:oMath>
      <w:r>
        <w:t xml:space="preserve">C, HF: RP = -4.98 days/</w:t>
      </w:r>
      <m:oMath>
        <m:sSup>
          <m:e>
            <m:r>
              <m:t>​</m:t>
            </m:r>
          </m:e>
          <m:sup>
            <m:r>
              <m:rPr>
                <m:sty m:val="p"/>
              </m:rPr>
              <m:t>∘</m:t>
            </m:r>
          </m:sup>
        </m:sSup>
      </m:oMath>
      <w:r>
        <w:t xml:space="preserve">C, DP = -7.27 days/</w:t>
      </w:r>
      <m:oMath>
        <m:sSup>
          <m:e>
            <m:r>
              <m:t>​</m:t>
            </m:r>
          </m:e>
          <m:sup>
            <m:r>
              <m:rPr>
                <m:sty m:val="p"/>
              </m:rPr>
              <m:t>∘</m:t>
            </m:r>
          </m:sup>
        </m:sSup>
      </m:oMath>
      <w:r>
        <w:t xml:space="preserve">C),</w:t>
      </w:r>
      <w:r>
        <w:t xml:space="preserve"> </w:t>
      </w:r>
      <m:oMath>
        <m:r>
          <m:t>D</m:t>
        </m:r>
        <m:r>
          <m:t>O</m:t>
        </m:r>
        <m:sSub>
          <m:e>
            <m:r>
              <m:t>Y</m:t>
            </m:r>
          </m:e>
          <m:sub>
            <m:r>
              <m:t>75</m:t>
            </m:r>
          </m:sub>
        </m:sSub>
      </m:oMath>
      <w:r>
        <w:t xml:space="preserve"> </w:t>
      </w:r>
      <w:r>
        <w:t xml:space="preserve">(SCBI: RP = -1.128 days/</w:t>
      </w:r>
      <m:oMath>
        <m:sSup>
          <m:e>
            <m:r>
              <m:t>​</m:t>
            </m:r>
          </m:e>
          <m:sup>
            <m:r>
              <m:rPr>
                <m:sty m:val="p"/>
              </m:rPr>
              <m:t>∘</m:t>
            </m:r>
          </m:sup>
        </m:sSup>
      </m:oMath>
      <w:r>
        <w:t xml:space="preserve">C, DP = -3.56 days/</w:t>
      </w:r>
      <m:oMath>
        <m:sSup>
          <m:e>
            <m:r>
              <m:t>​</m:t>
            </m:r>
          </m:e>
          <m:sup>
            <m:r>
              <m:rPr>
                <m:sty m:val="p"/>
              </m:rPr>
              <m:t>∘</m:t>
            </m:r>
          </m:sup>
        </m:sSup>
      </m:oMath>
      <w:r>
        <w:t xml:space="preserve">C , HF: RP = -7.17 days/</w:t>
      </w:r>
      <m:oMath>
        <m:sSup>
          <m:e>
            <m:r>
              <m:t>​</m:t>
            </m:r>
          </m:e>
          <m:sup>
            <m:r>
              <m:rPr>
                <m:sty m:val="p"/>
              </m:rPr>
              <m:t>∘</m:t>
            </m:r>
          </m:sup>
        </m:sSup>
      </m:oMath>
      <w:r>
        <w:t xml:space="preserve">C, DP= -6.62 days/</w:t>
      </w:r>
      <m:oMath>
        <m:sSup>
          <m:e>
            <m:r>
              <m:t>​</m:t>
            </m:r>
          </m:e>
          <m:sup>
            <m:r>
              <m:rPr>
                <m:sty m:val="p"/>
              </m:rPr>
              <m:t>∘</m:t>
            </m:r>
          </m:sup>
        </m:sSup>
      </m:oMath>
      <w:r>
        <w:t xml:space="preserve">C), and</w:t>
      </w:r>
      <w:r>
        <w:t xml:space="preserve"> </w:t>
      </w:r>
      <m:oMath>
        <m:r>
          <m:t>D</m:t>
        </m:r>
        <m:r>
          <m:t>O</m:t>
        </m:r>
        <m:sSub>
          <m:e>
            <m:r>
              <m:t>Y</m:t>
            </m:r>
          </m:e>
          <m:sub>
            <m:r>
              <m:t>g</m:t>
            </m:r>
            <m:r>
              <m:rPr>
                <m:sty m:val="p"/>
              </m:rPr>
              <m:t>.</m:t>
            </m:r>
            <m:r>
              <m:t>m</m:t>
            </m:r>
            <m:r>
              <m:t>a</m:t>
            </m:r>
            <m:r>
              <m:t>x</m:t>
            </m:r>
          </m:sub>
        </m:sSub>
      </m:oMath>
      <w:r>
        <w:t xml:space="preserve"> </w:t>
      </w:r>
      <w:r>
        <w:t xml:space="preserve">at both sites all decreased with CTW</w:t>
      </w:r>
      <w:r>
        <w:t xml:space="preserve"> </w:t>
      </w:r>
      <m:oMath>
        <m:sSub>
          <m:e>
            <m:r>
              <m:t>T</m:t>
            </m:r>
          </m:e>
          <m:sub>
            <m:r>
              <m:t>m</m:t>
            </m:r>
            <m:r>
              <m:t>a</m:t>
            </m:r>
            <m:r>
              <m:t>x</m:t>
            </m:r>
          </m:sub>
        </m:sSub>
      </m:oMath>
      <w:r>
        <w:t xml:space="preserve"> </w:t>
      </w:r>
      <w:r>
        <w:t xml:space="preserve">(</w:t>
      </w:r>
      <w:hyperlink r:id="rId24">
        <w:r>
          <w:rPr>
            <w:rStyle w:val="Hyperlink"/>
          </w:rPr>
          <w:t xml:space="preserve">https://github.com/EcoClimLab/growth_phenology/issues/58</w:t>
        </w:r>
      </w:hyperlink>
      <w:r>
        <w:t xml:space="preserve">) during the CTW (Figs. 1, 2; see also Extended Data Figures Extended Data Figure 4-Extended Data Figure 6).</w:t>
      </w:r>
    </w:p>
    <w:p>
      <w:pPr>
        <w:pStyle w:val="BodyText"/>
      </w:pPr>
      <w:r>
        <w:t xml:space="preserve">Whereas the length of time between leaf greenup and senescence (</w:t>
      </w:r>
      <w:r>
        <w:rPr>
          <w:iCs/>
          <w:i/>
        </w:rPr>
        <w:t xml:space="preserve">i.e.,</w:t>
      </w:r>
      <w:r>
        <w:t xml:space="preserve"> </w:t>
      </w:r>
      <w:r>
        <w:t xml:space="preserve">the day when greenness dropped below 90% of its peak) increased in years with warmer CTW’s compared to those with cooler CTW’s (Fig. 2), there was no consistent lengthening of the period of peak stem growth.</w:t>
      </w:r>
      <w:r>
        <w:t xml:space="preserve"> </w:t>
      </w:r>
      <w:r>
        <w:t xml:space="preserve">Specifically, because</w:t>
      </w:r>
      <w:r>
        <w:t xml:space="preserve"> </w:t>
      </w:r>
      <m:oMath>
        <m:r>
          <m:t>D</m:t>
        </m:r>
        <m:r>
          <m:t>O</m:t>
        </m:r>
        <m:sSub>
          <m:e>
            <m:r>
              <m:t>Y</m:t>
            </m:r>
          </m:e>
          <m:sub>
            <m:r>
              <m:t>75</m:t>
            </m:r>
          </m:sub>
        </m:sSub>
      </m:oMath>
      <w:r>
        <w:t xml:space="preserve"> </w:t>
      </w:r>
      <w:r>
        <w:t xml:space="preserve">– and not only</w:t>
      </w:r>
      <w:r>
        <w:t xml:space="preserve"> </w:t>
      </w:r>
      <m:oMath>
        <m:r>
          <m:t>D</m:t>
        </m:r>
        <m:r>
          <m:t>O</m:t>
        </m:r>
        <m:sSub>
          <m:e>
            <m:r>
              <m:t>Y</m:t>
            </m:r>
          </m:e>
          <m:sub>
            <m:r>
              <m:t>25</m:t>
            </m:r>
          </m:sub>
        </m:sSub>
      </m:oMath>
      <w:r>
        <w:t xml:space="preserve"> </w:t>
      </w:r>
      <w:r>
        <w:t xml:space="preserve">– shifted earlier in years with warm springs,</w:t>
      </w:r>
      <w:r>
        <w:t xml:space="preserve"> </w:t>
      </w:r>
      <m:oMath>
        <m:sSub>
          <m:e>
            <m:r>
              <m:t>L</m:t>
            </m:r>
          </m:e>
          <m:sub>
            <m:r>
              <m:t>P</m:t>
            </m:r>
            <m:r>
              <m:t>G</m:t>
            </m:r>
            <m:r>
              <m:t>S</m:t>
            </m:r>
          </m:sub>
        </m:sSub>
      </m:oMath>
      <w:r>
        <w:t xml:space="preserve"> </w:t>
      </w:r>
      <w:r>
        <w:t xml:space="preserve">displayed mixed responses to spring temperatures (Fig. 1, Extended Data Figures Extended Data Figure 4-Extended Data Figure 6).</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less consistent and generally quite subtle (Figs. 1, Extended Data Figure 4).</w:t>
      </w:r>
      <w:r>
        <w:t xml:space="preserve"> </w:t>
      </w:r>
      <w:r>
        <w:t xml:space="preserve">Neither maximum seasonal growth rate,</w:t>
      </w:r>
      <w:r>
        <w:t xml:space="preserve"> </w:t>
      </w:r>
      <m:oMath>
        <m:sSub>
          <m:e>
            <m:r>
              <m:t>g</m:t>
            </m:r>
          </m:e>
          <m:sub>
            <m:r>
              <m:t>m</m:t>
            </m:r>
            <m:r>
              <m:t>a</m:t>
            </m:r>
            <m:r>
              <m:t>x</m:t>
            </m:r>
          </m:sub>
        </m:sSub>
      </m:oMath>
      <w:r>
        <w:t xml:space="preserve">, nor annual growth measured with dendrometer bands,</w:t>
      </w:r>
      <w:r>
        <w:t xml:space="preserve"> </w:t>
      </w:r>
      <m:oMath>
        <m:r>
          <m:t>Δ</m:t>
        </m:r>
        <m:r>
          <m:t>D</m:t>
        </m:r>
        <m:r>
          <m:t>B</m:t>
        </m:r>
        <m:r>
          <m:t>H</m:t>
        </m:r>
      </m:oMath>
      <w:r>
        <w:t xml:space="preserve">, was consistently linked to early spring temperatures (Fig. 1, Extended Data Figures</w:t>
      </w:r>
      <w:r>
        <w:t xml:space="preserve"> </w:t>
      </w:r>
      <w:r>
        <w:rPr>
          <w:bCs/>
          <w:b/>
        </w:rPr>
        <w:t xml:space="preserve">4-6</w:t>
      </w:r>
      <w:r>
        <w:t xml:space="preserve">).</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CTW</w:t>
      </w:r>
      <w:r>
        <w:t xml:space="preserve"> </w:t>
      </w:r>
      <m:oMath>
        <m:sSub>
          <m:e>
            <m:r>
              <m:t>T</m:t>
            </m:r>
          </m:e>
          <m:sub>
            <m:r>
              <m:t>m</m:t>
            </m:r>
            <m:r>
              <m:t>a</m:t>
            </m:r>
            <m:r>
              <m:t>x</m:t>
            </m:r>
          </m:sub>
        </m:sSub>
      </m:oMath>
      <w:r>
        <w:t xml:space="preserve"> </w:t>
      </w:r>
      <w:r>
        <w:t xml:space="preserve">(SCBI), or extremely small changes in opposite directions for ring- and diffuse- porous species (Harvard Forest),</w:t>
      </w:r>
      <w:r>
        <w:t xml:space="preserve"> </w:t>
      </w:r>
      <w:r>
        <w:t xml:space="preserve">while</w:t>
      </w:r>
      <w:r>
        <w:t xml:space="preserve"> </w:t>
      </w:r>
      <m:oMath>
        <m:r>
          <m:t>Δ</m:t>
        </m:r>
        <m:r>
          <m:t>D</m:t>
        </m:r>
        <m:r>
          <m:t>B</m:t>
        </m:r>
        <m:r>
          <m:t>H</m:t>
        </m:r>
      </m:oMath>
      <w:r>
        <w:t xml:space="preserve"> </w:t>
      </w:r>
      <w:r>
        <w:t xml:space="preserve">displayed no relationship with CTW</w:t>
      </w:r>
      <w:r>
        <w:t xml:space="preserve"> </w:t>
      </w:r>
      <m:oMath>
        <m:sSub>
          <m:e>
            <m:r>
              <m:t>T</m:t>
            </m:r>
          </m:e>
          <m:sub>
            <m:r>
              <m:t>m</m:t>
            </m:r>
            <m:r>
              <m:t>a</m:t>
            </m:r>
            <m:r>
              <m:t>x</m:t>
            </m:r>
          </m:sub>
        </m:sSub>
      </m:oMath>
      <w:r>
        <w:t xml:space="preserve"> </w:t>
      </w:r>
      <w:r>
        <w:t xml:space="preserve">(Extended Data Figure 4).</w:t>
      </w:r>
      <w:r>
        <w:t xml:space="preserve"> </w:t>
      </w:r>
      <w:r>
        <w:t xml:space="preserve">Given the subtlety of these responses, a much longer record was needed to clarify what, if any, effect spring temperatures have on stem growth.</w:t>
      </w:r>
    </w:p>
    <w:bookmarkEnd w:id="25"/>
    <w:bookmarkStart w:id="28"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from our focal study sites (Extended Data Table 1) and across an additional 106 locations (Fig. 3, Extended Data Figure 1).</w:t>
      </w:r>
      <w:r>
        <w:t xml:space="preserve"> </w:t>
      </w:r>
      <w:r>
        <w:t xml:space="preserve">For 12 species at SCBI and 3 species at Harvard Forest, ring width indices (RWI) rarely exhibited significant correlations to either</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w:t>
      </w:r>
      <w:r>
        <w:t xml:space="preserve">in the months corresponding to the CTWs identified here (Fig. 3, Extended Data Figure 7).</w:t>
      </w:r>
      <w:r>
        <w:t xml:space="preserve"> </w:t>
      </w:r>
      <w:r>
        <w:t xml:space="preserve">Although correlations were rarely significant, there was a consistent pattern in responses to</w:t>
      </w:r>
      <w:r>
        <w:t xml:space="preserve"> </w:t>
      </w:r>
      <m:oMath>
        <m:sSub>
          <m:e>
            <m:r>
              <m:t>T</m:t>
            </m:r>
          </m:e>
          <m:sub>
            <m:r>
              <m:t>m</m:t>
            </m:r>
            <m:r>
              <m:t>a</m:t>
            </m:r>
            <m:r>
              <m:t>x</m:t>
            </m:r>
          </m:sub>
        </m:sSub>
      </m:oMath>
      <w:r>
        <w:t xml:space="preserve"> </w:t>
      </w:r>
      <w:r>
        <w:t xml:space="preserve">across all species at both sites:</w:t>
      </w:r>
      <w:r>
        <w:t xml:space="preserve"> </w:t>
      </w:r>
      <w:r>
        <w:t xml:space="preserve">responses to</w:t>
      </w:r>
      <w:r>
        <w:t xml:space="preserve"> </w:t>
      </w:r>
      <m:oMath>
        <m:sSub>
          <m:e>
            <m:r>
              <m:t>T</m:t>
            </m:r>
          </m:e>
          <m:sub>
            <m:r>
              <m:t>m</m:t>
            </m:r>
            <m:r>
              <m:t>a</m:t>
            </m:r>
            <m:r>
              <m:t>x</m:t>
            </m:r>
          </m:sub>
        </m:sSub>
      </m:oMath>
      <w:r>
        <w:t xml:space="preserve"> </w:t>
      </w:r>
      <w:r>
        <w:t xml:space="preserve">were negative or neutral in all months from February to August, with the exception of one spring month at each site (April at SCBI, May at Harvard Forest) where growth displayed a positive or neutral response to</w:t>
      </w:r>
      <w:r>
        <w:t xml:space="preserve"> </w:t>
      </w:r>
      <m:oMath>
        <m:sSub>
          <m:e>
            <m:r>
              <m:t>T</m:t>
            </m:r>
          </m:e>
          <m:sub>
            <m:r>
              <m:t>m</m:t>
            </m:r>
            <m:r>
              <m:t>a</m:t>
            </m:r>
            <m:r>
              <m:t>x</m:t>
            </m:r>
          </m:sub>
        </m:sSub>
      </m:oMath>
      <w:r>
        <w:t xml:space="preserve"> </w:t>
      </w:r>
      <w:r>
        <w:t xml:space="preserve">(Fig. 3).</w:t>
      </w:r>
      <w:r>
        <w:t xml:space="preserve"> </w:t>
      </w:r>
      <w:r>
        <w:t xml:space="preserve">In these months, positive correlations to</w:t>
      </w:r>
      <w:r>
        <w:t xml:space="preserve"> </w:t>
      </w:r>
      <m:oMath>
        <m:sSub>
          <m:e>
            <m:r>
              <m:t>T</m:t>
            </m:r>
          </m:e>
          <m:sub>
            <m:r>
              <m:t>m</m:t>
            </m:r>
            <m:r>
              <m:t>a</m:t>
            </m:r>
            <m:r>
              <m:t>x</m:t>
            </m:r>
          </m:sub>
        </m:sSub>
      </m:oMath>
      <w:r>
        <w:t xml:space="preserve"> </w:t>
      </w:r>
      <w:r>
        <w:t xml:space="preserve">were statistically significant (at p=0.05) for one of nine ring-porous species at SCBI and one of two diffuse-porous species at each site.</w:t>
      </w:r>
      <w:r>
        <w:t xml:space="preserve"> </w:t>
      </w:r>
      <w:r>
        <w:t xml:space="preserve">Starting in May at SCBI and June at Harvard Forest, negative correlations of RWI to</w:t>
      </w:r>
      <w:r>
        <w:t xml:space="preserve"> </w:t>
      </w:r>
      <m:oMath>
        <m:sSub>
          <m:e>
            <m:r>
              <m:t>T</m:t>
            </m:r>
          </m:e>
          <m:sub>
            <m:r>
              <m:t>m</m:t>
            </m:r>
            <m:r>
              <m:t>a</m:t>
            </m:r>
            <m:r>
              <m:t>x</m:t>
            </m:r>
          </m:sub>
        </m:sSub>
      </m:oMath>
      <w:r>
        <w:t xml:space="preserve"> </w:t>
      </w:r>
      <w:r>
        <w:t xml:space="preserve">were predominant, being statistically significant in at least one growing season month for all 12 species at SCBI and one of 3 species at Harvard Forest.</w:t>
      </w:r>
      <w:r>
        <w:t xml:space="preserve"> </w:t>
      </w:r>
      <w:r>
        <w:t xml:space="preserve">Patterns in</w:t>
      </w:r>
      <w:r>
        <w:t xml:space="preserve"> </w:t>
      </w:r>
      <m:oMath>
        <m:sSub>
          <m:e>
            <m:r>
              <m:t>T</m:t>
            </m:r>
          </m:e>
          <m:sub>
            <m:r>
              <m:t>m</m:t>
            </m:r>
            <m:r>
              <m:t>i</m:t>
            </m:r>
            <m:r>
              <m:t>n</m:t>
            </m:r>
          </m:sub>
        </m:sSub>
      </m:oMath>
      <w:r>
        <w:t xml:space="preserve"> </w:t>
      </w:r>
      <w:r>
        <w:t xml:space="preserve">were fairly similar to those of</w:t>
      </w:r>
      <w:r>
        <w:t xml:space="preserve"> </w:t>
      </w:r>
      <m:oMath>
        <m:sSub>
          <m:e>
            <m:r>
              <m:t>T</m:t>
            </m:r>
          </m:e>
          <m:sub>
            <m:r>
              <m:t>m</m:t>
            </m:r>
            <m:r>
              <m:t>a</m:t>
            </m:r>
            <m:r>
              <m:t>x</m:t>
            </m:r>
          </m:sub>
        </m:sSub>
      </m:oMath>
      <w:r>
        <w:t xml:space="preserve">, but weaker and more stochastic, with more (non-significant) correlations going in opposite directions (Extended Data Figure 7).</w:t>
      </w:r>
    </w:p>
    <w:p>
      <w:pPr>
        <w:pStyle w:val="CaptionedFigure"/>
      </w:pPr>
      <w:r>
        <w:drawing>
          <wp:inline>
            <wp:extent cx="5943600" cy="5736123"/>
            <wp:effectExtent b="0" l="0" r="0" t="0"/>
            <wp:docPr descr="Figure 3 | Sensitivity of annual growth, as derived from tree-rings, to monthly maximum temperatures, for 207 chronologies from 114 sites across eastern North America (Extended Data Figure 1). Chronologies are grouped by xylem porosity and ordered by mean maximum April temperature. Chronology details are given in the Supplementary Information. (NOTE: Figure still needs some work. See GitHub Issue #49.)"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6"/>
                    <a:stretch>
                      <a:fillRect/>
                    </a:stretch>
                  </pic:blipFill>
                  <pic:spPr bwMode="auto">
                    <a:xfrm>
                      <a:off x="0" y="0"/>
                      <a:ext cx="5943600" cy="5736123"/>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114 sites across eastern North America</w:t>
      </w:r>
      <w:r>
        <w:t xml:space="preserve"> </w:t>
      </w:r>
      <w:r>
        <w:t xml:space="preserve">(Extended Data Figure 1). Chronologies are grouped by xylem porosity and ordered by mean maximum April temperature. Chronology details are given in the Supplementary Information. (NOTE: Figure still needs some work. See</w:t>
      </w:r>
      <w:r>
        <w:t xml:space="preserve"> </w:t>
      </w:r>
      <w:hyperlink r:id="rId27">
        <w:r>
          <w:rPr>
            <w:rStyle w:val="Hyperlink"/>
          </w:rPr>
          <w:t xml:space="preserve">GitHub Issue #49</w:t>
        </w:r>
      </w:hyperlink>
      <w:r>
        <w:t xml:space="preserve">.)</w:t>
      </w:r>
    </w:p>
    <w:p>
      <w:pPr>
        <w:pStyle w:val="BodyText"/>
      </w:pPr>
      <w:r>
        <w:t xml:space="preserve">The patterns observed at our focal sites were mirrored across an additional 193 chronologies from 106 sites (Fig. 3; Extended Data Figure 1)</w:t>
      </w:r>
      <w:r>
        <w:rPr>
          <w:vertAlign w:val="superscript"/>
        </w:rPr>
        <w:t xml:space="preserve">29</w:t>
      </w:r>
      <w:r>
        <w:t xml:space="preserve">.</w:t>
      </w:r>
      <w:r>
        <w:t xml:space="preserve"> </w:t>
      </w:r>
      <w:r>
        <w:t xml:space="preserve">In total, our analysis included</w:t>
      </w:r>
      <w:r>
        <w:t xml:space="preserve"> </w:t>
      </w:r>
      <w:r>
        <w:rPr>
          <w:rStyle w:val="VerbatimChar"/>
        </w:rPr>
        <w:t xml:space="preserve">r_n_chronologies</w:t>
      </w:r>
      <w:r>
        <w:t xml:space="preserve"> </w:t>
      </w:r>
      <w:r>
        <w:t xml:space="preserve">species at sites distributed from Alabama (Lat = 34.35) to Michigan (Lat = 45.56) and spanning a 15</w:t>
      </w:r>
      <w:r>
        <w:t xml:space="preserve"> </w:t>
      </w:r>
      <m:oMath>
        <m:sSup>
          <m:e>
            <m:r>
              <m:t>​</m:t>
            </m:r>
          </m:e>
          <m:sup>
            <m:r>
              <m:rPr>
                <m:sty m:val="p"/>
              </m:rPr>
              <m:t>∘</m:t>
            </m:r>
          </m:sup>
        </m:sSup>
      </m:oMath>
      <w:r>
        <w:t xml:space="preserve">C range in CTW.</w:t>
      </w:r>
      <w:r>
        <w:t xml:space="preserve"> </w:t>
      </w:r>
      <w:r>
        <w:t xml:space="preserve">Across all chronologies (focal sites included), RWI was significantly positively correlated with April</w:t>
      </w:r>
      <w:r>
        <w:t xml:space="preserve"> </w:t>
      </w:r>
      <m:oMath>
        <m:sSub>
          <m:e>
            <m:r>
              <m:t>T</m:t>
            </m:r>
          </m:e>
          <m:sub>
            <m:r>
              <m:t>m</m:t>
            </m:r>
            <m:r>
              <m:t>a</m:t>
            </m:r>
            <m:r>
              <m:t>x</m:t>
            </m:r>
          </m:sub>
        </m:sSub>
      </m:oMath>
      <w:r>
        <w:t xml:space="preserve"> </w:t>
      </w:r>
      <w:r>
        <w:t xml:space="preserve">for only 1% of records: 1 of 142 ring-porous and 2 of 66 diffuse-porous species-site combinations.</w:t>
      </w:r>
      <w:r>
        <w:t xml:space="preserve"> </w:t>
      </w:r>
      <w:r>
        <w:t xml:space="preserve">In contrast, RWI was frequently significantly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53% (Aug = 57, Jul = 90, Jun = 108, May = 47) and 46% (Aug = 22, Jul = 37, Jun = 53, May = 11) of species-site-month combinations for ring-porous and diffuse-porous species, respectively.</w:t>
      </w:r>
      <w:r>
        <w:t xml:space="preserve"> </w:t>
      </w:r>
      <w:r>
        <w:t xml:space="preserve">Again,</w:t>
      </w:r>
      <w:r>
        <w:t xml:space="preserve"> </w:t>
      </w:r>
      <m:oMath>
        <m:sSub>
          <m:e>
            <m:r>
              <m:t>T</m:t>
            </m:r>
          </m:e>
          <m:sub>
            <m:r>
              <m:t>m</m:t>
            </m:r>
            <m:r>
              <m:t>i</m:t>
            </m:r>
            <m:r>
              <m:t>n</m:t>
            </m:r>
          </m:sub>
        </m:sSub>
      </m:oMath>
      <w:r>
        <w:t xml:space="preserve"> </w:t>
      </w:r>
      <w:r>
        <w:t xml:space="preserve">generally exerted less influence over annual growth than</w:t>
      </w:r>
      <w:r>
        <w:t xml:space="preserve"> </w:t>
      </w:r>
      <m:oMath>
        <m:sSub>
          <m:e>
            <m:r>
              <m:t>T</m:t>
            </m:r>
          </m:e>
          <m:sub>
            <m:r>
              <m:t>m</m:t>
            </m:r>
            <m:r>
              <m:t>a</m:t>
            </m:r>
            <m:r>
              <m:t>x</m:t>
            </m:r>
          </m:sub>
        </m:sSub>
      </m:oMath>
      <w:r>
        <w:t xml:space="preserve"> </w:t>
      </w:r>
      <w:r>
        <w:t xml:space="preserve">(Extended Data Figure 7), with few significant correlations between spring</w:t>
      </w:r>
      <w:r>
        <w:t xml:space="preserve"> </w:t>
      </w:r>
      <m:oMath>
        <m:sSub>
          <m:e>
            <m:r>
              <m:t>T</m:t>
            </m:r>
          </m:e>
          <m:sub>
            <m:r>
              <m:t>m</m:t>
            </m:r>
            <m:r>
              <m:t>i</m:t>
            </m:r>
            <m:r>
              <m:t>n</m:t>
            </m:r>
          </m:sub>
        </m:sSub>
      </m:oMath>
      <w:r>
        <w:t xml:space="preserve"> </w:t>
      </w:r>
      <w:r>
        <w:t xml:space="preserve">and RWI.</w:t>
      </w:r>
    </w:p>
    <w:bookmarkEnd w:id="28"/>
    <w:bookmarkStart w:id="30"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advance in the timing of stem growth milestones under warmer springs is consistent with similar phenological advances observed for leaf development (Fig. 2)</w:t>
      </w:r>
      <w:r>
        <w:rPr>
          <w:vertAlign w:val="superscript"/>
        </w:rPr>
        <w:t xml:space="preserve">2</w:t>
      </w:r>
      <w:r>
        <w:t xml:space="preserve"> </w:t>
      </w:r>
      <w:r>
        <w:t xml:space="preserve">and NEE.</w:t>
      </w:r>
      <w:r>
        <w:rPr>
          <w:vertAlign w:val="superscript"/>
        </w:rPr>
        <w:t xml:space="preserve">2</w:t>
      </w:r>
      <w:r>
        <w:t xml:space="preserve"> </w:t>
      </w:r>
      <w:r>
        <w:rPr>
          <w:iCs/>
          <w:i/>
        </w:rPr>
        <w:t xml:space="preserve">It would be interesting to compare the magnitude of these advances (days per degree C)</w:t>
      </w:r>
      <w:r>
        <w:t xml:space="preserve"> </w:t>
      </w:r>
      <w:r>
        <w:t xml:space="preserve">However, inconsistent with leaf phenology and NEE, we observed that the length of the period of most active stem growth does not increase under warmer springs.</w:t>
      </w:r>
      <w:r>
        <w:t xml:space="preserve"> </w:t>
      </w:r>
      <w:r>
        <w:t xml:space="preserve">This suggests that the growth benefit of warmer springs is compensated by negative effects later in the growing season, with two primary possible mechanisms.</w:t>
      </w:r>
      <w:r>
        <w:t xml:space="preserve"> </w:t>
      </w:r>
      <w:r>
        <w:t xml:space="preserve">First, stem growth, like leaf phenology</w:t>
      </w:r>
      <w:r>
        <w:rPr>
          <w:vertAlign w:val="superscript"/>
        </w:rPr>
        <w:t xml:space="preserve">18</w:t>
      </w:r>
      <w:r>
        <w:t xml:space="preserve">, may be sink-limited, such that an advance in the start of growth (</w:t>
      </w:r>
      <m:oMath>
        <m:r>
          <m:t>D</m:t>
        </m:r>
        <m:r>
          <m:t>O</m:t>
        </m:r>
        <m:sSub>
          <m:e>
            <m:r>
              <m:t>Y</m:t>
            </m:r>
          </m:e>
          <m:sub>
            <m:r>
              <m:t>25</m:t>
            </m:r>
          </m:sub>
        </m:sSub>
      </m:oMath>
      <w:r>
        <w:t xml:space="preserve">) would lead to an earlier depletion of resources needed for growth resulting in an earlier end to the season of rapid growth (</w:t>
      </w:r>
      <m:oMath>
        <m:r>
          <m:t>D</m:t>
        </m:r>
        <m:r>
          <m:t>O</m:t>
        </m:r>
        <m:sSub>
          <m:e>
            <m:r>
              <m:t>Y</m:t>
            </m:r>
          </m:e>
          <m:sub>
            <m:r>
              <m:t>75</m:t>
            </m:r>
          </m:sub>
        </m:sSub>
      </m:oMath>
      <w:r>
        <w:t xml:space="preserve">).</w:t>
      </w:r>
      <w:r>
        <w:t xml:space="preserve"> </w:t>
      </w:r>
      <w:r>
        <w:t xml:space="preserve">Warm springs may also be associated with greater seasonal water stress, effectively canceling out any positive effects of an extended growing period[</w:t>
      </w:r>
      <w:r>
        <w:rPr>
          <w:vertAlign w:val="superscript"/>
        </w:rPr>
        <w:t xml:space="preserve">3</w:t>
      </w:r>
      <w:r>
        <w:t xml:space="preserve">; ] or inducing the cessation of stem growth when a critical water deficit is reached</w:t>
      </w:r>
      <w:r>
        <w:rPr>
          <w:bCs/>
          <w:b/>
          <w:vertAlign w:val="superscript"/>
        </w:rPr>
        <w:t xml:space="preserve">lempereur_growth_2015?</w:t>
      </w:r>
      <w:r>
        <w:t xml:space="preserve">.</w:t>
      </w:r>
    </w:p>
    <w:p>
      <w:pPr>
        <w:pStyle w:val="BodyText"/>
      </w:pPr>
      <w:r>
        <w:t xml:space="preserve">Spring warming at SCBI and HF in the study years used here did not result in increased</w:t>
      </w:r>
      <w:r>
        <w:t xml:space="preserve"> </w:t>
      </w:r>
      <m:oMath>
        <m:r>
          <m:t>Δ</m:t>
        </m:r>
        <m:r>
          <m:t>D</m:t>
        </m:r>
        <m:r>
          <m:t>B</m:t>
        </m:r>
        <m:r>
          <m:t>H</m:t>
        </m:r>
      </m:oMath>
      <w:r>
        <w:t xml:space="preserve"> </w:t>
      </w:r>
      <w:r>
        <w:t xml:space="preserve">or summer water stress (SPEI; Supp(?) SPEI Figure). This suggests that even when warmer springs are not associated with greater seasonal water stress, the lack of increased stem growth still prevails at these sites. This could be because the woody growth at these sites are already sink-limited.</w:t>
      </w:r>
    </w:p>
    <w:p>
      <w:pPr>
        <w:pStyle w:val="BodyText"/>
      </w:pPr>
      <w:r>
        <w:t xml:space="preserve">The concept that stem growth is not enhanced under a longer growing season was supported by our tree-ring analysis, which showed that the effect of spring temperatures on annual growth is negligible for most species and locations, with at most modest influence for some species and locations (Fig. 3, Extended Data Figure 7)</w:t>
      </w:r>
      <w:r>
        <w:rPr>
          <w:vertAlign w:val="superscript"/>
        </w:rPr>
        <w:t xml:space="preserve">27,30</w:t>
      </w:r>
      <w:r>
        <w:t xml:space="preserve">.</w:t>
      </w:r>
      <w:r>
        <w:t xml:space="preserve"> </w:t>
      </w:r>
      <w:r>
        <w:t xml:space="preserve">Rather, the primary effect of temperature on annual growth is a negative effect of</w:t>
      </w:r>
      <w:r>
        <w:t xml:space="preserve"> </w:t>
      </w:r>
      <m:oMath>
        <m:sSub>
          <m:e>
            <m:r>
              <m:t>T</m:t>
            </m:r>
          </m:e>
          <m:sub>
            <m:r>
              <m:t>m</m:t>
            </m:r>
            <m:r>
              <m:t>a</m:t>
            </m:r>
            <m:r>
              <m:t>x</m:t>
            </m:r>
          </m:sub>
        </m:sSub>
      </m:oMath>
      <w:r>
        <w:t xml:space="preserve"> </w:t>
      </w:r>
      <w:r>
        <w:t xml:space="preserve">during the peak growing season, which is most likely a signal of drought stress</w:t>
      </w:r>
      <w:r>
        <w:rPr>
          <w:vertAlign w:val="superscript"/>
        </w:rPr>
        <w:t xml:space="preserve">29</w:t>
      </w:r>
      <w:r>
        <w:t xml:space="preserve">.</w:t>
      </w:r>
      <w:r>
        <w:t xml:space="preserve"> </w:t>
      </w:r>
      <w:r>
        <w:t xml:space="preserve">Linear models were run to examine the relationship between spring, summer and an interaction effect with ring-width for each of our 208 chronologies. The results indicated that, across all latitudes, the interacting effect of warmer springs and summers resulted in negligible increase of ring-width (supp (?) rw_drought_plot).</w:t>
      </w:r>
      <w:r>
        <w:br/>
      </w:r>
      <w:r>
        <w:rPr>
          <w:iCs/>
          <w:i/>
        </w:rPr>
        <w:t xml:space="preserve">It is possible that an earlier start to the growing season may provide some buffer against drought later in the growing season</w:t>
      </w:r>
      <w:r>
        <w:rPr>
          <w:vertAlign w:val="superscript"/>
          <w:iCs/>
          <w:i/>
        </w:rPr>
        <w:t xml:space="preserve">31</w:t>
      </w:r>
      <w:r>
        <w:rPr>
          <w:iCs/>
          <w:i/>
        </w:rPr>
        <w:t xml:space="preserve">, potentially contributing to observed trends of declining drought sensitivity in the region</w:t>
      </w:r>
      <w:r>
        <w:rPr>
          <w:vertAlign w:val="superscript"/>
          <w:iCs/>
          <w:i/>
        </w:rPr>
        <w:t xml:space="preserve">16,27,32</w:t>
      </w:r>
      <w:r>
        <w:rPr>
          <w:iCs/>
          <w:i/>
        </w:rPr>
        <w:t xml:space="preserve">. (Is this relevent?)</w:t>
      </w:r>
      <w:r>
        <w:t xml:space="preserve">(Neil suggested that the zhang paper would be good here but i’m not sure I see how…)</w:t>
      </w:r>
      <w:r>
        <w:t xml:space="preserve"> </w:t>
      </w:r>
      <w:r>
        <w:rPr>
          <w:iCs/>
          <w:i/>
        </w:rPr>
        <w:t xml:space="preserve">(ADD MORE ON DROUGHT HERE)</w:t>
      </w:r>
    </w:p>
    <w:p>
      <w:pPr>
        <w:pStyle w:val="BodyText"/>
      </w:pPr>
      <w:r>
        <w:t xml:space="preserve">Our finding that interannual variation in woody growth is more strongly linked to conditions during the peak growing season than to growing season length aligns with parallel findings for NEE.</w:t>
      </w:r>
      <w:r>
        <w:rPr>
          <w:vertAlign w:val="superscript"/>
        </w:rPr>
        <w:t xml:space="preserve">10,11</w:t>
      </w:r>
      <w:r>
        <w:t xml:space="preserve"> </w:t>
      </w:r>
      <w:r>
        <w:t xml:space="preserve">However, there is also a disconnect between the woody growth responses to spring temperatures observed here and parallel studies on NEE implying that annual C sequestration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10,11</w:t>
      </w:r>
      <w:r>
        <w:t xml:space="preserve">.</w:t>
      </w:r>
      <w:r>
        <w:t xml:space="preserve"> </w:t>
      </w:r>
      <w:r>
        <w:t xml:space="preserve">We show that the extra C does not go into woody growth, raising the question of where this C goes.</w:t>
      </w:r>
    </w:p>
    <w:p>
      <w:pPr>
        <w:pStyle w:val="BodyText"/>
      </w:pPr>
      <w:r>
        <w:t xml:space="preserve">There are two main possibilities, which hold contrasting implications for the response of forest C balance to rising spring temperatures.</w:t>
      </w:r>
      <w:r>
        <w:t xml:space="preserve"> </w:t>
      </w:r>
      <w:r>
        <w:t xml:space="preserve">First, C that is fixed in late summer or fall may be used for woody growth that is not apparent from diameter measurements in the current year: either used for thickening of cell walls, a process that lags behind stem expansion</w:t>
      </w:r>
      <w:r>
        <w:rPr>
          <w:vertAlign w:val="superscript"/>
        </w:rPr>
        <w:t xml:space="preserve">33</w:t>
      </w:r>
      <w:r>
        <w:t xml:space="preserve">, or saved within trees as non-structural carbohydrates and used towards growth the following year</w:t>
      </w:r>
      <w:r>
        <w:rPr>
          <w:vertAlign w:val="superscript"/>
        </w:rPr>
        <w:t xml:space="preserve">34,35</w:t>
      </w:r>
      <w:r>
        <w:t xml:space="preserve">.</w:t>
      </w:r>
      <w:r>
        <w:t xml:space="preserve"> </w:t>
      </w:r>
      <w:r>
        <w:t xml:space="preserve">Tree-ring evidence from SCBI suggests that both processes may influence the climate sensitivity of annual woody growth, but that this dynamic is complex and unlikely to result in substantial additional growth in the following year.</w:t>
      </w:r>
      <w:r>
        <w:rPr>
          <w:vertAlign w:val="superscript"/>
        </w:rPr>
        <w:t xml:space="preserve">27</w:t>
      </w:r>
      <w:r>
        <w:t xml:space="preserve"> </w:t>
      </w:r>
      <w:r>
        <w:rPr>
          <w:iCs/>
          <w:i/>
        </w:rPr>
        <w:t xml:space="preserve">we can easily test this:</w:t>
      </w:r>
      <w:r>
        <w:rPr>
          <w:iCs/>
          <w:i/>
        </w:rPr>
        <w:t xml:space="preserve"> </w:t>
      </w:r>
      <w:hyperlink r:id="rId29">
        <w:r>
          <w:rPr>
            <w:rStyle w:val="Hyperlink"/>
            <w:iCs/>
            <w:i/>
          </w:rPr>
          <w:t xml:space="preserve">GitHub issue 57</w:t>
        </w:r>
      </w:hyperlink>
      <w:r>
        <w:rPr>
          <w:iCs/>
          <w:i/>
        </w:rPr>
        <w:t xml:space="preserve">)</w:t>
      </w:r>
      <w:r>
        <w:t xml:space="preserve"> </w:t>
      </w:r>
      <w:r>
        <w:t xml:space="preserve">Second, any additional C that is not rapidly respired may be allocated, likely in the following growing season, to plant functions other than stem growth, including respiration, reproduction, foliage, fine roots, or root exudates</w:t>
      </w:r>
      <w:r>
        <w:rPr>
          <w:vertAlign w:val="superscript"/>
        </w:rPr>
        <w:t xml:space="preserve">34</w:t>
      </w:r>
      <w:r>
        <w:t xml:space="preserve">.</w:t>
      </w:r>
      <w:r>
        <w:t xml:space="preserve"> </w:t>
      </w:r>
      <w:r>
        <w:t xml:space="preserve">Stem growth is more sensitive to water deficit than photosynthesis is</w:t>
      </w:r>
      <w:r>
        <w:rPr>
          <w:bCs/>
          <w:b/>
          <w:vertAlign w:val="superscript"/>
        </w:rPr>
        <w:t xml:space="preserve">muller_water_2011?</w:t>
      </w:r>
      <w:r>
        <w:t xml:space="preserve">. This seems to promote the investment of sequestered carbon into root growth in times of drought stress. Zoehner et al 2021</w:t>
      </w:r>
      <w:r>
        <w:rPr>
          <w:bCs/>
          <w:b/>
          <w:vertAlign w:val="superscript"/>
        </w:rPr>
        <w:t xml:space="preserve">zohner_how_2021?</w:t>
      </w:r>
      <w:r>
        <w:t xml:space="preserve">, found that the proportion of root-to-stem growth increased under spring warming, suggesting that increased ecosystem sequestration resulting from spring warming may be promoting the growth of below-ground biomass. However, this study was done under tightly controlled conditions within potted plants and does not represent the environmental conditions of forests like our study does.</w:t>
      </w:r>
      <w:r>
        <w:t xml:space="preserve"> </w:t>
      </w:r>
      <w:r>
        <w:t xml:space="preserve">Most of this carbon would have a relatively low residence time in the ecosystem</w:t>
      </w:r>
      <w:r>
        <w:rPr>
          <w:vertAlign w:val="superscript"/>
        </w:rPr>
        <w:t xml:space="preserve">34</w:t>
      </w:r>
      <w:r>
        <w:t xml:space="preserve">, although a small fraction would be incorporated into soil organic carbon pools</w:t>
      </w:r>
      <w:r>
        <w:t xml:space="preserve"> </w:t>
      </w:r>
      <w:r>
        <w:rPr>
          <w:iCs/>
          <w:i/>
        </w:rPr>
        <w:t xml:space="preserve">with residence times rivaling that of wood [REFS]</w:t>
      </w:r>
      <w:r>
        <w:t xml:space="preserve">.</w:t>
      </w:r>
      <w:r>
        <w:t xml:space="preserve"> </w:t>
      </w:r>
      <w:r>
        <w:t xml:space="preserve">Notably, both of these involve lags of a year or more and would not be captured in interannual variation in NEE, implying that the long-term effect of lengthened growing season on NEE may not be captured in studies, including this one</w:t>
      </w:r>
      <w:r>
        <w:t xml:space="preserve"> </w:t>
      </w:r>
      <w:r>
        <w:rPr>
          <w:iCs/>
          <w:i/>
        </w:rPr>
        <w:t xml:space="preserve">(This study only considered a time frame of a year or less?)</w:t>
      </w:r>
      <w:r>
        <w:t xml:space="preserve">, that consider time frames of a year or less</w:t>
      </w:r>
      <w:r>
        <w:rPr>
          <w:vertAlign w:val="superscript"/>
        </w:rPr>
        <w:t xml:space="preserve">10,11</w:t>
      </w:r>
      <w:r>
        <w:t xml:space="preserve">.</w:t>
      </w:r>
      <w:r>
        <w:t xml:space="preserve"> </w:t>
      </w:r>
      <w:r>
        <w:t xml:space="preserve">Studies examining long-term trends in growing season length and ecosystem C uptake</w:t>
      </w:r>
      <w:r>
        <w:rPr>
          <w:vertAlign w:val="superscript"/>
        </w:rPr>
        <w:t xml:space="preserve">2,7,8</w:t>
      </w:r>
      <w:r>
        <w:t xml:space="preserve"> </w:t>
      </w:r>
      <w:r>
        <w:t xml:space="preserve">– as opposed to their interannual variation – within or including the temperate deciduous biome showed increasing trends in both variables, suggesting that the C not allocated to current year growth may have a fairly long residence time within the ecosystem; however, the amount and fate of this carbon remains unknown.</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In addition to the existence of temporal lags between C uptake and release, which introduce a lot of uncertainty</w:t>
      </w:r>
      <w:r>
        <w:rPr>
          <w:vertAlign w:val="superscript"/>
        </w:rPr>
        <w:t xml:space="preserve">34</w:t>
      </w:r>
      <w:r>
        <w:t xml:space="preserve">, trees are likely to acclimate</w:t>
      </w:r>
      <w:r>
        <w:t xml:space="preserve"> </w:t>
      </w:r>
      <w:r>
        <w:rPr>
          <w:iCs/>
          <w:i/>
        </w:rPr>
        <w:t xml:space="preserve">to some extent</w:t>
      </w:r>
      <w:r>
        <w:t xml:space="preserve"> </w:t>
      </w:r>
      <w:r>
        <w:t xml:space="preserve">to warming temperatures</w:t>
      </w:r>
      <w:r>
        <w:rPr>
          <w:vertAlign w:val="superscript"/>
        </w:rPr>
        <w:t xml:space="preserve">16,</w:t>
      </w:r>
      <w:r>
        <w:rPr>
          <w:bCs/>
          <w:b/>
          <w:vertAlign w:val="superscript"/>
        </w:rPr>
        <w:t xml:space="preserve">gessler_way_2020?</w:t>
      </w:r>
      <w:r>
        <w:t xml:space="preserve">, and on even longer time scales, we are likely to see changes in forest composition and adaptation.</w:t>
      </w:r>
      <w:r>
        <w:t xml:space="preserve"> </w:t>
      </w:r>
      <w:r>
        <w:t xml:space="preserve">If we look across spatial gradients where the latter have had time to play out, we see that longer growing seasons are correlated with greater tree growth[</w:t>
      </w:r>
      <w:r>
        <w:rPr>
          <w:bCs/>
          <w:b/>
        </w:rPr>
        <w:t xml:space="preserve">REF?</w:t>
      </w:r>
      <w:r>
        <w:t xml:space="preserve">], woody productivity</w:t>
      </w:r>
      <w:r>
        <w:rPr>
          <w:vertAlign w:val="superscript"/>
        </w:rPr>
        <w:t xml:space="preserve">36</w:t>
      </w:r>
      <w:r>
        <w:t xml:space="preserve">, and NEE.</w:t>
      </w:r>
      <w:r>
        <w:rPr>
          <w:vertAlign w:val="superscript"/>
        </w:rPr>
        <w:t xml:space="preserve">24</w:t>
      </w:r>
      <w:r>
        <w:t xml:space="preserve"> </w:t>
      </w:r>
      <w:r>
        <w:rPr>
          <w:iCs/>
          <w:i/>
        </w:rPr>
        <w:t xml:space="preserve">Future research will be important to sorting this out.</w:t>
      </w:r>
    </w:p>
    <w:p>
      <w:pPr>
        <w:pStyle w:val="BodyText"/>
      </w:pPr>
      <w:r>
        <w:t xml:space="preserve">Despite remaining uncertainties, our findings contribute substantially to a broader picture of the influence of spring temperatures on forest ecosystem function.</w:t>
      </w:r>
      <w:r>
        <w:t xml:space="preserve"> </w:t>
      </w:r>
      <w:r>
        <w:t xml:space="preserve">Warm spring temperatures result in earlier leaf-out (Fig. 2)</w:t>
      </w:r>
      <w:r>
        <w:rPr>
          <w:vertAlign w:val="superscript"/>
        </w:rPr>
        <w:t xml:space="preserve">1</w:t>
      </w:r>
      <w:r>
        <w:t xml:space="preserve">, an earlier start to net C sequestration</w:t>
      </w:r>
      <w:r>
        <w:rPr>
          <w:vertAlign w:val="superscript"/>
        </w:rPr>
        <w:t xml:space="preserve">2</w:t>
      </w:r>
      <w:r>
        <w:t xml:space="preserve">, and, as shown here, earlier initiation of stem growth (Figs. 1, Extended Data Figure 4).</w:t>
      </w:r>
      <w:r>
        <w:t xml:space="preserve"> </w:t>
      </w:r>
      <w:r>
        <w:t xml:space="preserve">Yet, an earlier start to the growing season is not associated with a longer growing season or increased growth (Figs. 1, 3), presumably because stem diameter growth is curtailed by C sink limitation</w:t>
      </w:r>
      <w:r>
        <w:rPr>
          <w:vertAlign w:val="superscript"/>
        </w:rPr>
        <w:t xml:space="preserve">18</w:t>
      </w:r>
      <w:r>
        <w:t xml:space="preserve"> </w:t>
      </w:r>
      <w:r>
        <w:t xml:space="preserve">or drought</w:t>
      </w:r>
      <w:r>
        <w:rPr>
          <w:vertAlign w:val="superscript"/>
        </w:rPr>
        <w:t xml:space="preserve">16,27,29</w:t>
      </w:r>
      <w:r>
        <w:t xml:space="preserve">.</w:t>
      </w:r>
    </w:p>
    <w:p>
      <w:pPr>
        <w:pStyle w:val="BodyText"/>
      </w:pPr>
      <w:r>
        <w:t xml:space="preserve">As climate change accelerates and spring temperatures become increasingly warmer, growing seasons will start earlier, but this is unlikely to provide the sustained increase in carbon sequestration that is anticipated in most models (Fig. 1)</w:t>
      </w:r>
      <w:r>
        <w:rPr>
          <w:vertAlign w:val="superscript"/>
        </w:rPr>
        <w:t xml:space="preserve">18</w:t>
      </w:r>
      <w:r>
        <w:t xml:space="preserve">.</w:t>
      </w:r>
      <w:r>
        <w:t xml:space="preserve"> </w:t>
      </w:r>
      <w:r>
        <w:t xml:space="preserve">Because of this, temperate deciduous forests are likely to sequester less CO</w:t>
      </w:r>
      <w:r>
        <w:rPr>
          <w:vertAlign w:val="subscript"/>
        </w:rPr>
        <w:t xml:space="preserve">2</w:t>
      </w:r>
      <w:r>
        <w:t xml:space="preserve"> </w:t>
      </w:r>
      <w:r>
        <w:t xml:space="preserve">than most models suggest, implying that these models are underestimating future overall atmospheric CO</w:t>
      </w:r>
      <w:r>
        <w:rPr>
          <w:vertAlign w:val="subscript"/>
        </w:rPr>
        <w:t xml:space="preserve">2</w:t>
      </w:r>
      <w:r>
        <w:t xml:space="preserve">.</w:t>
      </w:r>
      <w:r>
        <w:t xml:space="preserve"> </w:t>
      </w:r>
      <w:r>
        <w:t xml:space="preserve">(</w:t>
      </w:r>
      <w:r>
        <w:rPr>
          <w:iCs/>
          <w:i/>
        </w:rPr>
        <w:t xml:space="preserve">see</w:t>
      </w:r>
      <w:r>
        <w:rPr>
          <w:iCs/>
          <w:i/>
        </w:rPr>
        <w:t xml:space="preserve"> </w:t>
      </w:r>
      <w:hyperlink r:id="rId21">
        <w:r>
          <w:rPr>
            <w:rStyle w:val="Hyperlink"/>
            <w:iCs/>
            <w:i/>
          </w:rPr>
          <w:t xml:space="preserve">GitHub issue 56 on representation in models</w:t>
        </w:r>
      </w:hyperlink>
      <w:r>
        <w:t xml:space="preserve">)</w:t>
      </w:r>
      <w:r>
        <w:t xml:space="preserve"> </w:t>
      </w:r>
      <w:r>
        <w:t xml:space="preserve">m</w:t>
      </w:r>
    </w:p>
    <w:bookmarkEnd w:id="30"/>
    <w:bookmarkEnd w:id="31"/>
    <w:bookmarkStart w:id="44" w:name="Methods"/>
    <w:p>
      <w:pPr>
        <w:pStyle w:val="Heading1"/>
      </w:pPr>
      <w:r>
        <w:t xml:space="preserve">Methods</w:t>
      </w:r>
    </w:p>
    <w:p>
      <w:pPr>
        <w:pStyle w:val="FirstParagraph"/>
      </w:pPr>
      <w:r>
        <w:rPr>
          <w:iCs/>
          <w:i/>
        </w:rPr>
        <w:t xml:space="preserve">We have not yet re-written the methods for Nature. Nature guidelines: Full methods, typically not exceeding 3000 words. May be subdivided by bold headings.</w:t>
      </w:r>
    </w:p>
    <w:bookmarkStart w:id="32" w:name="Study"/>
    <w:p>
      <w:pPr>
        <w:pStyle w:val="Heading2"/>
      </w:pPr>
      <w:r>
        <w:t xml:space="preserve">Study sites</w:t>
      </w:r>
    </w:p>
    <w:p>
      <w:pPr>
        <w:pStyle w:val="FirstParagraph"/>
      </w:pPr>
      <w:r>
        <w:t xml:space="preserve">Study sites included two temperate forests in the eastern United States, both part of the Forest Global Earth Observatory [ForestGEO; Anderson-Teixeira et al. 2015; Davies et al. 2021].</w:t>
      </w:r>
    </w:p>
    <w:p>
      <w:pPr>
        <w:pStyle w:val="BodyText"/>
      </w:pPr>
      <w:r>
        <w:t xml:space="preserve">Our first study site was the forest dynamics plot located at the Smithsonian Conservation Biology Institute 5 km South of Front Royal, Virginia within the Blue Ridge Mountains (38.8935° N, 78.1454° W; elevation 273–338 m.a.s.l.).</w:t>
      </w:r>
      <w:r>
        <w:t xml:space="preserve"> </w:t>
      </w:r>
      <w:r>
        <w:t xml:space="preserve">The forest here was established in the mid-19th century after conversion from agricultural fields.</w:t>
      </w:r>
      <w:r>
        <w:t xml:space="preserve"> </w:t>
      </w:r>
      <w:r>
        <w:t xml:space="preserve">Dominate canopy species within the 25.6 ha forest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t xml:space="preserve"> </w:t>
      </w:r>
      <w:r>
        <w:t xml:space="preserve">The climate is humid temperate, with a mean annual precipitation of 998 mm and temperatures averaging 1° C in January and 24° C in July ([helcoski_growing_2019]).</w:t>
      </w:r>
    </w:p>
    <w:p>
      <w:pPr>
        <w:pStyle w:val="BodyText"/>
      </w:pPr>
      <w:r>
        <w:t xml:space="preserve">The second study site was Harvard Forest (42.5388° N, 72.1755° W, 340-368 m.a.s.l.), located near the central Massachusetts town of Petersham.</w:t>
      </w:r>
      <w:r>
        <w:t xml:space="preserve"> </w:t>
      </w:r>
      <w:r>
        <w:t xml:space="preserve">Harvard forest is a secondary forest, having re-established following agricultural use</w:t>
      </w:r>
      <w:r>
        <w:t xml:space="preserve"> </w:t>
      </w:r>
      <w:r>
        <w:rPr>
          <w:iCs/>
          <w:i/>
        </w:rPr>
        <w:t xml:space="preserve">(time frame)</w:t>
      </w:r>
      <w:r>
        <w:t xml:space="preserve"> </w:t>
      </w:r>
      <w:r>
        <w:t xml:space="preserve">and significant hurricane damage in 1938.</w:t>
      </w:r>
      <w:r>
        <w:t xml:space="preserve"> </w:t>
      </w:r>
      <w:r>
        <w:t xml:space="preserve">Dominate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a mean annual precipitation of 1120 mm and temperatures averaging -12° C in January and 19° C in July (D’Orangeville et al, ).</w:t>
      </w:r>
    </w:p>
    <w:bookmarkEnd w:id="32"/>
    <w:bookmarkStart w:id="40" w:name="Data"/>
    <w:p>
      <w:pPr>
        <w:pStyle w:val="Heading2"/>
      </w:pPr>
      <w:r>
        <w:t xml:space="preserve">Data collection and preparation</w:t>
      </w:r>
    </w:p>
    <w:bookmarkStart w:id="33" w:name="Dendrometer"/>
    <w:p>
      <w:pPr>
        <w:pStyle w:val="Heading3"/>
      </w:pPr>
      <w:r>
        <w:t xml:space="preserve">Dendrometer bands</w:t>
      </w:r>
    </w:p>
    <w:p>
      <w:pPr>
        <w:pStyle w:val="FirstParagraph"/>
      </w:pPr>
      <w:r>
        <w:t xml:space="preserve">Metal dendrometer bands were installed on a total of 463 trees within the SCBI and Harvard Forest ForestGEO plots (Extended Data Table 1).</w:t>
      </w:r>
      <w:r>
        <w:t xml:space="preserve"> </w:t>
      </w:r>
      <w:r>
        <w:t xml:space="preserve">Bands were placed on dominant species, including two diffuse- and two ring-porous species at SCBI and eight diffuse- and three ring-porous species at Harvard Forest.</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somewhat as trees were added or dropped (e.g., because of tree mortality) from the census.</w:t>
      </w:r>
      <w:r>
        <w:t xml:space="preserve"> </w:t>
      </w:r>
      <w:r>
        <w:t xml:space="preserve">Across years, the number of bands sampled averaged</w:t>
      </w:r>
      <w:r>
        <w:t xml:space="preserve"> </w:t>
      </w:r>
      <w:r>
        <w:rPr>
          <w:iCs/>
          <w:i/>
        </w:rPr>
        <w:t xml:space="preserve">~135</w:t>
      </w:r>
      <w:r>
        <w:t xml:space="preserve"> </w:t>
      </w:r>
      <w:r>
        <w:t xml:space="preserve">(range: 99-145) at SCBI and</w:t>
      </w:r>
      <w:r>
        <w:t xml:space="preserve"> </w:t>
      </w:r>
      <w:r>
        <w:rPr>
          <w:iCs/>
          <w:i/>
        </w:rPr>
        <w:t xml:space="preserve">~717</w:t>
      </w:r>
      <w:r>
        <w:t xml:space="preserve"> </w:t>
      </w:r>
      <w:r>
        <w:t xml:space="preserve">(range:</w:t>
      </w:r>
      <w:r>
        <w:t xml:space="preserve"> </w:t>
      </w:r>
      <w:r>
        <w:rPr>
          <w:iCs/>
          <w:i/>
        </w:rPr>
        <w:t xml:space="preserve">700-755</w:t>
      </w:r>
      <w:r>
        <w:t xml:space="preserve">) at Harvard Forest.</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4/14, which was adjusted when early leaf-out of understory vegetation was observed, with the earliest start date being March 30, 2020. Measurements were continued through to fall leaf senescence, with the median end date being 10/17 and the latest end date November 26, 2012.</w:t>
      </w:r>
      <w:r>
        <w:t xml:space="preserve"> </w:t>
      </w:r>
      <w:r>
        <w:t xml:space="preserve">Timing of measurements at Harvard Forest were similar, with the median start date of 4/23 and median end date of 10/30. 1998 was an anomalous year where initial measurements were taken on 1/5, but not taken again until 4/15. The latest end date was November 11, 2002.</w:t>
      </w:r>
    </w:p>
    <w:p>
      <w:pPr>
        <w:pStyle w:val="BodyText"/>
      </w:pPr>
      <w:r>
        <w:t xml:space="preserve">The raw dendrometer band data were manually cleaned by visual inspection before analysis.</w:t>
      </w:r>
      <w:r>
        <w:t xml:space="preserve"> </w:t>
      </w:r>
      <w:r>
        <w:t xml:space="preserve">We screened for three classes of mistakes.</w:t>
      </w:r>
      <w:r>
        <w:t xml:space="preserve"> </w:t>
      </w:r>
      <w:r>
        <w:t xml:space="preserve">First, when a weekly measurement was drastically different from previous week and following weeks, this was assumed to be a measurement error and the record was removed.</w:t>
      </w:r>
      <w:r>
        <w:t xml:space="preserve"> </w:t>
      </w:r>
      <w:r>
        <w:t xml:space="preserve">Second, when measurements remained essentially unchanged for several readings, followed by a sudden jump then return to a normal growth pattern, this was assumed to be a case where the band was stuck and then released. In these cases, the full annual record for the tree was removed.</w:t>
      </w:r>
      <w:r>
        <w:t xml:space="preserve"> </w:t>
      </w:r>
      <w:r>
        <w:t xml:space="preserve">Third, cases where data were clearly wrong but with unknown causes were removed. If a majority of the data points fell into this class the entire year was removed from the analysis.</w:t>
      </w:r>
    </w:p>
    <w:p>
      <w:pPr>
        <w:pStyle w:val="BodyText"/>
      </w:pPr>
      <w:r>
        <w:t xml:space="preserve">We fit the model of</w:t>
      </w:r>
      <w:r>
        <w:rPr>
          <w:vertAlign w:val="superscript"/>
        </w:rPr>
        <w:t xml:space="preserve">28</w:t>
      </w:r>
      <w:r>
        <w:t xml:space="preserve"> </w:t>
      </w:r>
      <w:r>
        <w:t xml:space="preserve">to define phenological dates and growth rates (Fig. 1).</w:t>
      </w:r>
      <w:r>
        <w:t xml:space="preserve"> </w:t>
      </w:r>
      <w:r>
        <w:t xml:space="preserve">This five-parameter logistic model was fitted to dendrometer band data from each tree-year in R:</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w:t>
      </w:r>
      <w:r>
        <w:t xml:space="preserve"> </w:t>
      </w:r>
      <m:oMath>
        <m:r>
          <m:t>D</m:t>
        </m:r>
        <m:r>
          <m:t>B</m:t>
        </m:r>
        <m:r>
          <m:t>H</m:t>
        </m:r>
      </m:oMath>
      <w:r>
        <w:t xml:space="preserve"> </w:t>
      </w:r>
      <w:r>
        <w:t xml:space="preserve">at the beginning and end of the year, respectively.</w:t>
      </w:r>
      <w:r>
        <w:t xml:space="preserve"> </w:t>
      </w:r>
      <m:oMath>
        <m:r>
          <m:t>D</m:t>
        </m:r>
        <m:r>
          <m:t>O</m:t>
        </m:r>
        <m:r>
          <m:t>Y</m:t>
        </m:r>
      </m:oMath>
      <w:r>
        <w:t xml:space="preserve"> </w:t>
      </w:r>
      <w:r>
        <w:t xml:space="preserve">are the modeled days of year (</w:t>
      </w:r>
      <w:r>
        <w:rPr>
          <w:iCs/>
          <w:i/>
        </w:rPr>
        <w:t xml:space="preserve">i.e.</w:t>
      </w:r>
      <w:r>
        <w:t xml:space="preserve">, julian days),</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Using the optimized parameters for each tree-year, we then modeled</w:t>
      </w:r>
      <w:r>
        <w:t xml:space="preserve"> </w:t>
      </w:r>
      <m:oMath>
        <m:r>
          <m:t>D</m:t>
        </m:r>
        <m:r>
          <m:t>B</m:t>
        </m:r>
        <m:r>
          <m:t>H</m:t>
        </m:r>
      </m:oMath>
      <w:r>
        <w:t xml:space="preserve"> </w:t>
      </w:r>
      <w:r>
        <w:t xml:space="preserve">throughout the year and extracted the intra-annual growth variables of interest (Fig. 1).</w:t>
      </w:r>
    </w:p>
    <w:p>
      <w:pPr>
        <w:pStyle w:val="BodyText"/>
      </w:pPr>
      <w:r>
        <w:t xml:space="preserve">After fitting the</w:t>
      </w:r>
      <w:r>
        <w:rPr>
          <w:vertAlign w:val="superscript"/>
        </w:rPr>
        <w:t xml:space="preserve">28</w:t>
      </w:r>
      <w:r>
        <w:t xml:space="preserve"> </w:t>
      </w:r>
      <w:r>
        <w:t xml:space="preserve">model, we removed poorly fit models.</w:t>
      </w:r>
      <w:r>
        <w:t xml:space="preserve"> </w:t>
      </w:r>
      <w:r>
        <w:t xml:space="preserve">Models were judged to be poorly fit if certain modeled growth characteristics fell outside of the acceptable range we determined.</w:t>
      </w:r>
      <w:r>
        <w:t xml:space="preserve"> </w:t>
      </w:r>
      <w:r>
        <w:t xml:space="preserve">Modeled fits for tree-years were removed under five conditions:</w:t>
      </w:r>
      <w:r>
        <w:t xml:space="preserve"> </w:t>
      </w:r>
      <w:r>
        <w:t xml:space="preserve">(1) single day growth rates were higher than 2 standard deviations away from the mean for each wood-type (SCBI = 2, HF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62, HF = 106);</w:t>
      </w:r>
      <w:r>
        <w:t xml:space="preserve"> </w:t>
      </w:r>
      <w:r>
        <w:t xml:space="preserve">(3) tree-years with small or negligible total growth (</w:t>
      </w:r>
      <m:oMath>
        <m:r>
          <m:t>Δ</m:t>
        </m:r>
        <m:r>
          <m:t>D</m:t>
        </m:r>
        <m:r>
          <m:t>B</m:t>
        </m:r>
        <m:r>
          <m:t>H</m:t>
        </m:r>
      </m:oMath>
      <w:r>
        <w:t xml:space="preserve"> </w:t>
      </w:r>
      <w:r>
        <w:t xml:space="preserve">&lt; 0.02 mm; SCBI = 0, HF = 66);</w:t>
      </w:r>
      <w:r>
        <w:t xml:space="preserve"> </w:t>
      </w:r>
      <w:r>
        <w:t xml:space="preserve">(4) model fit predicted total yearly growth to take longer than 365 days, indicating poor model fit (SCBI = 181, HF = 199);</w:t>
      </w:r>
      <w:r>
        <w:t xml:space="preserve"> </w:t>
      </w:r>
      <w:r>
        <w:t xml:space="preserve">and (5) models with unexplained sharp spikes in growth rate (SCBI = 0, HF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rPr>
          <w:iCs/>
          <w:i/>
        </w:rPr>
        <w:t xml:space="preserve">(SI figure? data_cleaning_figure_hf in manuscript folder)</w:t>
      </w:r>
      <w:r>
        <w:t xml:space="preserve">.</w:t>
      </w:r>
      <w:r>
        <w:t xml:space="preserve"> </w:t>
      </w:r>
      <w:r>
        <w:t xml:space="preserve">At SCBI a higher proportion of RP trees were removed–the majority in step 4</w:t>
      </w:r>
      <w:r>
        <w:t xml:space="preserve"> </w:t>
      </w:r>
      <w:r>
        <w:rPr>
          <w:iCs/>
          <w:i/>
        </w:rPr>
        <w:t xml:space="preserve">(data_cleaning_figure_scbi)</w:t>
      </w:r>
      <w:r>
        <w:t xml:space="preserve">.</w:t>
      </w:r>
    </w:p>
    <w:bookmarkEnd w:id="33"/>
    <w:bookmarkStart w:id="35" w:name="leaf-phenology"/>
    <w:p>
      <w:pPr>
        <w:pStyle w:val="Heading3"/>
      </w:pPr>
      <w:r>
        <w:rPr>
          <w:rStyle w:val="SectionNumber"/>
        </w:rPr>
        <w:t xml:space="preserve">1.0.1</w:t>
      </w:r>
      <w:r>
        <w:tab/>
      </w:r>
      <w:r>
        <w:t xml:space="preserve">Leaf phenology</w:t>
      </w:r>
    </w:p>
    <w:p>
      <w:pPr>
        <w:pStyle w:val="FirstParagraph"/>
      </w:pPr>
      <w:r>
        <w:t xml:space="preserve">Leaf phenology data for the years 2001-2018 were extracted for SCBI and Harvard Forest from the MCD12Q2 V6 Land Cover Dynamics product (informally called the MODIS Global Vegetation Phenology product).</w:t>
      </w:r>
      <w:r>
        <w:rPr>
          <w:vertAlign w:val="superscript"/>
        </w:rPr>
        <w:t xml:space="preserve">37</w:t>
      </w:r>
    </w:p>
    <w:p>
      <w:pPr>
        <w:pStyle w:val="BodyText"/>
      </w:pPr>
      <w:r>
        <w:t xml:space="preserve">description here:</w:t>
      </w:r>
      <w:r>
        <w:t xml:space="preserve"> </w:t>
      </w:r>
      <w:hyperlink r:id="rId34">
        <w:r>
          <w:rPr>
            <w:rStyle w:val="Hyperlink"/>
          </w:rPr>
          <w:t xml:space="preserve">https://developers.google.com/earth-engine/datasets/catalog/MODIS_006_MCD12Q2#description</w:t>
        </w:r>
      </w:hyperlink>
    </w:p>
    <w:bookmarkEnd w:id="35"/>
    <w:bookmarkStart w:id="36" w:name="Tree"/>
    <w:p>
      <w:pPr>
        <w:pStyle w:val="Heading3"/>
      </w:pPr>
      <w:r>
        <w:t xml:space="preserve">Tree rings</w:t>
      </w:r>
    </w:p>
    <w:p>
      <w:pPr>
        <w:pStyle w:val="FirstParagraph"/>
      </w:pPr>
      <w:r>
        <w:t xml:space="preserve">Dominant tree species were cored at both sites following sampling designs that covered a broad range of</w:t>
      </w:r>
      <w:r>
        <w:t xml:space="preserve"> </w:t>
      </w:r>
      <m:oMath>
        <m:r>
          <m:t>D</m:t>
        </m:r>
        <m:r>
          <m:t>B</m:t>
        </m:r>
        <m:r>
          <m:t>H</m:t>
        </m:r>
      </m:oMath>
      <w:r>
        <w:t xml:space="preserve">.</w:t>
      </w:r>
      <w:r>
        <w:t xml:space="preserve"> </w:t>
      </w:r>
      <w:r>
        <w:t xml:space="preserve">We analyzed records for the dominant ring- and diffuse- porous species at each site (Extended Data Table 1), excluding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At SCBI, cores were collected as described in.</w:t>
      </w:r>
      <w:r>
        <w:rPr>
          <w:vertAlign w:val="superscript"/>
        </w:rPr>
        <w:t xml:space="preserve">27</w:t>
      </w:r>
      <w:r>
        <w:t xml:space="preserve"> </w:t>
      </w:r>
      <w:r>
        <w:t xml:space="preserve">Briefly, cores were taken from living or recently dead trees</w:t>
      </w:r>
      <w:r>
        <w:t xml:space="preserve"> </w:t>
      </w:r>
      <m:oMath>
        <m:r>
          <m:rPr>
            <m:sty m:val="p"/>
          </m:rPr>
          <m:t>≥</m:t>
        </m:r>
      </m:oMath>
      <w:r>
        <w:t xml:space="preserve"> </w:t>
      </w:r>
      <w:r>
        <w:t xml:space="preserve">10 cm</w:t>
      </w:r>
      <w:r>
        <w:t xml:space="preserve"> </w:t>
      </w:r>
      <m:oMath>
        <m:r>
          <m:t>D</m:t>
        </m:r>
        <m:r>
          <m:t>B</m:t>
        </m:r>
        <m:r>
          <m:t>H</m:t>
        </m:r>
      </m:oMath>
      <w:r>
        <w:t xml:space="preserve">, including a randomly sampled subset of all dominant species within the ForestGEO plot [live trees in 2010-2011;]</w:t>
      </w:r>
      <w:r>
        <w:rPr>
          <w:vertAlign w:val="superscript"/>
        </w:rPr>
        <w:t xml:space="preserve">38</w:t>
      </w:r>
      <w:r>
        <w:t xml:space="preserve"> and trees found newly dead in annual tree mortality in 2016 and 2017(</w:t>
      </w:r>
      <w:r>
        <w:rPr>
          <w:vertAlign w:val="superscript"/>
        </w:rPr>
        <w:t xml:space="preserve">27</w:t>
      </w:r>
      <w:r>
        <w:rPr>
          <w:iCs/>
          <w:i/>
        </w:rPr>
        <w:t xml:space="preserve">If we’re citing a method from the helcoski paper, do we need to do this</w:t>
      </w:r>
      <w:r>
        <w:rPr>
          <w:iCs/>
          <w:i/>
        </w:rPr>
        <w:t xml:space="preserve"> </w:t>
      </w:r>
      <w:r>
        <w:rPr>
          <w:iCs/>
          <w:i/>
        </w:rPr>
        <w:t xml:space="preserve">‘</w:t>
      </w:r>
      <w:r>
        <w:rPr>
          <w:iCs/>
          <w:i/>
        </w:rPr>
        <w:t xml:space="preserve">briefly</w:t>
      </w:r>
      <w:r>
        <w:rPr>
          <w:iCs/>
          <w:i/>
        </w:rPr>
        <w:t xml:space="preserve">’</w:t>
      </w:r>
      <w:r>
        <w:rPr>
          <w:iCs/>
          <w:i/>
        </w:rPr>
        <w:t xml:space="preserve"> </w:t>
      </w:r>
      <w:r>
        <w:rPr>
          <w:iCs/>
          <w:i/>
        </w:rPr>
        <w:t xml:space="preserve">section? I would remove.)</w:t>
      </w:r>
      <w:r>
        <w:t xml:space="preserve">.</w:t>
      </w:r>
      <w:r>
        <w:t xml:space="preserve"> </w:t>
      </w:r>
      <w:r>
        <w:t xml:space="preserve">At Harvard Forest, …(</w:t>
      </w:r>
      <w:r>
        <w:rPr>
          <w:iCs/>
          <w:i/>
        </w:rPr>
        <w:t xml:space="preserve">Neil can write this easily, or KAT probably has the info</w:t>
      </w:r>
      <w:r>
        <w:t xml:space="preserve">)</w:t>
      </w:r>
      <w:r>
        <w:t xml:space="preserve"> </w:t>
      </w:r>
      <w:r>
        <w:t xml:space="preserve">In total, we analyzed 926 cores from eleven species at SCBI and three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29,</w:t>
      </w:r>
      <w:r>
        <w:rPr>
          <w:bCs/>
          <w:b/>
          <w:vertAlign w:val="superscript"/>
        </w:rPr>
        <w:t xml:space="preserve">maxwell_sampling_2020?</w:t>
      </w:r>
      <w:r>
        <w:t xml:space="preserve"> </w:t>
      </w:r>
      <w:r>
        <w:t xml:space="preserve">(</w:t>
      </w:r>
      <w:r>
        <w:rPr>
          <w:bCs/>
          <w:b/>
        </w:rPr>
        <w:t xml:space="preserve">OTHER REFS??</w:t>
      </w:r>
      <w:r>
        <w:t xml:space="preserve">).</w:t>
      </w:r>
      <w:r>
        <w:t xml:space="preserve"> </w:t>
      </w:r>
      <w:r>
        <w:t xml:space="preserve">Again, species were limited to broadleaf deciduous species with clearly defined xylem porosity (i.e., excluding semi-ring porous).</w:t>
      </w:r>
    </w:p>
    <w:p>
      <w:pPr>
        <w:pStyle w:val="BodyText"/>
      </w:pPr>
      <w:r>
        <w:t xml:space="preserve">All cores were mounted, sanded, cross-dated, and measured using standard methodology.</w:t>
      </w:r>
      <w:r>
        <w:t xml:space="preserve"> </w:t>
      </w:r>
      <w:r>
        <w:t xml:space="preserve">We standardized ring-width series from each core via ARSTAN using a 2/3rds</w:t>
      </w:r>
      <w:r>
        <w:t xml:space="preserve"> </w:t>
      </w:r>
      <m:oMath>
        <m:r>
          <m:t>n</m:t>
        </m:r>
      </m:oMath>
      <w:r>
        <w:t xml:space="preserve"> </w:t>
      </w:r>
      <w:r>
        <w:t xml:space="preserve">spline, where</w:t>
      </w:r>
      <w:r>
        <w:t xml:space="preserve"> </w:t>
      </w:r>
      <m:oMath>
        <m:r>
          <m:t>n</m:t>
        </m:r>
      </m:oMath>
      <w:r>
        <w:t xml:space="preserve"> </w:t>
      </w:r>
      <w:r>
        <w:t xml:space="preserve">is the number of years in the series.</w:t>
      </w:r>
      <w:r>
        <w:rPr>
          <w:vertAlign w:val="superscript"/>
        </w:rPr>
        <w:t xml:space="preserve">39,40</w:t>
      </w:r>
      <w:r>
        <w:t xml:space="preserve"> </w:t>
      </w:r>
      <w:r>
        <w:rPr>
          <w:iCs/>
          <w:i/>
        </w:rPr>
        <w:t xml:space="preserve">The following italic text is self-plagarized from Helcoski and needs to be reworded:)</w:t>
      </w:r>
      <w:r>
        <w:t xml:space="preserve"> </w:t>
      </w:r>
      <w:r>
        <w:rPr>
          <w:iCs/>
          <w:i/>
        </w:rPr>
        <w:t xml:space="preserve">The influence of outliers in all series was reduced using the adaptive power transformation, which also stabilises the variance over time.</w:t>
      </w:r>
      <w:r>
        <w:rPr>
          <w:vertAlign w:val="superscript"/>
          <w:iCs/>
          <w:i/>
        </w:rPr>
        <w:t xml:space="preserve">41</w:t>
      </w:r>
      <w:r>
        <w:rPr>
          <w:iCs/>
          <w:i/>
        </w:rPr>
        <w:t xml:space="preserve"> Next, each series was stabilised using either the average correlation between raw ring-width series (rbar) method or a 1/3rds spline method to adjust changes in variance as series replication decreased towards the earlier portion of each chronology.</w:t>
      </w:r>
      <w:r>
        <w:rPr>
          <w:vertAlign w:val="superscript"/>
          <w:iCs/>
          <w:i/>
        </w:rPr>
        <w:t xml:space="preserve">42</w:t>
      </w:r>
      <w:r>
        <w:rPr>
          <w:iCs/>
          <w:i/>
        </w:rPr>
        <w:t xml:space="preserve"> The 1/3rds spline method was chosen when replication in the inner portion of each chronology (c. the inner 30–50 yr of each record depending on full chronology length) dropped below three trees. Once that step was complete, a robust biweight mean chronology for each species was calculated from the ring-width indices.</w:t>
      </w:r>
      <w:r>
        <w:rPr>
          <w:vertAlign w:val="superscript"/>
          <w:iCs/>
          <w:i/>
        </w:rPr>
        <w:t xml:space="preserve">39</w:t>
      </w:r>
      <w:r>
        <w:rPr>
          <w:iCs/>
          <w:i/>
        </w:rPr>
        <w:t xml:space="preserve"> We chose to use residual chronologies because the autoregressive standardisation process in creating them removes much of the tree-level autocorrelation in growth and these chronologies would most likely contain the most conservative information on drivers of interannual growth.</w:t>
      </w:r>
      <w:r>
        <w:rPr>
          <w:vertAlign w:val="superscript"/>
          <w:iCs/>
          <w:i/>
        </w:rPr>
        <w:t xml:space="preserve">39</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bookmarkEnd w:id="36"/>
    <w:bookmarkStart w:id="39" w:name="Climate"/>
    <w:p>
      <w:pPr>
        <w:pStyle w:val="Heading3"/>
      </w:pPr>
      <w:r>
        <w:t xml:space="preserve">Climate</w:t>
      </w:r>
    </w:p>
    <w:p>
      <w:pPr>
        <w:pStyle w:val="FirstParagraph"/>
      </w:pPr>
      <w:r>
        <w:t xml:space="preserve">For the dendrometer band analysis, we used climate data from local weather stations.</w:t>
      </w:r>
      <w:r>
        <w:t xml:space="preserve"> </w:t>
      </w:r>
      <w:r>
        <w:t xml:space="preserve">Daily maximum and minimum temperatures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respectively) for SCBI were obtained from a meteorological tower adjacent to the SCBI ForestGEO plot, via the ForestGEO Climate Data Portal v1.0 [</w:t>
      </w:r>
      <w:hyperlink r:id="rId37">
        <w:r>
          <w:rPr>
            <w:rStyle w:val="Hyperlink"/>
          </w:rPr>
          <w:t xml:space="preserve">https://forestgeo.github.io/Climate/</w:t>
        </w:r>
      </w:hyperlink>
      <w:r>
        <w:t xml:space="preserve">;].</w:t>
      </w:r>
      <w:r>
        <w:rPr>
          <w:vertAlign w:val="superscript"/>
        </w:rPr>
        <w:t xml:space="preserve">43</w:t>
      </w:r>
      <w:r>
        <w:t xml:space="preserve"> </w:t>
      </w:r>
      <w:r>
        <w:t xml:space="preserve">Daily temperature records for Harvard Forest were obtained from the Harvard Forest weather station (Boose &amp; Gould, 2004; Boose, 2018).</w:t>
      </w:r>
      <w:r>
        <w:t xml:space="preserve"> </w:t>
      </w:r>
      <w:r>
        <w:t xml:space="preserve">The R package climpact () was used to plot temperatures for visual inspection.</w:t>
      </w:r>
      <w:r>
        <w:t xml:space="preserve"> </w:t>
      </w:r>
      <w:r>
        <w:t xml:space="preserve">Climpact also identifies readings that were greater than 3 standard deviations away from yearly means. These points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8">
        <w:r>
          <w:rPr>
            <w:rStyle w:val="Hyperlink"/>
          </w:rPr>
          <w:t xml:space="preserve">https://www.ncdc.noaa.gov/cdo-web/datasets/GHCND/stations/GHCND:USC00443229/detail</w:t>
        </w:r>
      </w:hyperlink>
      <w:r>
        <w:t xml:space="preserve">).</w:t>
      </w:r>
      <w:r>
        <w:t xml:space="preserve"> </w:t>
      </w:r>
      <w:r>
        <w:t xml:space="preserve">(</w:t>
      </w:r>
      <w:r>
        <w:rPr>
          <w:iCs/>
          <w:i/>
        </w:rPr>
        <w:t xml:space="preserve">how were gaps filled for Harvard? Or was the record good?</w:t>
      </w:r>
      <w:r>
        <w:t xml:space="preserve">)</w:t>
      </w:r>
    </w:p>
    <w:p>
      <w:pPr>
        <w:pStyle w:val="BodyText"/>
      </w:pPr>
      <w:r>
        <w:t xml:space="preserve">For the tree-ring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44</w:t>
      </w:r>
      <w:r>
        <w:t xml:space="preserve"> again via the ForestGEO Climate Data Portal v1.0.</w:t>
      </w:r>
      <w:r>
        <w:rPr>
          <w:vertAlign w:val="superscript"/>
        </w:rPr>
        <w:t xml:space="preserve">43</w:t>
      </w:r>
    </w:p>
    <w:bookmarkEnd w:id="39"/>
    <w:bookmarkEnd w:id="40"/>
    <w:bookmarkStart w:id="43" w:name="analyses"/>
    <w:p>
      <w:pPr>
        <w:pStyle w:val="Heading2"/>
      </w:pPr>
      <w:r>
        <w:rPr>
          <w:rStyle w:val="SectionNumber"/>
        </w:rPr>
        <w:t xml:space="preserve">1.1</w:t>
      </w:r>
      <w:r>
        <w:tab/>
      </w:r>
      <w:r>
        <w:t xml:space="preserve">Analyses</w:t>
      </w:r>
    </w:p>
    <w:bookmarkStart w:id="41" w:name="Determining"/>
    <w:p>
      <w:pPr>
        <w:pStyle w:val="Heading3"/>
      </w:pPr>
      <w:r>
        <w:t xml:space="preserve">Determining critical temperature windows</w:t>
      </w:r>
    </w:p>
    <w:p>
      <w:pPr>
        <w:pStyle w:val="FirstParagraph"/>
      </w:pPr>
      <w:r>
        <w:t xml:space="preserve">The period where the phenology milestone(s) were most affected by changes in early spring temperature was determined using the R package</w:t>
      </w:r>
      <w:r>
        <w:t xml:space="preserve"> </w:t>
      </w:r>
      <w:r>
        <w:rPr>
          <w:iCs/>
          <w:i/>
        </w:rPr>
        <w:t xml:space="preserve">climwin</w:t>
      </w:r>
      <w:r>
        <w:t xml:space="preserve">.</w:t>
      </w:r>
      <w:r>
        <w:rPr>
          <w:vertAlign w:val="superscript"/>
        </w:rPr>
        <w:t xml:space="preserve">45</w:t>
      </w:r>
      <w:r>
        <w:t xml:space="preserve"> </w:t>
      </w:r>
      <w:r>
        <w:t xml:space="preserve">This package tests the correlation between one or more climate variables and a biological variable over all consecutive time windows within a specified time-frame, reporting correlation and</w:t>
      </w:r>
      <w:r>
        <w:t xml:space="preserve"> </w:t>
      </w:r>
      <m:oMath>
        <m:r>
          <m:t>Δ</m:t>
        </m:r>
        <m:r>
          <m:t>A</m:t>
        </m:r>
        <m:r>
          <m:t>I</m:t>
        </m:r>
        <m:r>
          <m:t>C</m:t>
        </m:r>
      </m:oMath>
      <w:r>
        <w:t xml:space="preserve"> </w:t>
      </w:r>
      <w:r>
        <w:t xml:space="preserve">of each window.</w:t>
      </w:r>
      <w:r>
        <w:t xml:space="preserve"> </w:t>
      </w:r>
      <w:r>
        <w:t xml:space="preserve">Here, we tested for correlation between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and</w:t>
      </w:r>
      <w:r>
        <w:t xml:space="preserve"> </w:t>
      </w:r>
      <m:oMath>
        <m:r>
          <m:t>D</m:t>
        </m:r>
        <m:r>
          <m:t>O</m:t>
        </m:r>
        <m:sSub>
          <m:e>
            <m:r>
              <m:t>Y</m:t>
            </m:r>
          </m:e>
          <m:sub>
            <m:r>
              <m:t>25</m:t>
            </m:r>
          </m:sub>
        </m:sSub>
      </m:oMath>
      <w:r>
        <w:t xml:space="preserve"> </w:t>
      </w:r>
      <w:r>
        <w:t xml:space="preserve">over the time window from January 1 to the mean</w:t>
      </w:r>
      <w:r>
        <w:t xml:space="preserve"> </w:t>
      </w:r>
      <m:oMath>
        <m:r>
          <m:t>D</m:t>
        </m:r>
        <m:r>
          <m:t>O</m:t>
        </m:r>
        <m:sSub>
          <m:e>
            <m:r>
              <m:t>Y</m:t>
            </m:r>
          </m:e>
          <m:sub>
            <m:r>
              <m:t>25</m:t>
            </m:r>
          </m:sub>
        </m:sSub>
      </m:oMath>
      <w:r>
        <w:t xml:space="preserve"> </w:t>
      </w:r>
      <w:r>
        <w:t xml:space="preserve">for the species group and site (Extended Data Table 2).</w:t>
      </w:r>
      <w:r>
        <w:t xml:space="preserve"> </w:t>
      </w:r>
      <w:r>
        <w:rPr>
          <w:iCs/>
          <w:i/>
        </w:rPr>
        <w:t xml:space="preserve">The critical time window is determined based on the subset of models that fall within the 95% confidence set.</w:t>
      </w:r>
      <w:r>
        <w:t xml:space="preserve"> </w:t>
      </w:r>
      <w:r>
        <w:t xml:space="preserve">Here, we focused on defining critical temperature windows for</w:t>
      </w:r>
      <w:r>
        <w:t xml:space="preserve"> </w:t>
      </w:r>
      <m:oMath>
        <m:r>
          <m:t>D</m:t>
        </m:r>
        <m:r>
          <m:t>O</m:t>
        </m:r>
        <m:sSub>
          <m:e>
            <m:r>
              <m:t>Y</m:t>
            </m:r>
          </m:e>
          <m:sub>
            <m:r>
              <m:t>25</m:t>
            </m:r>
          </m:sub>
        </m:sSub>
      </m:oMath>
      <w:r>
        <w:t xml:space="preserve">, as opposed to other growth phenology parameters (Figure 1), because we were interested in the influence of temperature on the initiation of woody growth.</w:t>
      </w:r>
      <w:r>
        <w:t xml:space="preserve"> </w:t>
      </w:r>
      <w:r>
        <w:t xml:space="preserve">We note that other growth parameters would be controlled by different critical temperature windows; for example, at SCBI</w:t>
      </w:r>
      <w:r>
        <w:t xml:space="preserve"> </w:t>
      </w:r>
      <m:oMath>
        <m:r>
          <m:t>Δ</m:t>
        </m:r>
        <m:r>
          <m:t>D</m:t>
        </m:r>
        <m:r>
          <m:t>B</m:t>
        </m:r>
        <m:r>
          <m:t>H</m:t>
        </m:r>
      </m:oMath>
      <w:r>
        <w:t xml:space="preserve"> </w:t>
      </w:r>
      <w:r>
        <w:t xml:space="preserve">responds most strongly to May-July climate.</w:t>
      </w:r>
      <w:r>
        <w:rPr>
          <w:vertAlign w:val="superscript"/>
        </w:rPr>
        <w:t xml:space="preserve">27</w:t>
      </w:r>
      <w:r>
        <w:t xml:space="preserve"> Determining the climate variables that most strongly control all parameters is beyond the scope of this analysis.</w:t>
      </w:r>
    </w:p>
    <w:bookmarkEnd w:id="41"/>
    <w:bookmarkStart w:id="42" w:name="Hypothesis"/>
    <w:p>
      <w:pPr>
        <w:pStyle w:val="Heading3"/>
      </w:pPr>
      <w:r>
        <w:t xml:space="preserve">Hypothesis testing</w:t>
      </w:r>
    </w:p>
    <w:p>
      <w:pPr>
        <w:pStyle w:val="FirstParagraph"/>
      </w:pPr>
      <w:r>
        <w:t xml:space="preserve">(</w:t>
      </w:r>
      <w:r>
        <w:rPr>
          <w:iCs/>
          <w:i/>
        </w:rPr>
        <w:t xml:space="preserve">This section needs work/ more detail.</w:t>
      </w:r>
      <w:r>
        <w:t xml:space="preserve">)</w:t>
      </w:r>
    </w:p>
    <w:p>
      <w:pPr>
        <w:pStyle w:val="BodyText"/>
      </w:pPr>
      <w:r>
        <w:t xml:space="preserve">Correlation between these variables and spring temperatures were assessed using a linear mixed model in a hierarchical Bayesian framework.</w:t>
      </w:r>
    </w:p>
    <w:p>
      <w:pPr>
        <w:pStyle w:val="BodyText"/>
      </w:pPr>
      <w:r>
        <w:t xml:space="preserve">Mixed effects models were used to test the response of growth phenology variables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sub>
            </m:sSub>
            <m:r>
              <m:t>a</m:t>
            </m:r>
            <m:r>
              <m:t>x</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to fixed effects of xylem porosity and mean temperature (</w:t>
      </w:r>
      <m:oMath>
        <m:sSub>
          <m:e>
            <m:r>
              <m:t>T</m:t>
            </m:r>
          </m:e>
          <m:sub>
            <m:r>
              <m:t>m</m:t>
            </m:r>
            <m:r>
              <m:t>a</m:t>
            </m:r>
            <m:r>
              <m:t>x</m:t>
            </m:r>
          </m:sub>
        </m:sSub>
      </m:oMath>
      <w:r>
        <w:t xml:space="preserve">,</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w:t>
      </w:r>
      <w:r>
        <w:t xml:space="preserve"> </w:t>
      </w:r>
      <w:r>
        <w:t xml:space="preserve">Models were run using the LME4 package in R.</w:t>
      </w:r>
      <w:r>
        <w:rPr>
          <w:vertAlign w:val="superscript"/>
        </w:rPr>
        <w:t xml:space="preserve">46</w:t>
      </w:r>
    </w:p>
    <w:p>
      <w:pPr>
        <w:pStyle w:val="BodyText"/>
      </w:pP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bCs/>
          <w:b/>
          <w:vertAlign w:val="superscript"/>
        </w:rPr>
        <w:t xml:space="preserve">rstanarm_2020?</w:t>
      </w:r>
      <w:r>
        <w:t xml:space="preserve"> In all cases unless otherwise specified, all prior distributions are set to be the weakly informative defaults.</w:t>
      </w:r>
      <w:r>
        <w:t xml:space="preserve"> </w:t>
      </w:r>
    </w:p>
    <w:bookmarkEnd w:id="42"/>
    <w:bookmarkEnd w:id="43"/>
    <w:bookmarkEnd w:id="44"/>
    <w:bookmarkStart w:id="45" w:name="Acknowledgements"/>
    <w:p>
      <w:pPr>
        <w:pStyle w:val="Heading1"/>
      </w:pPr>
      <w:r>
        <w:t xml:space="preserve">Acknowledgements</w:t>
      </w:r>
    </w:p>
    <w:p>
      <w:pPr>
        <w:pStyle w:val="FirstParagraph"/>
      </w:pPr>
      <w:r>
        <w:t xml:space="preserve">people: (everyone who helped collect data– see list on GitHub), Jess Shue (data)</w:t>
      </w:r>
      <w:r>
        <w:t xml:space="preserve"> </w:t>
      </w:r>
      <w:r>
        <w:t xml:space="preserve">Funding: ForestGEO</w:t>
      </w:r>
    </w:p>
    <w:bookmarkEnd w:id="45"/>
    <w:bookmarkStart w:id="46" w:name="Author"/>
    <w:p>
      <w:pPr>
        <w:pStyle w:val="Heading1"/>
      </w:pPr>
      <w:r>
        <w:t xml:space="preserve">Author Contributions</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00" w:name="References"/>
    <w:p>
      <w:pPr>
        <w:pStyle w:val="Heading1"/>
      </w:pPr>
      <w:r>
        <w:t xml:space="preserve">References</w:t>
      </w:r>
    </w:p>
    <w:bookmarkStart w:id="9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menzel_growing_1999"/>
    <w:p>
      <w:pPr>
        <w:pStyle w:val="Bibliography"/>
      </w:pPr>
      <w:r>
        <w:t xml:space="preserve">4.</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1"/>
    <w:bookmarkStart w:id="52" w:name="ref-menzel_european_2006"/>
    <w:p>
      <w:pPr>
        <w:pStyle w:val="Bibliography"/>
      </w:pPr>
      <w:r>
        <w:t xml:space="preserve">5.</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2"/>
    <w:bookmarkStart w:id="53" w:name="ref-ibanez_forecasting_2010"/>
    <w:p>
      <w:pPr>
        <w:pStyle w:val="Bibliography"/>
      </w:pPr>
      <w:r>
        <w:t xml:space="preserve">6.</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3"/>
    <w:bookmarkStart w:id="54" w:name="ref-keeling_increased_1996"/>
    <w:p>
      <w:pPr>
        <w:pStyle w:val="Bibliography"/>
      </w:pPr>
      <w:r>
        <w:t xml:space="preserve">7.</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4"/>
    <w:bookmarkStart w:id="55" w:name="ref-dragoni_evidence_2011"/>
    <w:p>
      <w:pPr>
        <w:pStyle w:val="Bibliography"/>
      </w:pPr>
      <w:r>
        <w:t xml:space="preserve">8.</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5"/>
    <w:bookmarkStart w:id="56" w:name="ref-crabbe_extreme_2016"/>
    <w:p>
      <w:pPr>
        <w:pStyle w:val="Bibliography"/>
      </w:pPr>
      <w:r>
        <w:t xml:space="preserve">9.</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6"/>
    <w:bookmarkStart w:id="57" w:name="ref-zhou_explaining_2016"/>
    <w:p>
      <w:pPr>
        <w:pStyle w:val="Bibliography"/>
      </w:pPr>
      <w:r>
        <w:t xml:space="preserve">10.</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7"/>
    <w:bookmarkStart w:id="58" w:name="ref-fu_maximum_2019"/>
    <w:p>
      <w:pPr>
        <w:pStyle w:val="Bibliography"/>
      </w:pPr>
      <w:r>
        <w:t xml:space="preserve">11.</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58"/>
    <w:bookmarkStart w:id="59" w:name="ref-xue_global_2017"/>
    <w:p>
      <w:pPr>
        <w:pStyle w:val="Bibliography"/>
      </w:pPr>
      <w:r>
        <w:t xml:space="preserve">12.</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9"/>
    <w:bookmarkStart w:id="60" w:name="ref-russell_residence_2014"/>
    <w:p>
      <w:pPr>
        <w:pStyle w:val="Bibliography"/>
      </w:pPr>
      <w:r>
        <w:t xml:space="preserve">13.</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0"/>
    <w:bookmarkStart w:id="61" w:name="ref-profft_forest_2009"/>
    <w:p>
      <w:pPr>
        <w:pStyle w:val="Bibliography"/>
      </w:pPr>
      <w:r>
        <w:t xml:space="preserve">14.</w:t>
      </w:r>
      <w:r>
        <w:t xml:space="preserve"> </w:t>
      </w:r>
      <w:r>
        <w:t xml:space="preserve">	</w:t>
      </w:r>
      <w:r>
        <w:t xml:space="preserve">Profft, I., Mund, M., Weber, G.-E., Weller, E. &amp; Schulze, E.-D. Forest management and carbon sequestration in wood products.</w:t>
      </w:r>
      <w:r>
        <w:t xml:space="preserve"> </w:t>
      </w:r>
      <w:r>
        <w:rPr>
          <w:iCs/>
          <w:i/>
        </w:rPr>
        <w:t xml:space="preserve">European Journal of Forest Research</w:t>
      </w:r>
      <w:r>
        <w:t xml:space="preserve"> </w:t>
      </w:r>
      <w:r>
        <w:rPr>
          <w:bCs/>
          <w:b/>
        </w:rPr>
        <w:t xml:space="preserve">128</w:t>
      </w:r>
      <w:r>
        <w:t xml:space="preserve">, 399–413 (2009).</w:t>
      </w:r>
    </w:p>
    <w:bookmarkEnd w:id="61"/>
    <w:bookmarkStart w:id="63" w:name="ref-anderson-teixeira_carbon_2021"/>
    <w:p>
      <w:pPr>
        <w:pStyle w:val="Bibliography"/>
      </w:pPr>
      <w:r>
        <w:t xml:space="preserve">15.</w:t>
      </w:r>
      <w:r>
        <w:t xml:space="preserve"> </w:t>
      </w:r>
      <w:r>
        <w:t xml:space="preserve">	</w:t>
      </w:r>
      <w:r>
        <w:t xml:space="preserve">Anderson-Teixeira, K. J.</w:t>
      </w:r>
      <w:r>
        <w:t xml:space="preserve"> </w:t>
      </w:r>
      <w:r>
        <w:rPr>
          <w:iCs/>
          <w:i/>
        </w:rPr>
        <w:t xml:space="preserve">et al.</w:t>
      </w:r>
      <w:r>
        <w:t xml:space="preserve"> Carbon cycling in mature and regrowth forests globally.</w:t>
      </w:r>
      <w:r>
        <w:t xml:space="preserve"> </w:t>
      </w:r>
      <w:r>
        <w:rPr>
          <w:iCs/>
          <w:i/>
        </w:rPr>
        <w:t xml:space="preserve">Environmental Research Letters</w:t>
      </w:r>
      <w:r>
        <w:t xml:space="preserve"> </w:t>
      </w:r>
      <w:r>
        <w:t xml:space="preserve">(2021) doi:</w:t>
      </w:r>
      <w:hyperlink r:id="rId62">
        <w:r>
          <w:rPr>
            <w:rStyle w:val="Hyperlink"/>
          </w:rPr>
          <w:t xml:space="preserve">10.1088/1748-9326/abed01</w:t>
        </w:r>
      </w:hyperlink>
      <w:r>
        <w:t xml:space="preserve">.</w:t>
      </w:r>
    </w:p>
    <w:bookmarkEnd w:id="63"/>
    <w:bookmarkStart w:id="64" w:name="ref-zhang_drought_2021"/>
    <w:p>
      <w:pPr>
        <w:pStyle w:val="Bibliography"/>
      </w:pPr>
      <w:r>
        <w:t xml:space="preserve">16.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4"/>
    <w:bookmarkStart w:id="65" w:name="ref-zohner_ongoing_2019"/>
    <w:p>
      <w:pPr>
        <w:pStyle w:val="Bibliography"/>
      </w:pPr>
      <w:r>
        <w:t xml:space="preserve">17.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65"/>
    <w:bookmarkStart w:id="66" w:name="ref-zani_increased_2020"/>
    <w:p>
      <w:pPr>
        <w:pStyle w:val="Bibliography"/>
      </w:pPr>
      <w:r>
        <w:t xml:space="preserve">18.</w:t>
      </w:r>
      <w:r>
        <w:t xml:space="preserve"> </w:t>
      </w:r>
      <w:r>
        <w:t xml:space="preserve">	</w:t>
      </w:r>
      <w:r>
        <w:t xml:space="preserve">Zani, D., Crowther, T. W., Mo, L., Renner, S. S. &amp; Zohner, C. M. Increased growing-season productivity drives earlier autumn leaf senescence in temperate trees. 7 (2020).</w:t>
      </w:r>
    </w:p>
    <w:bookmarkEnd w:id="66"/>
    <w:bookmarkStart w:id="67" w:name="ref-parmesan_globally_2003"/>
    <w:p>
      <w:pPr>
        <w:pStyle w:val="Bibliography"/>
      </w:pPr>
      <w:r>
        <w:t xml:space="preserve">19.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7"/>
    <w:bookmarkStart w:id="68" w:name="ref-friedl_tale_2014"/>
    <w:p>
      <w:pPr>
        <w:pStyle w:val="Bibliography"/>
      </w:pPr>
      <w:r>
        <w:t xml:space="preserve">20.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8"/>
    <w:bookmarkStart w:id="69" w:name="ref-piao_net_2008"/>
    <w:p>
      <w:pPr>
        <w:pStyle w:val="Bibliography"/>
      </w:pPr>
      <w:r>
        <w:t xml:space="preserve">21.</w:t>
      </w:r>
      <w:r>
        <w:t xml:space="preserve"> </w:t>
      </w:r>
      <w:r>
        <w:t xml:space="preserve">	</w:t>
      </w:r>
      <w:r>
        <w:t xml:space="preserve">Piao, S.</w:t>
      </w:r>
      <w:r>
        <w:t xml:space="preserve"> </w:t>
      </w:r>
      <w:r>
        <w:rPr>
          <w:iCs/>
          <w:i/>
        </w:rPr>
        <w:t xml:space="preserve">et al.</w:t>
      </w:r>
      <w:r>
        <w:t xml:space="preserve"> Net carbon dioxide losses of northern ecosystems in response to autumn warming.</w:t>
      </w:r>
      <w:r>
        <w:t xml:space="preserve"> </w:t>
      </w:r>
      <w:r>
        <w:rPr>
          <w:iCs/>
          <w:i/>
        </w:rPr>
        <w:t xml:space="preserve">Nature</w:t>
      </w:r>
      <w:r>
        <w:t xml:space="preserve"> </w:t>
      </w:r>
      <w:r>
        <w:rPr>
          <w:bCs/>
          <w:b/>
        </w:rPr>
        <w:t xml:space="preserve">451</w:t>
      </w:r>
      <w:r>
        <w:t xml:space="preserve">, 49–52 (2008).</w:t>
      </w:r>
    </w:p>
    <w:bookmarkEnd w:id="69"/>
    <w:bookmarkStart w:id="70" w:name="ref-keenan_timing_2015"/>
    <w:p>
      <w:pPr>
        <w:pStyle w:val="Bibliography"/>
      </w:pPr>
      <w:r>
        <w:t xml:space="preserve">22.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0"/>
    <w:bookmarkStart w:id="71" w:name="ref-vitasse_responses_2009"/>
    <w:p>
      <w:pPr>
        <w:pStyle w:val="Bibliography"/>
      </w:pPr>
      <w:r>
        <w:t xml:space="preserve">23.</w:t>
      </w:r>
      <w:r>
        <w:t xml:space="preserve"> </w:t>
      </w:r>
      <w:r>
        <w:t xml:space="preserve">	</w:t>
      </w:r>
      <w:r>
        <w:t xml:space="preserve">Vitasse, Y., Porté, A. J., Kremer, A., Michalet, R. &amp; Delzon, S. Responses of canopy duration to temperature changes in four temperate tree species: Relative contributions of spring and autumn leaf phenology.</w:t>
      </w:r>
      <w:r>
        <w:t xml:space="preserve"> </w:t>
      </w:r>
      <w:r>
        <w:rPr>
          <w:iCs/>
          <w:i/>
        </w:rPr>
        <w:t xml:space="preserve">Oecologia</w:t>
      </w:r>
      <w:r>
        <w:t xml:space="preserve"> </w:t>
      </w:r>
      <w:r>
        <w:rPr>
          <w:bCs/>
          <w:b/>
        </w:rPr>
        <w:t xml:space="preserve">161</w:t>
      </w:r>
      <w:r>
        <w:t xml:space="preserve">, 187–198 (2009).</w:t>
      </w:r>
    </w:p>
    <w:bookmarkEnd w:id="71"/>
    <w:bookmarkStart w:id="72" w:name="ref-churkina_spatial_2005"/>
    <w:p>
      <w:pPr>
        <w:pStyle w:val="Bibliography"/>
      </w:pPr>
      <w:r>
        <w:t xml:space="preserve">24.</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72"/>
    <w:bookmarkStart w:id="73" w:name="ref-arora_carbon_2020"/>
    <w:p>
      <w:pPr>
        <w:pStyle w:val="Bibliography"/>
      </w:pPr>
      <w:r>
        <w:t xml:space="preserve">25.</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3"/>
    <w:bookmarkStart w:id="74" w:name="ref-friedlingstein_global_2020"/>
    <w:p>
      <w:pPr>
        <w:pStyle w:val="Bibliography"/>
      </w:pPr>
      <w:r>
        <w:t xml:space="preserve">26.</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4"/>
    <w:bookmarkStart w:id="75"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75"/>
    <w:bookmarkStart w:id="76"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76"/>
    <w:bookmarkStart w:id="77" w:name="ref-dorangeville_drought_2018"/>
    <w:p>
      <w:pPr>
        <w:pStyle w:val="Bibliography"/>
      </w:pPr>
      <w:r>
        <w:t xml:space="preserve">29.</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77"/>
    <w:bookmarkStart w:id="78" w:name="ref-alexander_potential_2019"/>
    <w:p>
      <w:pPr>
        <w:pStyle w:val="Bibliography"/>
      </w:pPr>
      <w:r>
        <w:t xml:space="preserve">30.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78"/>
    <w:bookmarkStart w:id="79" w:name="ref-wolf_warm_2016"/>
    <w:p>
      <w:pPr>
        <w:pStyle w:val="Bibliography"/>
      </w:pPr>
      <w:r>
        <w:t xml:space="preserve">31.</w:t>
      </w:r>
      <w:r>
        <w:t xml:space="preserve"> </w:t>
      </w:r>
      <w:r>
        <w:t xml:space="preserve">	</w:t>
      </w:r>
      <w:r>
        <w:t xml:space="preserve">Wolf, S.</w:t>
      </w:r>
      <w:r>
        <w:t xml:space="preserve"> </w:t>
      </w:r>
      <w:r>
        <w:rPr>
          <w:iCs/>
          <w:i/>
        </w:rPr>
        <w:t xml:space="preserve">et al.</w:t>
      </w:r>
      <w:r>
        <w:t xml:space="preserve"> Warm spring reduced carbon cycle impact of the 2012</w:t>
      </w:r>
      <w:r>
        <w:t xml:space="preserve"> </w:t>
      </w:r>
      <w:r>
        <w:t xml:space="preserve">US</w:t>
      </w:r>
      <w:r>
        <w:t xml:space="preserve"> </w:t>
      </w:r>
      <w:r>
        <w:t xml:space="preserve">summer drought.</w:t>
      </w:r>
      <w:r>
        <w:t xml:space="preserve"> </w:t>
      </w:r>
      <w:r>
        <w:rPr>
          <w:iCs/>
          <w:i/>
        </w:rPr>
        <w:t xml:space="preserve">Proceedings of the National Academy of Sciences</w:t>
      </w:r>
      <w:r>
        <w:t xml:space="preserve"> </w:t>
      </w:r>
      <w:r>
        <w:rPr>
          <w:bCs/>
          <w:b/>
        </w:rPr>
        <w:t xml:space="preserve">113</w:t>
      </w:r>
      <w:r>
        <w:t xml:space="preserve">, 5880–5885 (2016).</w:t>
      </w:r>
    </w:p>
    <w:bookmarkEnd w:id="79"/>
    <w:bookmarkStart w:id="80" w:name="ref-maxwell_declining_2016"/>
    <w:p>
      <w:pPr>
        <w:pStyle w:val="Bibliography"/>
      </w:pPr>
      <w:r>
        <w:t xml:space="preserve">32.</w:t>
      </w:r>
      <w:r>
        <w:t xml:space="preserve"> </w:t>
      </w:r>
      <w:r>
        <w:t xml:space="preserve">	</w:t>
      </w:r>
      <w:r>
        <w:t xml:space="preserve">Maxwell, J. T., Harley, G. L. &amp; Robeson, S. M.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 </w:t>
      </w:r>
      <w:r>
        <w:rPr>
          <w:bCs/>
          <w:b/>
        </w:rPr>
        <w:t xml:space="preserve">138</w:t>
      </w:r>
      <w:r>
        <w:t xml:space="preserve">, 127–142 (2016).</w:t>
      </w:r>
    </w:p>
    <w:bookmarkEnd w:id="80"/>
    <w:bookmarkStart w:id="81" w:name="ref-cuny_woody_2015"/>
    <w:p>
      <w:pPr>
        <w:pStyle w:val="Bibliography"/>
      </w:pPr>
      <w:r>
        <w:t xml:space="preserve">33.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1"/>
    <w:bookmarkStart w:id="82" w:name="ref-trumbore_quantifying_2002"/>
    <w:p>
      <w:pPr>
        <w:pStyle w:val="Bibliography"/>
      </w:pPr>
      <w:r>
        <w:t xml:space="preserve">34.</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82"/>
    <w:bookmarkStart w:id="83" w:name="ref-richardson_seasonal_2013"/>
    <w:p>
      <w:pPr>
        <w:pStyle w:val="Bibliography"/>
      </w:pPr>
      <w:r>
        <w:t xml:space="preserve">35.</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83"/>
    <w:bookmarkStart w:id="85" w:name="ref-banburymorgan_global_2021"/>
    <w:p>
      <w:pPr>
        <w:pStyle w:val="Bibliography"/>
      </w:pPr>
      <w:r>
        <w:t xml:space="preserve">36.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7" w:name="ref-friedl_mcd12q2_2019"/>
    <w:p>
      <w:pPr>
        <w:pStyle w:val="Bibliography"/>
      </w:pPr>
      <w:r>
        <w:t xml:space="preserve">37.</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6">
        <w:r>
          <w:rPr>
            <w:rStyle w:val="Hyperlink"/>
          </w:rPr>
          <w:t xml:space="preserve">10.5067/MODIS/MCD12Q2.006</w:t>
        </w:r>
      </w:hyperlink>
      <w:r>
        <w:t xml:space="preserve">.</w:t>
      </w:r>
    </w:p>
    <w:bookmarkEnd w:id="87"/>
    <w:bookmarkStart w:id="88" w:name="ref-bourg_initial_2013"/>
    <w:p>
      <w:pPr>
        <w:pStyle w:val="Bibliography"/>
      </w:pPr>
      <w:r>
        <w:t xml:space="preserve">38.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8"/>
    <w:bookmarkStart w:id="89" w:name="ref-cook_time_1985"/>
    <w:p>
      <w:pPr>
        <w:pStyle w:val="Bibliography"/>
      </w:pPr>
      <w:r>
        <w:t xml:space="preserve">39.</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89"/>
    <w:bookmarkStart w:id="91" w:name="ref-cook_methods_1990"/>
    <w:p>
      <w:pPr>
        <w:pStyle w:val="Bibliography"/>
      </w:pPr>
      <w:r>
        <w:t xml:space="preserve">40.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90">
        <w:r>
          <w:rPr>
            <w:rStyle w:val="Hyperlink"/>
          </w:rPr>
          <w:t xml:space="preserve">10.1007/978-94-015-7879-0</w:t>
        </w:r>
      </w:hyperlink>
      <w:r>
        <w:t xml:space="preserve">.</w:t>
      </w:r>
    </w:p>
    <w:bookmarkEnd w:id="91"/>
    <w:bookmarkStart w:id="92" w:name="ref-cook_calculating_1997"/>
    <w:p>
      <w:pPr>
        <w:pStyle w:val="Bibliography"/>
      </w:pPr>
      <w:r>
        <w:t xml:space="preserve">41.</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92"/>
    <w:bookmarkStart w:id="93" w:name="ref-jones_estimating_1997"/>
    <w:p>
      <w:pPr>
        <w:pStyle w:val="Bibliography"/>
      </w:pPr>
      <w:r>
        <w:t xml:space="preserve">42.</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93"/>
    <w:bookmarkStart w:id="95" w:name="ref-anderson-teixeira_forestgeo_2020"/>
    <w:p>
      <w:pPr>
        <w:pStyle w:val="Bibliography"/>
      </w:pPr>
      <w:r>
        <w:t xml:space="preserve">43.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94">
        <w:r>
          <w:rPr>
            <w:rStyle w:val="Hyperlink"/>
          </w:rPr>
          <w:t xml:space="preserve">10.5281/ZENODO.4041609</w:t>
        </w:r>
      </w:hyperlink>
      <w:r>
        <w:t xml:space="preserve">.</w:t>
      </w:r>
    </w:p>
    <w:bookmarkEnd w:id="95"/>
    <w:bookmarkStart w:id="96" w:name="ref-harris_version_2020"/>
    <w:p>
      <w:pPr>
        <w:pStyle w:val="Bibliography"/>
      </w:pPr>
      <w:r>
        <w:t xml:space="preserve">44.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6"/>
    <w:bookmarkStart w:id="97" w:name="ref-vandepol_identifying_2016"/>
    <w:p>
      <w:pPr>
        <w:pStyle w:val="Bibliography"/>
      </w:pPr>
      <w:r>
        <w:t xml:space="preserve">45.</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7"/>
    <w:bookmarkStart w:id="98" w:name="ref-bates_fitting_2015"/>
    <w:p>
      <w:pPr>
        <w:pStyle w:val="Bibliography"/>
      </w:pPr>
      <w:r>
        <w:t xml:space="preserve">46.</w:t>
      </w:r>
      <w:r>
        <w:t xml:space="preserve"> </w:t>
      </w:r>
      <w:r>
        <w:t xml:space="preserve">	</w:t>
      </w:r>
      <w:r>
        <w:t xml:space="preserve">Bates, D., Mächler, M., Bolker, B. &amp; Walker, S. Fitting</w:t>
      </w:r>
      <w:r>
        <w:t xml:space="preserve"> </w:t>
      </w:r>
      <w:r>
        <w:t xml:space="preserve">Linear Mixed</w:t>
      </w:r>
      <w:r>
        <w:t xml:space="preserve">-</w:t>
      </w:r>
      <w:r>
        <w:t xml:space="preserve">Effects Models Using</w:t>
      </w:r>
      <w:r>
        <w:t xml:space="preserve"> </w:t>
      </w:r>
      <w:r>
        <w:rPr>
          <w:bCs/>
          <w:b/>
        </w:rPr>
        <w:t xml:space="preserve">Lme4</w:t>
      </w:r>
      <w:r>
        <w:t xml:space="preserve">.</w:t>
      </w:r>
      <w:r>
        <w:t xml:space="preserve"> </w:t>
      </w:r>
      <w:r>
        <w:rPr>
          <w:iCs/>
          <w:i/>
        </w:rPr>
        <w:t xml:space="preserve">Journal of Statistical Software</w:t>
      </w:r>
      <w:r>
        <w:t xml:space="preserve"> </w:t>
      </w:r>
      <w:r>
        <w:rPr>
          <w:bCs/>
          <w:b/>
        </w:rPr>
        <w:t xml:space="preserve">67</w:t>
      </w:r>
      <w:r>
        <w:t xml:space="preserve">, (2015).</w:t>
      </w:r>
    </w:p>
    <w:bookmarkEnd w:id="98"/>
    <w:bookmarkEnd w:id="99"/>
    <w:bookmarkEnd w:id="100"/>
    <w:sectPr w:rsidR="00D701CB">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24" Target="https://github.com/EcoClimLab/growth_phenology/issues/58"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4" Target="https://developers.google.com/earth-engine/datasets/catalog/MODIS_006_MCD12Q2#description" TargetMode="External" /><Relationship Type="http://schemas.openxmlformats.org/officeDocument/2006/relationships/hyperlink" Id="rId90" Target="https://doi.org/10.1007/978-94-015-7879-0" TargetMode="External" /><Relationship Type="http://schemas.openxmlformats.org/officeDocument/2006/relationships/hyperlink" Id="rId62" Target="https://doi.org/10.1088/1748-9326/abed01" TargetMode="External" /><Relationship Type="http://schemas.openxmlformats.org/officeDocument/2006/relationships/hyperlink" Id="rId84" Target="https://doi.org/10.1111/gcb.15574" TargetMode="External" /><Relationship Type="http://schemas.openxmlformats.org/officeDocument/2006/relationships/hyperlink" Id="rId86" Target="https://doi.org/10.5067/MODIS/MCD12Q2.006" TargetMode="External" /><Relationship Type="http://schemas.openxmlformats.org/officeDocument/2006/relationships/hyperlink" Id="rId94" Target="https://doi.org/10.5281/ZENODO.4041609" TargetMode="External" /><Relationship Type="http://schemas.openxmlformats.org/officeDocument/2006/relationships/hyperlink" Id="rId37" Target="https://forestgeo.github.io/Climate/" TargetMode="External" /><Relationship Type="http://schemas.openxmlformats.org/officeDocument/2006/relationships/hyperlink" Id="rId27" Target="https://github.com/EcoClimLab/growth_phenology/issues/49" TargetMode="External" /><Relationship Type="http://schemas.openxmlformats.org/officeDocument/2006/relationships/hyperlink" Id="rId21" Target="https://github.com/EcoClimLab/growth_phenology/issues/56" TargetMode="External" /><Relationship Type="http://schemas.openxmlformats.org/officeDocument/2006/relationships/hyperlink" Id="rId29" Target="https://github.com/EcoClimLab/growth_phenology/issues/57" TargetMode="External" /><Relationship Type="http://schemas.openxmlformats.org/officeDocument/2006/relationships/hyperlink" Id="rId24" Target="https://github.com/EcoClimLab/growth_phenology/issues/58" TargetMode="External" /><Relationship Type="http://schemas.openxmlformats.org/officeDocument/2006/relationships/hyperlink" Id="rId3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2021-09-17T14:27:02Z</dcterms:created>
  <dcterms:modified xsi:type="dcterms:W3CDTF">2021-09-17T14:27:02Z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