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19</w:t>
      </w:r>
      <w:r>
        <w:t xml:space="preserve">, 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40</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t xml:space="preserve">;</w:t>
      </w:r>
      <w:r>
        <w:t xml:space="preserve">;</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CTW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CTW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CTW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CTW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correlation between spring temperatures and growth the following year, with significant positive correlations of RWI to March or April</w:t>
      </w:r>
      <w:r>
        <w:t xml:space="preserve"> </w:t>
      </w:r>
      <m:oMath>
        <m:sSub>
          <m:e>
            <m:r>
              <m:t>T</m:t>
            </m:r>
          </m:e>
          <m:sub>
            <m:r>
              <m:t>m</m:t>
            </m:r>
            <m:r>
              <m:t>a</m:t>
            </m:r>
            <m:r>
              <m:t>x</m:t>
            </m:r>
          </m:sub>
        </m:sSub>
      </m:oMath>
      <w:r>
        <w:t xml:space="preserve"> </w:t>
      </w:r>
      <w:r>
        <w:t xml:space="preserve">for 5/142 ring porous chronologies and to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4,35</w:t>
      </w:r>
      <w:r>
        <w:t xml:space="preserve">, is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Combined with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w:t>
      </w:r>
      <w:r>
        <w:t xml:space="preserve"> </w:t>
      </w:r>
      <w:r>
        <w:t xml:space="preserve">What happens with this extra C?</w:t>
      </w:r>
    </w:p>
    <w:p>
      <w:pPr>
        <w:pStyle w:val="BodyText"/>
      </w:pPr>
      <w:r>
        <w:t xml:space="preserve">Additional C fixation in years with warm springs</w:t>
      </w:r>
      <w:r>
        <w:rPr>
          <w:vertAlign w:val="superscript"/>
        </w:rPr>
        <w:t xml:space="preserve">2,4,8–12</w:t>
      </w:r>
      <w:r>
        <w:t xml:space="preserve"> </w:t>
      </w:r>
      <w:r>
        <w:t xml:space="preserve">does not substantially augment stem diameter growth in the current or following year (Extended Data Figure 7), and is unlikely to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t xml:space="preserve">Rather, the most likely explanation of the observed lack of correlation between spring temperatures and stem growth is that growth is sink-limited, such that increased GPP does not enhance</w:t>
      </w:r>
      <w:r>
        <w:t xml:space="preserve"> </w:t>
      </w:r>
      <m:oMath>
        <m:r>
          <m:t>A</m:t>
        </m:r>
        <m:r>
          <m:t>N</m:t>
        </m:r>
        <m:r>
          <m:t>P</m:t>
        </m:r>
        <m:sSub>
          <m:e>
            <m:r>
              <m:t>P</m:t>
            </m:r>
          </m:e>
          <m:sub>
            <m:r>
              <m:t>w</m:t>
            </m:r>
            <m:r>
              <m:t>o</m:t>
            </m:r>
            <m:r>
              <m:t>o</m:t>
            </m:r>
            <m:r>
              <m:t>d</m:t>
            </m:r>
            <m:r>
              <m:t>y</m:t>
            </m:r>
          </m:sub>
        </m:sSub>
      </m:oMath>
      <w:r>
        <w:rPr>
          <w:vertAlign w:val="superscript"/>
        </w:rPr>
        <w:t xml:space="preserve">25</w:t>
      </w:r>
      <w:r>
        <w:t xml:space="preserve">.</w:t>
      </w:r>
    </w:p>
    <w:p>
      <w:pPr>
        <w:pStyle w:val="BodyText"/>
      </w:pPr>
      <w:r>
        <w:t xml:space="preserve">Our results add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fail to stimulate</w:t>
      </w:r>
      <w:r>
        <w:t xml:space="preserve"> </w:t>
      </w:r>
      <m:oMath>
        <m:r>
          <m:t>A</m:t>
        </m:r>
        <m:r>
          <m:t>N</m:t>
        </m:r>
        <m:r>
          <m:t>P</m:t>
        </m:r>
        <m:sSub>
          <m:e>
            <m:r>
              <m:t>P</m:t>
            </m:r>
          </m:e>
          <m:sub>
            <m:r>
              <m:t>w</m:t>
            </m:r>
            <m:r>
              <m:t>o</m:t>
            </m:r>
            <m:r>
              <m:t>o</m:t>
            </m:r>
            <m:r>
              <m:t>d</m:t>
            </m:r>
            <m:r>
              <m:t>y</m:t>
            </m:r>
          </m:sub>
        </m:sSub>
      </m:oMath>
      <w:r>
        <w:rPr>
          <w:vertAlign w:val="superscript"/>
        </w:rPr>
        <w:t xml:space="preserve">46,</w:t>
      </w:r>
      <w:r>
        <w:rPr>
          <w:bCs/>
          <w:b/>
          <w:vertAlign w:val="superscript"/>
        </w:rPr>
        <w:t xml:space="preserve">refs?</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46</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Therefore, 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make clear that the dominant effect of temperatures on tree growth occur not in the spring, but during the peak growing season, when increased atmospheric demand associated with high temperatures limits growth</w:t>
      </w:r>
      <w:r>
        <w:rPr>
          <w:vertAlign w:val="superscript"/>
        </w:rPr>
        <w:t xml:space="preserve">25,33,35,51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there is potential for warm springs to have a net negative effect on growth through such mechanisms at other times or places</w:t>
      </w:r>
      <w:r>
        <w:rPr>
          <w:vertAlign w:val="superscript"/>
        </w:rPr>
        <w:t xml:space="preserve">32</w:t>
      </w:r>
      <w:r>
        <w:t xml:space="preserve">.</w:t>
      </w:r>
    </w:p>
    <w:p>
      <w:pPr>
        <w:pStyle w:val="BodyText"/>
      </w:pPr>
      <w:r>
        <w:t xml:space="preserve">As climate change accelerates and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38,54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roibu_climatic_2020"/>
    <w:p>
      <w:pPr>
        <w:pStyle w:val="Bibliography"/>
      </w:pPr>
      <w:r>
        <w:t xml:space="preserve">44.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jiang_fate_2020"/>
    <w:p>
      <w:pPr>
        <w:pStyle w:val="Bibliography"/>
      </w:pPr>
      <w:r>
        <w:t xml:space="preserve">46.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2022-03-13T12:21:02Z</dcterms:created>
  <dcterms:modified xsi:type="dcterms:W3CDTF">2022-03-13T12:21:02Z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