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r>
        <w:rPr>
          <w:vertAlign w:val="superscript"/>
        </w:rPr>
        <w:t xml:space="preserve">5</w:t>
      </w:r>
    </w:p>
    <w:p>
      <w:pPr>
        <w:pStyle w:val="BodyText"/>
      </w:pPr>
      <w:r>
        <w:t xml:space="preserve">Justin Maxwell</w:t>
      </w:r>
      <w:r>
        <w:rPr>
          <w:vertAlign w:val="superscript"/>
        </w:rPr>
        <w:t xml:space="preserve">6</w:t>
      </w:r>
    </w:p>
    <w:p>
      <w:pPr>
        <w:pStyle w:val="BodyText"/>
      </w:pPr>
      <w:r>
        <w:t xml:space="preserve">Ian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Department of Geography, Indiana University, Bloomington, Indiana,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 this is currently way too long.</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1,3–5</w:t>
      </w:r>
      <w:r>
        <w:t xml:space="preserve"> </w:t>
      </w:r>
      <w:r>
        <w:t xml:space="preserve">and annual CO</w:t>
      </w:r>
      <w:r>
        <w:rPr>
          <w:vertAlign w:val="subscript"/>
        </w:rPr>
        <w:t xml:space="preserve">2</w:t>
      </w:r>
      <w:r>
        <w:t xml:space="preserve"> </w:t>
      </w:r>
      <w:r>
        <w:t xml:space="preserve">sequestration</w:t>
      </w:r>
      <w:r>
        <w:rPr>
          <w:vertAlign w:val="superscript"/>
        </w:rPr>
        <w:t xml:space="preserve">6–10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10</w:t>
      </w:r>
      <w:r>
        <w:t xml:space="preserve">, with observations that warm springs result in earlier leaf senescence</w:t>
      </w:r>
      <w:r>
        <w:rPr>
          <w:vertAlign w:val="superscript"/>
        </w:rPr>
        <w:t xml:space="preserve">15,16</w:t>
      </w:r>
      <w:r>
        <w:t xml:space="preserve">, and with evidence that forest CO</w:t>
      </w:r>
      <w:r>
        <w:rPr>
          <w:vertAlign w:val="subscript"/>
        </w:rPr>
        <w:t xml:space="preserve">2</w:t>
      </w:r>
      <w:r>
        <w:t xml:space="preserve"> </w:t>
      </w:r>
      <w:r>
        <w:t xml:space="preserve">sequestration is sink-limited</w:t>
      </w:r>
      <w:r>
        <w:rPr>
          <w:vertAlign w:val="superscript"/>
        </w:rPr>
        <w:t xml:space="preserve">16</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6–8</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20</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Warmer spring temperatures and earlier leaf-out are also linked to earlier leaf senescence</w:t>
      </w:r>
      <w:r>
        <w:rPr>
          <w:vertAlign w:val="superscript"/>
        </w:rPr>
        <w:t xml:space="preserve">15,21</w:t>
      </w:r>
      <w:r>
        <w:t xml:space="preserve">, apparently because of sink-limitation to CO</w:t>
      </w:r>
      <w:r>
        <w:rPr>
          <w:vertAlign w:val="subscript"/>
        </w:rPr>
        <w:t xml:space="preserve">2</w:t>
      </w:r>
      <w:r>
        <w:t xml:space="preserve"> </w:t>
      </w:r>
      <w:r>
        <w:t xml:space="preserve">sequestration</w:t>
      </w:r>
      <w:r>
        <w:rPr>
          <w:vertAlign w:val="superscript"/>
        </w:rPr>
        <w:t xml:space="preserve">16</w:t>
      </w:r>
      <w:r>
        <w:t xml:space="preserve">.</w:t>
      </w:r>
      <w:r>
        <w:t xml:space="preserve"> </w:t>
      </w:r>
      <w:r>
        <w:t xml:space="preserve">However, warmer summer and autumn temperatures can delay leaf senescence</w:t>
      </w:r>
      <w:r>
        <w:rPr>
          <w:vertAlign w:val="superscript"/>
        </w:rPr>
        <w:t xml:space="preserve">1,5,7,8,15,22</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1,1,3–5</w:t>
      </w:r>
      <w:r>
        <w:t xml:space="preserve"> </w:t>
      </w:r>
      <w:r>
        <w:t xml:space="preserve">and the ecosystem is a net CO</w:t>
      </w:r>
      <w:r>
        <w:rPr>
          <w:vertAlign w:val="subscript"/>
        </w:rPr>
        <w:t xml:space="preserve">2</w:t>
      </w:r>
      <w:r>
        <w:t xml:space="preserve"> </w:t>
      </w:r>
      <w:r>
        <w:t xml:space="preserve">sink[REFS].</w:t>
      </w:r>
    </w:p>
    <w:p>
      <w:pPr>
        <w:pStyle w:val="BodyText"/>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2,9,10,23</w:t>
      </w:r>
      <w:r>
        <w:rPr>
          <w:bCs/>
          <w:b/>
        </w:rPr>
        <w:t xml:space="preserve">.</w:t>
      </w:r>
      <w:r>
        <w:t xml:space="preserve"> </w:t>
      </w:r>
      <w:r>
        <w:rPr>
          <w:iCs/>
          <w:i/>
        </w:rPr>
        <w:t xml:space="preserve">This expectation is represented in models.</w:t>
      </w:r>
      <w:r>
        <w:rPr>
          <w:vertAlign w:val="superscript"/>
          <w:iCs/>
          <w:i/>
        </w:rPr>
        <w:t xml:space="preserve">16</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16</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29" w:name="results"/>
    <w:p>
      <w:pPr>
        <w:pStyle w:val="Heading1"/>
      </w:pPr>
      <w:r>
        <w:rPr>
          <w:rStyle w:val="SectionNumber"/>
        </w:rPr>
        <w:t xml:space="preserve">3</w:t>
      </w:r>
      <w:r>
        <w:tab/>
      </w:r>
      <w:r>
        <w:t xml:space="preserve">(Results)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ecosystem-level leaf phenology, obtained from the MODIS Global Vegetation Phenology product, where G = Greenup, M=Mid-greenup, P=peak, and S=Senescence (i.e., beginning of green-down).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ecosystem-level leaf phenology, obtained from the MODIS Global Vegetation Phenology product, where G = Greenup, M=Mid-greenup, P=peak, and S=Senescence (i.e., beginning of green-down).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5">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6"/>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 1-8 days per degree Celsius during the CTW (Figs. 1- 3, 2; see also Extended Data Figures</w:t>
      </w:r>
      <w:r>
        <w:t xml:space="preserve"> </w:t>
      </w:r>
      <w:r>
        <w:rPr>
          <w:bCs/>
          <w:b/>
        </w:rPr>
        <w:t xml:space="preserve">4-6</w:t>
      </w:r>
      <w:r>
        <w:t xml:space="preserv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p>
      <w:pPr>
        <w:pStyle w:val="BodyText"/>
      </w:pPr>
      <w:r>
        <w:t xml:space="preserve">To understand how annual growth increments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The patterns observed at our focal sites were mirrored across an additional 192 chronologies from 112 sites (Fig. 4; Extended Data Figure 1)</w:t>
      </w:r>
      <w:r>
        <w:rPr>
          <w:vertAlign w:val="superscript"/>
        </w:rPr>
        <w:t xml:space="preserve">26</w:t>
      </w:r>
      <w:r>
        <w:t xml:space="preserve">.</w:t>
      </w:r>
      <w:r>
        <w:t xml:space="preserve"> </w:t>
      </w:r>
      <w:r>
        <w:t xml:space="preserve">In total, our analysis included # species at sites distributed from XXX to XXX and spanning a ##</w:t>
      </w:r>
      <w:r>
        <w:t xml:space="preserve"> </w:t>
      </w:r>
      <m:oMath>
        <m:sSup>
          <m:e>
            <m:r>
              <m:t>​</m:t>
            </m:r>
          </m:e>
          <m:sup>
            <m:r>
              <m:rPr>
                <m:sty m:val="p"/>
              </m:rPr>
              <m:t>∘</m:t>
            </m:r>
          </m:sup>
        </m:sSup>
      </m:oMath>
      <w:r>
        <w:t xml:space="preserve">C range in April T.</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 of records: # of # ring-porous and # or #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 and #%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9"/>
    <w:bookmarkStart w:id="31" w:name="discussion"/>
    <w:p>
      <w:pPr>
        <w:pStyle w:val="Heading1"/>
      </w:pPr>
      <w:r>
        <w:rPr>
          <w:rStyle w:val="SectionNumber"/>
        </w:rPr>
        <w:t xml:space="preserve">4</w:t>
      </w:r>
      <w:r>
        <w:tab/>
      </w: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1- 4).</w:t>
      </w:r>
      <w:r>
        <w:t xml:space="preserve"> </w:t>
      </w:r>
      <w:r>
        <w:t xml:space="preserve">The observed advance in the timing of stem growth milestones under warmer springs is consistent with similar phenological advances observed for leaf development (Fig. 2)[</w:t>
      </w:r>
      <w:r>
        <w:rPr>
          <w:bCs/>
          <w:b/>
        </w:rPr>
        <w:t xml:space="preserve">REFS</w:t>
      </w:r>
      <w:r>
        <w:t xml:space="preserve">] and NEE [</w:t>
      </w:r>
      <w:r>
        <w:rPr>
          <w:bCs/>
          <w:b/>
        </w:rPr>
        <w:t xml:space="preserve">REFS</w:t>
      </w:r>
      <w:r>
        <w:t xml:space="preserve">].</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stem growth, like leaf phenology</w:t>
      </w:r>
      <w:r>
        <w:rPr>
          <w:vertAlign w:val="superscript"/>
        </w:rPr>
        <w:t xml:space="preserve">16</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4, Extended Data Figure 7)</w:t>
      </w:r>
      <w:r>
        <w:rPr>
          <w:vertAlign w:val="superscript"/>
        </w:rPr>
        <w:t xml:space="preserve">24,27</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26</w:t>
      </w:r>
      <w:r>
        <w:t xml:space="preserve">.</w:t>
      </w:r>
      <w:r>
        <w:t xml:space="preserve"> </w:t>
      </w:r>
      <w:r>
        <w:t xml:space="preserve">It is possible that an earlier start to the growing season may provide some buffer against drought later in the growing season, potentially contributing to observed trends of declining drought sensitivity in the region</w:t>
      </w:r>
      <w:r>
        <w:rPr>
          <w:vertAlign w:val="superscript"/>
        </w:rPr>
        <w:t xml:space="preserve">24,28</w:t>
      </w:r>
      <w:r>
        <w:t xml:space="preserve">, but this hypothesis remains to be evaluated.</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9,10</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9,10</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29</w:t>
      </w:r>
      <w:r>
        <w:t xml:space="preserve">, or saved within trees as non-structural carbohydrates and used towards growth the following year</w:t>
      </w:r>
      <w:r>
        <w:rPr>
          <w:vertAlign w:val="superscript"/>
        </w:rPr>
        <w:t xml:space="preserve">30,31</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24</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30</w:t>
      </w:r>
      <w:r>
        <w:t xml:space="preserve">.</w:t>
      </w:r>
      <w:r>
        <w:t xml:space="preserve"> </w:t>
      </w:r>
      <w:r>
        <w:t xml:space="preserve">Most of this carbon would have a relatively low residence time in the ecosystem</w:t>
      </w:r>
      <w:r>
        <w:rPr>
          <w:vertAlign w:val="superscript"/>
        </w:rPr>
        <w:t xml:space="preserve">30</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9,10</w:t>
      </w:r>
      <w:r>
        <w:t xml:space="preserve">.</w:t>
      </w:r>
      <w:r>
        <w:t xml:space="preserve"> </w:t>
      </w:r>
      <w:r>
        <w:t xml:space="preserve">Studies examining long-term trends in growing season length and ecosystem C uptake</w:t>
      </w:r>
      <w:r>
        <w:rPr>
          <w:vertAlign w:val="superscript"/>
        </w:rPr>
        <w:t xml:space="preserve">2,6,7</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30</w:t>
      </w:r>
      <w:r>
        <w:t xml:space="preserve">, trees are likely to acclimate</w:t>
      </w:r>
      <w:r>
        <w:t xml:space="preserve"> </w:t>
      </w:r>
      <w:r>
        <w:rPr>
          <w:iCs/>
          <w:i/>
        </w:rPr>
        <w:t xml:space="preserve">to some extent</w:t>
      </w:r>
      <w:r>
        <w:t xml:space="preserve"> </w:t>
      </w:r>
      <w:r>
        <w:t xml:space="preserve">to warming temperatures[</w:t>
      </w:r>
      <w:r>
        <w:rPr>
          <w:bCs/>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32</w:t>
      </w:r>
      <w:r>
        <w:t xml:space="preserve">, and NEE.</w:t>
      </w:r>
      <w:r>
        <w:rPr>
          <w:vertAlign w:val="superscript"/>
        </w:rPr>
        <w:t xml:space="preserve">23</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1- 3).</w:t>
      </w:r>
      <w:r>
        <w:t xml:space="preserve"> </w:t>
      </w:r>
      <w:r>
        <w:t xml:space="preserve">Yet, an earlier start to the growing season is not associated with a longer growing season or increased growth (Figs. 1, 4), presumably because stem diameter growth is curtailed by C sink limitation</w:t>
      </w:r>
      <w:r>
        <w:rPr>
          <w:vertAlign w:val="superscript"/>
        </w:rPr>
        <w:t xml:space="preserve">16</w:t>
      </w:r>
      <w:r>
        <w:t xml:space="preserve"> </w:t>
      </w:r>
      <w:r>
        <w:t xml:space="preserve">or drought</w:t>
      </w:r>
      <w:r>
        <w:rPr>
          <w:vertAlign w:val="superscript"/>
        </w:rPr>
        <w:t xml:space="preserve">24,26</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16</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30">
        <w:r>
          <w:rPr>
            <w:rStyle w:val="Hyperlink"/>
            <w:iCs/>
            <w:i/>
          </w:rPr>
          <w:t xml:space="preserve">GitHub issue 56 on representation in models</w:t>
        </w:r>
      </w:hyperlink>
      <w:r>
        <w:t xml:space="preserve">)</w:t>
      </w:r>
    </w:p>
    <w:bookmarkEnd w:id="31"/>
    <w:bookmarkStart w:id="32" w:name="content-to-incorporate"/>
    <w:p>
      <w:pPr>
        <w:pStyle w:val="Heading1"/>
      </w:pPr>
      <w:r>
        <w:rPr>
          <w:rStyle w:val="SectionNumber"/>
        </w:rPr>
        <w:t xml:space="preserve">5</w:t>
      </w:r>
      <w:r>
        <w:tab/>
      </w:r>
      <w:r>
        <w:t xml:space="preserve">(Content to incorporate)</w:t>
      </w:r>
    </w:p>
    <w:p>
      <w:pPr>
        <w:pStyle w:val="FirstParagraph"/>
      </w:pPr>
      <w:r>
        <w:rPr>
          <w:vertAlign w:val="superscript"/>
        </w:rPr>
        <w:t xml:space="preserve">33</w:t>
      </w:r>
    </w:p>
    <w:p>
      <w:pPr>
        <w:pStyle w:val="BodyText"/>
      </w:pPr>
      <w:r>
        <w:t xml:space="preserve">From Neil:;</w:t>
      </w:r>
      <w:r>
        <w:rPr>
          <w:vertAlign w:val="superscript"/>
        </w:rPr>
        <w:t xml:space="preserve">34</w:t>
      </w:r>
      <w:r>
        <w:rPr>
          <w:vertAlign w:val="superscript"/>
        </w:rPr>
        <w:t xml:space="preserve">35</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5.0.1</w:t>
      </w:r>
      <w:r>
        <w:tab/>
      </w:r>
      <w:r>
        <w:t xml:space="preserve">Leaf phenology</w:t>
      </w:r>
    </w:p>
    <w:p>
      <w:pPr>
        <w:pStyle w:val="FirstParagraph"/>
      </w:pPr>
      <w:r>
        <w:t xml:space="preserve">Leaf phenology data for the years ### - ### were extracted for SCBI and Harvard forest from the MCD12Q2 V6 Land Cover Dynamics product (informally called the MODIS Global Vegetation Phenology product).</w:t>
      </w:r>
      <w:r>
        <w:rPr>
          <w:vertAlign w:val="superscript"/>
        </w:rPr>
        <w:t xml:space="preserve">36</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37</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112 deciduous and mixed forest sites in Eastern North America</w:t>
      </w:r>
      <w:r>
        <w:rPr>
          <w:vertAlign w:val="superscript"/>
        </w:rPr>
        <w:t xml:space="preserve">26</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38,39</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40</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41</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38</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38</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42</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43</w:t>
      </w:r>
      <w:r>
        <w:t xml:space="preserve"> again via the ForestGEO Climate Data Portal v1.0.</w:t>
      </w:r>
      <w:r>
        <w:rPr>
          <w:vertAlign w:val="superscript"/>
        </w:rPr>
        <w:t xml:space="preserve">42</w:t>
      </w:r>
    </w:p>
    <w:bookmarkEnd w:id="40"/>
    <w:bookmarkEnd w:id="41"/>
    <w:bookmarkStart w:id="44" w:name="analyses"/>
    <w:p>
      <w:pPr>
        <w:pStyle w:val="Heading2"/>
      </w:pPr>
      <w:r>
        <w:rPr>
          <w:rStyle w:val="SectionNumber"/>
        </w:rPr>
        <w:t xml:space="preserve">5.1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44</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45</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1" w:name="References"/>
    <w:p>
      <w:pPr>
        <w:pStyle w:val="Heading1"/>
      </w:pPr>
      <w:r>
        <w:t xml:space="preserve">References</w:t>
      </w:r>
    </w:p>
    <w:bookmarkStart w:id="100"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menzel_growing_1999"/>
    <w:p>
      <w:pPr>
        <w:pStyle w:val="Bibliography"/>
      </w:pPr>
      <w:r>
        <w:t xml:space="preserve">3.</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4.</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5.</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6.</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7.</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8.</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9.</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10.</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60"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9">
        <w:r>
          <w:rPr>
            <w:rStyle w:val="Hyperlink"/>
          </w:rPr>
          <w:t xml:space="preserve">10.1088/1748-9326/abed01</w:t>
        </w:r>
      </w:hyperlink>
      <w:r>
        <w:t xml:space="preserve">.</w:t>
      </w:r>
    </w:p>
    <w:bookmarkEnd w:id="60"/>
    <w:bookmarkStart w:id="61"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1"/>
    <w:bookmarkStart w:id="62"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2"/>
    <w:bookmarkStart w:id="63"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3"/>
    <w:bookmarkStart w:id="64" w:name="ref-zohner_ongoing_2019"/>
    <w:p>
      <w:pPr>
        <w:pStyle w:val="Bibliography"/>
      </w:pPr>
      <w:r>
        <w:t xml:space="preserve">15.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4"/>
    <w:bookmarkStart w:id="65"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6"/>
    <w:bookmarkStart w:id="67"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7"/>
    <w:bookmarkStart w:id="68"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8"/>
    <w:bookmarkStart w:id="69"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9"/>
    <w:bookmarkStart w:id="70" w:name="ref-keenan_timing_2015"/>
    <w:p>
      <w:pPr>
        <w:pStyle w:val="Bibliography"/>
      </w:pPr>
      <w:r>
        <w:t xml:space="preserve">21.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0"/>
    <w:bookmarkStart w:id="71" w:name="ref-vitasse_responses_2009"/>
    <w:p>
      <w:pPr>
        <w:pStyle w:val="Bibliography"/>
      </w:pPr>
      <w:r>
        <w:t xml:space="preserve">22.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hurkina_spatial_2005"/>
    <w:p>
      <w:pPr>
        <w:pStyle w:val="Bibliography"/>
      </w:pPr>
      <w:r>
        <w:t xml:space="preserve">23.</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5"/>
    <w:bookmarkStart w:id="76" w:name="ref-alexander_potential_2019"/>
    <w:p>
      <w:pPr>
        <w:pStyle w:val="Bibliography"/>
      </w:pPr>
      <w:r>
        <w:t xml:space="preserve">27.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6"/>
    <w:bookmarkStart w:id="77" w:name="ref-maxwell_declining_2016"/>
    <w:p>
      <w:pPr>
        <w:pStyle w:val="Bibliography"/>
      </w:pPr>
      <w:r>
        <w:t xml:space="preserve">28.</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7"/>
    <w:bookmarkStart w:id="78" w:name="ref-cuny_woody_2015"/>
    <w:p>
      <w:pPr>
        <w:pStyle w:val="Bibliography"/>
      </w:pPr>
      <w:r>
        <w:t xml:space="preserve">29.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8"/>
    <w:bookmarkStart w:id="79" w:name="ref-trumbore_quantifying_2002"/>
    <w:p>
      <w:pPr>
        <w:pStyle w:val="Bibliography"/>
      </w:pPr>
      <w:r>
        <w:t xml:space="preserve">30.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9"/>
    <w:bookmarkStart w:id="80" w:name="ref-richardson_seasonal_2013"/>
    <w:p>
      <w:pPr>
        <w:pStyle w:val="Bibliography"/>
      </w:pPr>
      <w:r>
        <w:t xml:space="preserve">31.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0"/>
    <w:bookmarkStart w:id="82" w:name="ref-banburymorgan_global_2021"/>
    <w:p>
      <w:pPr>
        <w:pStyle w:val="Bibliography"/>
      </w:pPr>
      <w:r>
        <w:t xml:space="preserve">32.</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1">
        <w:r>
          <w:rPr>
            <w:rStyle w:val="Hyperlink"/>
          </w:rPr>
          <w:t xml:space="preserve">10.1111/gcb.15574</w:t>
        </w:r>
      </w:hyperlink>
      <w:r>
        <w:t xml:space="preserve">.</w:t>
      </w:r>
    </w:p>
    <w:bookmarkEnd w:id="82"/>
    <w:bookmarkStart w:id="84" w:name="ref-delgado_differences_2020"/>
    <w:p>
      <w:pPr>
        <w:pStyle w:val="Bibliography"/>
      </w:pPr>
      <w:r>
        <w:t xml:space="preserve">33.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83">
        <w:r>
          <w:rPr>
            <w:rStyle w:val="Hyperlink"/>
          </w:rPr>
          <w:t xml:space="preserve">10.1073/pnas.2002713117</w:t>
        </w:r>
      </w:hyperlink>
      <w:r>
        <w:t xml:space="preserve">.</w:t>
      </w:r>
    </w:p>
    <w:bookmarkEnd w:id="84"/>
    <w:bookmarkStart w:id="85" w:name="ref-zhang_drought_2021"/>
    <w:p>
      <w:pPr>
        <w:pStyle w:val="Bibliography"/>
      </w:pPr>
      <w:r>
        <w:t xml:space="preserve">34.</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5"/>
    <w:bookmarkStart w:id="86" w:name="ref-zhang_extended_2020"/>
    <w:p>
      <w:pPr>
        <w:pStyle w:val="Bibliography"/>
      </w:pPr>
      <w:r>
        <w:t xml:space="preserve">35.</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86"/>
    <w:bookmarkStart w:id="88" w:name="ref-friedl_mcd12q2_2019"/>
    <w:p>
      <w:pPr>
        <w:pStyle w:val="Bibliography"/>
      </w:pPr>
      <w:r>
        <w:t xml:space="preserve">36.</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7">
        <w:r>
          <w:rPr>
            <w:rStyle w:val="Hyperlink"/>
          </w:rPr>
          <w:t xml:space="preserve">10.5067/MODIS/MCD12Q2.006</w:t>
        </w:r>
      </w:hyperlink>
      <w:r>
        <w:t xml:space="preserve">.</w:t>
      </w:r>
    </w:p>
    <w:bookmarkEnd w:id="88"/>
    <w:bookmarkStart w:id="89" w:name="ref-bourg_initial_2013"/>
    <w:p>
      <w:pPr>
        <w:pStyle w:val="Bibliography"/>
      </w:pPr>
      <w:r>
        <w:t xml:space="preserve">37.</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9"/>
    <w:bookmarkStart w:id="90" w:name="ref-cook_time_1985"/>
    <w:p>
      <w:pPr>
        <w:pStyle w:val="Bibliography"/>
      </w:pPr>
      <w:r>
        <w:t xml:space="preserve">38.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0"/>
    <w:bookmarkStart w:id="92" w:name="ref-cook_methods_1990"/>
    <w:p>
      <w:pPr>
        <w:pStyle w:val="Bibliography"/>
      </w:pPr>
      <w:r>
        <w:t xml:space="preserve">39.</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1">
        <w:r>
          <w:rPr>
            <w:rStyle w:val="Hyperlink"/>
          </w:rPr>
          <w:t xml:space="preserve">10.1007/978-94-015-7879-0</w:t>
        </w:r>
      </w:hyperlink>
      <w:r>
        <w:t xml:space="preserve">.</w:t>
      </w:r>
    </w:p>
    <w:bookmarkEnd w:id="92"/>
    <w:bookmarkStart w:id="93" w:name="ref-cook_calculating_1997"/>
    <w:p>
      <w:pPr>
        <w:pStyle w:val="Bibliography"/>
      </w:pPr>
      <w:r>
        <w:t xml:space="preserve">40.</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3"/>
    <w:bookmarkStart w:id="94" w:name="ref-jones_estimating_1997"/>
    <w:p>
      <w:pPr>
        <w:pStyle w:val="Bibliography"/>
      </w:pPr>
      <w:r>
        <w:t xml:space="preserve">41.</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4"/>
    <w:bookmarkStart w:id="96" w:name="ref-anderson-teixeira_forestgeo_2020"/>
    <w:p>
      <w:pPr>
        <w:pStyle w:val="Bibliography"/>
      </w:pPr>
      <w:r>
        <w:t xml:space="preserve">42.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5">
        <w:r>
          <w:rPr>
            <w:rStyle w:val="Hyperlink"/>
          </w:rPr>
          <w:t xml:space="preserve">10.5281/ZENODO.4041609</w:t>
        </w:r>
      </w:hyperlink>
      <w:r>
        <w:t xml:space="preserve">.</w:t>
      </w:r>
    </w:p>
    <w:bookmarkEnd w:id="96"/>
    <w:bookmarkStart w:id="97" w:name="ref-harris_version_2020"/>
    <w:p>
      <w:pPr>
        <w:pStyle w:val="Bibliography"/>
      </w:pPr>
      <w:r>
        <w:t xml:space="preserve">43.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7"/>
    <w:bookmarkStart w:id="98" w:name="ref-vandepol_identifying_2016"/>
    <w:p>
      <w:pPr>
        <w:pStyle w:val="Bibliography"/>
      </w:pPr>
      <w:r>
        <w:t xml:space="preserve">44.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bates_fitting_2015"/>
    <w:p>
      <w:pPr>
        <w:pStyle w:val="Bibliography"/>
      </w:pPr>
      <w:r>
        <w:t xml:space="preserve">45.</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9"/>
    <w:bookmarkEnd w:id="100"/>
    <w:bookmarkEnd w:id="10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83" Target="https://doi.org/10.1073/pnas.2002713117" TargetMode="External" /><Relationship Type="http://schemas.openxmlformats.org/officeDocument/2006/relationships/hyperlink" Id="rId59" Target="https://doi.org/10.1088/1748-9326/abed01" TargetMode="External" /><Relationship Type="http://schemas.openxmlformats.org/officeDocument/2006/relationships/hyperlink" Id="rId81"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0" Target="https://github.com/EcoClimLab/growth_phenology/issues/56"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83" Target="https://doi.org/10.1073/pnas.2002713117" TargetMode="External" /><Relationship Type="http://schemas.openxmlformats.org/officeDocument/2006/relationships/hyperlink" Id="rId59" Target="https://doi.org/10.1088/1748-9326/abed01" TargetMode="External" /><Relationship Type="http://schemas.openxmlformats.org/officeDocument/2006/relationships/hyperlink" Id="rId81"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0" Target="https://github.com/EcoClimLab/growth_phenology/issues/56"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2021-04-29T14:53:00Z</dcterms:created>
  <dcterms:modified xsi:type="dcterms:W3CDTF">2021-04-29T14:53:00Z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