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Warm springs alter timing but not total growth of temperate deciduous trees</w:t>
      </w:r>
    </w:p>
    <w:p>
      <w:pPr>
        <w:pStyle w:val="BodyText"/>
      </w:pPr>
      <w:r>
        <w:rPr>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
        </w:rPr>
        <w:t xml:space="preserve">Author Affiliations:</w:t>
      </w:r>
    </w:p>
    <w:p>
      <w:pPr>
        <w:numPr>
          <w:numId w:val="1001"/>
          <w:ilvl w:val="0"/>
        </w:numPr>
      </w:pPr>
      <w:r>
        <w:t xml:space="preserve">Conservation Ecology Center; Smithsonian National Zoo &amp; Conservation Biology Institute; Front Royal, VA 22630, USA</w:t>
      </w:r>
    </w:p>
    <w:p>
      <w:pPr>
        <w:numPr>
          <w:numId w:val="1001"/>
          <w:ilvl w:val="0"/>
        </w:numPr>
      </w:pPr>
      <w:r>
        <w:t xml:space="preserve">Department of Forestry and Natural Resources, Purdue University, West Lafayette, Indiana, USA</w:t>
      </w:r>
    </w:p>
    <w:p>
      <w:pPr>
        <w:numPr>
          <w:numId w:val="1001"/>
          <w:ilvl w:val="0"/>
        </w:numPr>
      </w:pPr>
      <w:r>
        <w:t xml:space="preserve">Statistical &amp; Data Sciences; Smith College; Northampton, MA 01063, USA</w:t>
      </w:r>
    </w:p>
    <w:p>
      <w:pPr>
        <w:numPr>
          <w:numId w:val="1001"/>
          <w:ilvl w:val="0"/>
        </w:numPr>
      </w:pPr>
      <w:r>
        <w:t xml:space="preserve">Harvard Forest, Petersham, MA 01366, USA</w:t>
      </w:r>
    </w:p>
    <w:p>
      <w:pPr>
        <w:numPr>
          <w:numId w:val="1001"/>
          <w:ilvl w:val="0"/>
        </w:numPr>
      </w:pPr>
      <w:r>
        <w:t xml:space="preserve">Faculty of Forestry and Environmental Management, University of New Brunswick, Fredericton, NB, E3B 5A3, Canada.</w:t>
      </w:r>
    </w:p>
    <w:p>
      <w:pPr>
        <w:numPr>
          <w:numId w:val="1001"/>
          <w:ilvl w:val="0"/>
        </w:numPr>
      </w:pPr>
      <w:r>
        <w:t xml:space="preserve">Department of Earth and Spatial Sciences, University of Idaho, ID 83844, USA</w:t>
      </w:r>
    </w:p>
    <w:p>
      <w:pPr>
        <w:numPr>
          <w:numId w:val="1001"/>
          <w:ilvl w:val="0"/>
        </w:numPr>
      </w:pPr>
      <w:r>
        <w:t xml:space="preserve">Department of Geography, Indiana University, Bloomington, IN 47405, USA</w:t>
      </w:r>
    </w:p>
    <w:p>
      <w:pPr>
        <w:numPr>
          <w:numId w:val="1001"/>
          <w:ilvl w:val="0"/>
        </w:numPr>
      </w:pPr>
      <w:r>
        <w:t xml:space="preserve">Center for Geospatial Analytics; North Carolina State University; Raleigh, NC 27607, USA</w:t>
      </w:r>
    </w:p>
    <w:p>
      <w:pPr>
        <w:numPr>
          <w:numId w:val="1001"/>
          <w:ilvl w:val="0"/>
        </w:numPr>
      </w:pPr>
      <w:r>
        <w:t xml:space="preserve">Smithsonian Environmental Research Center, Edgewater, MD, USA</w:t>
      </w:r>
    </w:p>
    <w:p>
      <w:pPr>
        <w:numPr>
          <w:numId w:val="1001"/>
          <w:ilvl w:val="0"/>
        </w:numPr>
      </w:pPr>
      <w:r>
        <w:t xml:space="preserve">Canadian Forest Service, Northern Forestry Centre, Edmonton, Alberta, Canada</w:t>
      </w:r>
    </w:p>
    <w:p>
      <w:pPr>
        <w:numPr>
          <w:numId w:val="1001"/>
          <w:ilvl w:val="0"/>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
        </w:rPr>
        <w:t xml:space="preserve">As the climate changes, warmer spring temperatures are causing earlier leaf-out</w:t>
      </w:r>
      <w:r>
        <w:rPr>
          <w:vertAlign w:val="superscript"/>
          <w:b/>
        </w:rPr>
        <w:t xml:space="preserve">1–3</w:t>
      </w:r>
      <w:r>
        <w:rPr>
          <w:b/>
        </w:rPr>
        <w:t xml:space="preserve"> </w:t>
      </w:r>
      <w:r>
        <w:rPr>
          <w:b/>
        </w:rPr>
        <w:t xml:space="preserve">and commencement of net carbon dioxide (CO</w:t>
      </w:r>
      <w:r>
        <w:rPr>
          <w:vertAlign w:val="subscript"/>
          <w:b/>
        </w:rPr>
        <w:t xml:space="preserve">2</w:t>
      </w:r>
      <w:r>
        <w:rPr>
          <w:b/>
        </w:rPr>
        <w:t xml:space="preserve">) uptake</w:t>
      </w:r>
      <w:r>
        <w:rPr>
          <w:vertAlign w:val="superscript"/>
          <w:b/>
        </w:rPr>
        <w:t xml:space="preserve">1,3</w:t>
      </w:r>
      <w:r>
        <w:rPr>
          <w:b/>
        </w:rPr>
        <w:t xml:space="preserve"> </w:t>
      </w:r>
      <w:r>
        <w:rPr>
          <w:b/>
        </w:rPr>
        <w:t xml:space="preserve">in temperate deciduous forests, resulting in a tendency towards increased growing season length</w:t>
      </w:r>
      <w:r>
        <w:rPr>
          <w:vertAlign w:val="superscript"/>
          <w:b/>
        </w:rPr>
        <w:t xml:space="preserve">3</w:t>
      </w:r>
      <w:r>
        <w:rPr>
          <w:b/>
        </w:rPr>
        <w:t xml:space="preserve"> </w:t>
      </w:r>
      <w:r>
        <w:rPr>
          <w:b/>
        </w:rPr>
        <w:t xml:space="preserve">and annual CO</w:t>
      </w:r>
      <w:r>
        <w:rPr>
          <w:vertAlign w:val="subscript"/>
          <w:b/>
        </w:rPr>
        <w:t xml:space="preserve">2</w:t>
      </w:r>
      <w:r>
        <w:rPr>
          <w:b/>
        </w:rPr>
        <w:t xml:space="preserve"> </w:t>
      </w:r>
      <w:r>
        <w:rPr>
          <w:b/>
        </w:rPr>
        <w:t xml:space="preserve">uptake</w:t>
      </w:r>
      <w:r>
        <w:rPr>
          <w:vertAlign w:val="superscript"/>
          <w:b/>
        </w:rPr>
        <w:t xml:space="preserve">1,3–8</w:t>
      </w:r>
      <w:r>
        <w:rPr>
          <w:b/>
        </w:rPr>
        <w:t xml:space="preserve">.</w:t>
      </w:r>
      <w:r>
        <w:t xml:space="preserve"> </w:t>
      </w:r>
      <w:r>
        <w:rPr>
          <w:b/>
        </w:rPr>
        <w:t xml:space="preserve">However, less is known about how spring temperatures affect tree stem growth</w:t>
      </w:r>
      <w:r>
        <w:rPr>
          <w:vertAlign w:val="superscript"/>
          <w:b/>
        </w:rPr>
        <w:t xml:space="preserve">9,10</w:t>
      </w:r>
      <w:r>
        <w:rPr>
          <w:b/>
        </w:rPr>
        <w:t xml:space="preserve">, which sequesters carbon (C) in wood that has a long residence time in the ecosystem</w:t>
      </w:r>
      <w:r>
        <w:rPr>
          <w:vertAlign w:val="superscript"/>
          <w:b/>
        </w:rPr>
        <w:t xml:space="preserve">11,12</w:t>
      </w:r>
      <w:r>
        <w:rPr>
          <w:b/>
        </w:rPr>
        <w:t xml:space="preserve">.</w:t>
      </w:r>
      <w:r>
        <w:t xml:space="preserve"> </w:t>
      </w:r>
      <w:r>
        <w:rPr>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
        </w:rPr>
        <w:t xml:space="preserve">These findings imply that any extra CO</w:t>
      </w:r>
      <w:r>
        <w:rPr>
          <w:vertAlign w:val="subscript"/>
          <w:b/>
        </w:rPr>
        <w:t xml:space="preserve">2</w:t>
      </w:r>
      <w:r>
        <w:rPr>
          <w:b/>
        </w:rPr>
        <w:t xml:space="preserve"> </w:t>
      </w:r>
      <w:r>
        <w:rPr>
          <w:b/>
        </w:rPr>
        <w:t xml:space="preserve">uptake in years with warmer springs</w:t>
      </w:r>
      <w:r>
        <w:rPr>
          <w:vertAlign w:val="superscript"/>
          <w:b/>
        </w:rPr>
        <w:t xml:space="preserve">4–6</w:t>
      </w:r>
      <w:r>
        <w:rPr>
          <w:b/>
        </w:rPr>
        <w:t xml:space="preserve"> </w:t>
      </w:r>
      <w:r>
        <w:rPr>
          <w:b/>
        </w:rPr>
        <w:t xml:space="preserve">does not significantly contribute to increased sequestration in long-lived woody stem biomass.</w:t>
      </w:r>
      <w:r>
        <w:t xml:space="preserve"> </w:t>
      </w:r>
      <w:r>
        <w:rPr>
          <w:b/>
        </w:rPr>
        <w:t xml:space="preserve">Rather, contradicting projections from global C cycle models</w:t>
      </w:r>
      <w:r>
        <w:rPr>
          <w:vertAlign w:val="superscript"/>
          <w:b/>
        </w:rPr>
        <w:t xml:space="preserve">1,13</w:t>
      </w:r>
      <w:r>
        <w:rPr>
          <w:b/>
        </w:rPr>
        <w:t xml:space="preserve">, our empirical results imply that warming spring temperatures are unlikely to increase woody productivity enough to strengthen the long-term CO</w:t>
      </w:r>
      <w:r>
        <w:rPr>
          <w:vertAlign w:val="subscript"/>
          <w:b/>
        </w:rPr>
        <w:t xml:space="preserve">2</w:t>
      </w:r>
      <w:r>
        <w:rPr>
          <w:b/>
        </w:rPr>
        <w:t xml:space="preserve"> </w:t>
      </w:r>
      <w:r>
        <w:rPr>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14</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14</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15</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16–18</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1,3,19</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1,19</w:t>
      </w:r>
      <w:r>
        <w:t xml:space="preserve">.</w:t>
      </w:r>
      <w:r>
        <w:t xml:space="preserve"> </w:t>
      </w:r>
      <w:r>
        <w:t xml:space="preserve">Based on these observations, current terrestrial ecosystem models represent warm springs and longer growing seasons as contributing positively to annual gross primary productivity (GPP) and net CO</w:t>
      </w:r>
      <w:r>
        <w:rPr>
          <w:vertAlign w:val="subscript"/>
        </w:rPr>
        <w:t xml:space="preserve">2</w:t>
      </w:r>
      <w:r>
        <w:t xml:space="preserve"> </w:t>
      </w:r>
      <w:r>
        <w:t xml:space="preserve">uptake (i.e., net ecosystem exchange, NEE)</w:t>
      </w:r>
      <w:r>
        <w:rPr>
          <w:vertAlign w:val="superscript"/>
        </w:rPr>
        <w:t xml:space="preserve">2,13,16</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11,12</w:t>
      </w:r>
      <w:r>
        <w:t xml:space="preserve">, as opposed to being rapidly released back to the atmosphere through respiration</w:t>
      </w:r>
      <w:r>
        <w:rPr>
          <w:vertAlign w:val="superscript"/>
        </w:rPr>
        <w:t xml:space="preserve">20,21</w:t>
      </w:r>
      <w:r>
        <w:t xml:space="preserve">.</w:t>
      </w:r>
      <w:r>
        <w:t xml:space="preserve"> </w:t>
      </w:r>
      <w:r>
        <w:t xml:space="preserve">Model representation of C allocation to stem growth – or woody aboveground net primary productivity (ANPP</w:t>
      </w:r>
      <w:r>
        <w:rPr>
          <w:vertAlign w:val="subscript"/>
        </w:rPr>
        <w:t xml:space="preserve">woody</w:t>
      </w:r>
      <w:r>
        <w:t xml:space="preserve">) on the ecosystem level – does not capture known decoupling of stem growth from photosynthate production</w:t>
      </w:r>
      <w:r>
        <w:rPr>
          <w:vertAlign w:val="superscript"/>
        </w:rPr>
        <w:t xml:space="preserve">10,18,22</w:t>
      </w:r>
      <w:r>
        <w:t xml:space="preserve">.</w:t>
      </w:r>
      <w:r>
        <w:t xml:space="preserve"> </w:t>
      </w:r>
      <w:r>
        <w:t xml:space="preserve">As a result, the consequences of rising spring temperatures on stem growth may not be accurately represented in models</w:t>
      </w:r>
      <w:r>
        <w:rPr>
          <w:vertAlign w:val="superscript"/>
        </w:rPr>
        <w:t xml:space="preserve">10,18</w:t>
      </w:r>
      <w:r>
        <w:t xml:space="preserve">.</w:t>
      </w:r>
      <w:r>
        <w:t xml:space="preserve"> </w:t>
      </w:r>
      <w:r>
        <w:t xml:space="preserve">Understanding the sensitivity of ANPP</w:t>
      </w:r>
      <w:r>
        <w:rPr>
          <w:vertAlign w:val="subscript"/>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23,24</w:t>
      </w:r>
      <w:r>
        <w:t xml:space="preserve"> </w:t>
      </w:r>
      <w:r>
        <w:t xml:space="preserve">and increased annual growth in mesic climates</w:t>
      </w:r>
      <w:r>
        <w:rPr>
          <w:vertAlign w:val="superscript"/>
        </w:rPr>
        <w:t xml:space="preserve">25,26</w:t>
      </w:r>
      <w:r>
        <w:t xml:space="preserve">.</w:t>
      </w:r>
      <w:r>
        <w:t xml:space="preserve"> </w:t>
      </w:r>
      <w:r>
        <w:t xml:space="preserve">In contrast, we have little evidence as to how stem growth and ANPP</w:t>
      </w:r>
      <w:r>
        <w:rPr>
          <w:vertAlign w:val="subscript"/>
        </w:rPr>
        <w:t xml:space="preserve">woody</w:t>
      </w:r>
      <w:r>
        <w:t xml:space="preserve"> </w:t>
      </w:r>
      <w:r>
        <w:t xml:space="preserve">respond to warmer spring temperatures in deciduous forests</w:t>
      </w:r>
      <w:r>
        <w:rPr>
          <w:vertAlign w:val="superscript"/>
        </w:rPr>
        <w:t xml:space="preserve">9,10</w:t>
      </w:r>
      <w:r>
        <w:t xml:space="preserve">.</w:t>
      </w:r>
      <w:r>
        <w:t xml:space="preserve"> </w:t>
      </w:r>
      <w:r>
        <w:t xml:space="preserve">Close coordination of budburst and initiation of xylogenesis</w:t>
      </w:r>
      <w:r>
        <w:rPr>
          <w:vertAlign w:val="superscript"/>
        </w:rPr>
        <w:t xml:space="preserve">10</w:t>
      </w:r>
      <w:r>
        <w:t xml:space="preserve"> </w:t>
      </w:r>
      <w:r>
        <w:t xml:space="preserve">suggests that warm springs should shift the onset of growth earlier alongside observed advances in leaf phenology</w:t>
      </w:r>
      <w:r>
        <w:rPr>
          <w:vertAlign w:val="superscript"/>
        </w:rPr>
        <w:t xml:space="preserve">1–3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27,28</w:t>
      </w:r>
      <w:r>
        <w:t xml:space="preserve">, and annual growth is more closely linked to conditions within the growing season than to growing season length</w:t>
      </w:r>
      <w:r>
        <w:rPr>
          <w:vertAlign w:val="superscript"/>
        </w:rPr>
        <w:t xml:space="preserve">29</w:t>
      </w:r>
      <w:r>
        <w:t xml:space="preserve">, GPP</w:t>
      </w:r>
      <w:r>
        <w:rPr>
          <w:vertAlign w:val="superscript"/>
        </w:rPr>
        <w:t xml:space="preserve">22</w:t>
      </w:r>
      <w:r>
        <w:t xml:space="preserve">, or NEE</w:t>
      </w:r>
      <w:r>
        <w:rPr>
          <w:vertAlign w:val="superscript"/>
        </w:rPr>
        <w:t xml:space="preserve">22</w:t>
      </w:r>
      <w:r>
        <w:t xml:space="preserve">.</w:t>
      </w:r>
      <w:r>
        <w:t xml:space="preserve"> </w:t>
      </w:r>
      <w:r>
        <w:t xml:space="preserve">Furthermore, growth of broadleaf deciduous trees may be sink-saturated</w:t>
      </w:r>
      <w:r>
        <w:rPr>
          <w:vertAlign w:val="superscript"/>
        </w:rPr>
        <w:t xml:space="preserve">18,30</w:t>
      </w:r>
      <w:r>
        <w:t xml:space="preserve">, such that longer growing seasons with more C fixation do not necessarily augment growth</w:t>
      </w:r>
      <w:r>
        <w:rPr>
          <w:vertAlign w:val="superscript"/>
        </w:rPr>
        <w:t xml:space="preserve">22,31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26,33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1,19</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p>
      <w:pPr>
        <w:pStyle w:val="Heading2"/>
      </w:pPr>
      <w:bookmarkStart w:id="21" w:name="Dendrometer"/>
      <w:r>
        <w:t xml:space="preserve">Dendrometer band analysis</w:t>
      </w:r>
      <w:bookmarkEnd w:id="21"/>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
        </w:rPr>
        <w:t xml:space="preserve">DOY</w:t>
      </w:r>
      <w:r>
        <w:rPr>
          <w:vertAlign w:val="subscript"/>
          <w:i/>
        </w:rPr>
        <w:t xml:space="preserve">25</w:t>
      </w:r>
      <w:r>
        <w:t xml:space="preserve">,</w:t>
      </w:r>
      <w:r>
        <w:t xml:space="preserve"> </w:t>
      </w:r>
      <w:r>
        <w:rPr>
          <w:i/>
        </w:rPr>
        <w:t xml:space="preserve">DOY</w:t>
      </w:r>
      <w:r>
        <w:rPr>
          <w:vertAlign w:val="subscript"/>
          <w:i/>
        </w:rPr>
        <w:t xml:space="preserve">50</w:t>
      </w:r>
      <w:r>
        <w:t xml:space="preserve">,</w:t>
      </w:r>
      <w:r>
        <w:t xml:space="preserve"> </w:t>
      </w:r>
      <w:r>
        <w:rPr>
          <w:i/>
        </w:rPr>
        <w:t xml:space="preserve">DOY</w:t>
      </w:r>
      <w:r>
        <w:rPr>
          <w:vertAlign w:val="subscript"/>
          <w:i/>
        </w:rPr>
        <w:t xml:space="preserve">75</w:t>
      </w:r>
      <w:r>
        <w:t xml:space="preserve">), peak growing season length (</w:t>
      </w:r>
      <w:r>
        <w:rPr>
          <w:i/>
        </w:rPr>
        <w:t xml:space="preserve">L</w:t>
      </w:r>
      <w:r>
        <w:rPr>
          <w:vertAlign w:val="subscript"/>
          <w:i/>
        </w:rPr>
        <w:t xml:space="preserve">pgs</w:t>
      </w:r>
      <w:r>
        <w:rPr>
          <w:i/>
        </w:rPr>
        <w:t xml:space="preserve"> </w:t>
      </w:r>
      <w:r>
        <w:rPr>
          <w:i/>
        </w:rPr>
        <w:t xml:space="preserve">= DOY</w:t>
      </w:r>
      <w:r>
        <w:rPr>
          <w:vertAlign w:val="subscript"/>
          <w:i/>
        </w:rPr>
        <w:t xml:space="preserve">75</w:t>
      </w:r>
      <w:r>
        <w:rPr>
          <w:i/>
        </w:rPr>
        <w:t xml:space="preserve"> </w:t>
      </w:r>
      <w:r>
        <w:rPr>
          <w:i/>
        </w:rPr>
        <w:t xml:space="preserve">- DOY</w:t>
      </w:r>
      <w:r>
        <w:rPr>
          <w:vertAlign w:val="subscript"/>
          <w:i/>
        </w:rPr>
        <w:t xml:space="preserve">25</w:t>
      </w:r>
      <w:r>
        <w:t xml:space="preserve">), the maximum growth rate (</w:t>
      </w:r>
      <w:r>
        <w:rPr>
          <w:i/>
        </w:rPr>
        <w:t xml:space="preserve">g</w:t>
      </w:r>
      <w:r>
        <w:rPr>
          <w:vertAlign w:val="subscript"/>
          <w:i/>
        </w:rPr>
        <w:t xml:space="preserve">max</w:t>
      </w:r>
      <w:r>
        <w:t xml:space="preserve">), and total annual increment in diameter at breast height (</w:t>
      </w:r>
      <m:oMath>
        <m:r>
          <m:t>Δ</m:t>
        </m:r>
        <m:r>
          <m:t>D</m:t>
        </m:r>
        <m:r>
          <m:t>B</m:t>
        </m:r>
        <m:r>
          <m:t>H</m:t>
        </m:r>
      </m:oMath>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w:t>
      </w:r>
      <w:r>
        <w:rPr>
          <w:vertAlign w:val="superscript"/>
        </w:rPr>
        <w:t xml:space="preserve">28,35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 Extended Data Figures 4-5).</w:t>
      </w:r>
      <w:r>
        <w:t xml:space="preserve"> </w:t>
      </w:r>
      <w:r>
        <w:t xml:space="preserve">We found a consistent effect of temperature (</w:t>
      </w:r>
      <w:r>
        <w:rPr>
          <w:i/>
        </w:rPr>
        <w:t xml:space="preserve">T</w:t>
      </w:r>
      <w:r>
        <w:rPr>
          <w:vertAlign w:val="subscript"/>
          <w:i/>
        </w:rPr>
        <w:t xml:space="preserve">max</w:t>
      </w:r>
      <w:r>
        <w:t xml:space="preserve"> </w:t>
      </w:r>
      <w:r>
        <w:t xml:space="preserve">or</w:t>
      </w:r>
      <w:r>
        <w:t xml:space="preserve"> </w:t>
      </w:r>
      <w:r>
        <w:rPr>
          <w:i/>
        </w:rPr>
        <w:t xml:space="preserve">T</w:t>
      </w:r>
      <w:r>
        <w:rPr>
          <w:vertAlign w:val="subscript"/>
          <w:i/>
        </w:rPr>
        <w:t xml:space="preserve">min</w:t>
      </w:r>
      <w:r>
        <w:t xml:space="preserve">) throughout the spring, but the strongest effects on stem growth timing were found using</w:t>
      </w:r>
      <w:r>
        <w:t xml:space="preserve"> </w:t>
      </w:r>
      <w:r>
        <w:rPr>
          <w:i/>
        </w:rPr>
        <w:t xml:space="preserve">T</w:t>
      </w:r>
      <w:r>
        <w:rPr>
          <w:vertAlign w:val="subscript"/>
          <w:i/>
        </w:rPr>
        <w:t xml:space="preserve">max</w:t>
      </w:r>
      <w:r>
        <w:t xml:space="preserve"> </w:t>
      </w:r>
      <w:r>
        <w:t xml:space="preserve">during a critical temperature window (CTW).</w:t>
      </w:r>
      <w:r>
        <w:t xml:space="preserve"> </w:t>
      </w:r>
      <w:r>
        <w:t xml:space="preserve">CTW was identified by assessing the correlation between weekly</w:t>
      </w:r>
      <w:r>
        <w:t xml:space="preserve"> </w:t>
      </w:r>
      <w:r>
        <w:rPr>
          <w:i/>
        </w:rPr>
        <w:t xml:space="preserve">T</w:t>
      </w:r>
      <w:r>
        <w:rPr>
          <w:vertAlign w:val="subscript"/>
          <w:i/>
        </w:rPr>
        <w:t xml:space="preserve">max</w:t>
      </w:r>
      <w:r>
        <w:t xml:space="preserve"> </w:t>
      </w:r>
      <w:r>
        <w:t xml:space="preserve">and</w:t>
      </w:r>
      <w:r>
        <w:t xml:space="preserve"> </w:t>
      </w:r>
      <w:r>
        <w:rPr>
          <w:i/>
        </w:rPr>
        <w:t xml:space="preserve">DOY</w:t>
      </w:r>
      <w:r>
        <w:rPr>
          <w:vertAlign w:val="subscript"/>
          <w:i/>
        </w:rPr>
        <w:t xml:space="preserve">25</w:t>
      </w:r>
      <w:r>
        <w:t xml:space="preserve"> </w:t>
      </w:r>
      <w:r>
        <w:t xml:space="preserve">for all combinations of consecutive weeks from January 1 to mean</w:t>
      </w:r>
      <w:r>
        <w:t xml:space="preserve"> </w:t>
      </w:r>
      <w:r>
        <w:rPr>
          <w:i/>
        </w:rPr>
        <w:t xml:space="preserve">DOY</w:t>
      </w:r>
      <w:r>
        <w:rPr>
          <w:vertAlign w:val="subscript"/>
          <w:i/>
        </w:rPr>
        <w:t xml:space="preserve">25</w:t>
      </w:r>
      <w:r>
        <w:t xml:space="preserve"> </w:t>
      </w:r>
      <w:r>
        <w:t xml:space="preserve">for each xylem architecture-site combination (Extended Data Figure 3).</w:t>
      </w:r>
      <w:r>
        <w:t xml:space="preserve"> </w:t>
      </w:r>
      <w:r>
        <w:t xml:space="preserve">The CTW was defined as the weeks for which this correlation was strongest, and mean</w:t>
      </w:r>
      <w:r>
        <w:t xml:space="preserve"> </w:t>
      </w:r>
      <w:r>
        <w:rPr>
          <w:i/>
        </w:rPr>
        <w:t xml:space="preserve">T</w:t>
      </w:r>
      <w:r>
        <w:rPr>
          <w:vertAlign w:val="subscript"/>
          <w:i/>
        </w:rPr>
        <w:t xml:space="preserve">max</w:t>
      </w:r>
      <w:r>
        <w:t xml:space="preserve"> </w:t>
      </w:r>
      <w:r>
        <w:t xml:space="preserve">during this period (CTW</w:t>
      </w:r>
      <w:r>
        <w:t xml:space="preserve"> </w:t>
      </w:r>
      <w:r>
        <w:rPr>
          <w:i/>
        </w:rPr>
        <w:t xml:space="preserve">T</w:t>
      </w:r>
      <w:r>
        <w:rPr>
          <w:vertAlign w:val="subscript"/>
          <w:i/>
        </w:rPr>
        <w:t xml:space="preserve">max</w:t>
      </w:r>
      <w:r>
        <w:t xml:space="preserve">) used as our independent variable.</w:t>
      </w:r>
    </w:p>
    <w:p>
      <w:pPr>
        <w:pStyle w:val="BodyText"/>
      </w:pPr>
      <w:r>
        <w:t xml:space="preserve">For ring- and diffuse- porous species at both sites, warmer CTW</w:t>
      </w:r>
      <w:r>
        <w:t xml:space="preserve"> </w:t>
      </w:r>
      <w:r>
        <w:rPr>
          <w:i/>
        </w:rPr>
        <w:t xml:space="preserve">T</w:t>
      </w:r>
      <w:r>
        <w:rPr>
          <w:vertAlign w:val="subscript"/>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w:t>
      </w:r>
      <m:oMath>
        <m:sSup>
          <m:e>
            <m:r>
              <m:t>​</m:t>
            </m:r>
          </m:e>
          <m:sup>
            <m:r>
              <m:t>∘</m:t>
            </m:r>
          </m:sup>
        </m:sSup>
      </m:oMath>
      <w:r>
        <w:t xml:space="preserve">C at SCBI (p=0.016) and 2.4 days/</w:t>
      </w:r>
      <w:r>
        <w:t xml:space="preserve"> </w:t>
      </w:r>
      <m:oMath>
        <m:sSup>
          <m:e>
            <m:r>
              <m:t>​</m:t>
            </m:r>
          </m:e>
          <m:sup>
            <m:r>
              <m:t>∘</m:t>
            </m:r>
          </m:sup>
        </m:sSup>
      </m:oMath>
      <w:r>
        <w:t xml:space="preserve">C at Harvard Forest (p=0.1).</w:t>
      </w:r>
      <w:r>
        <w:t xml:space="preserve"> </w:t>
      </w:r>
      <w:r>
        <w:t xml:space="preserve">Similarly, with the exception of ring porous</w:t>
      </w:r>
      <w:r>
        <w:t xml:space="preserve"> </w:t>
      </w:r>
      <w:r>
        <w:rPr>
          <w:i/>
        </w:rPr>
        <w:t xml:space="preserve">DOY</w:t>
      </w:r>
      <w:r>
        <w:rPr>
          <w:vertAlign w:val="subscript"/>
          <w:i/>
        </w:rPr>
        <w:t xml:space="preserve">75</w:t>
      </w:r>
      <w:r>
        <w:t xml:space="preserve"> </w:t>
      </w:r>
      <w:r>
        <w:t xml:space="preserve">at SCBI, the stem growth milestones</w:t>
      </w:r>
      <w:r>
        <w:t xml:space="preserve"> </w:t>
      </w:r>
      <w:r>
        <w:rPr>
          <w:i/>
        </w:rPr>
        <w:t xml:space="preserve">DOY</w:t>
      </w:r>
      <w:r>
        <w:rPr>
          <w:vertAlign w:val="subscript"/>
          <w:i/>
        </w:rPr>
        <w:t xml:space="preserve">25</w:t>
      </w:r>
      <w:r>
        <w:t xml:space="preserve">,</w:t>
      </w:r>
      <w:r>
        <w:t xml:space="preserve"> </w:t>
      </w:r>
      <w:r>
        <w:rPr>
          <w:i/>
        </w:rPr>
        <w:t xml:space="preserve">DOY</w:t>
      </w:r>
      <w:r>
        <w:rPr>
          <w:vertAlign w:val="subscript"/>
          <w:i/>
        </w:rPr>
        <w:t xml:space="preserve">50</w:t>
      </w:r>
      <w:r>
        <w:t xml:space="preserve">, and</w:t>
      </w:r>
      <w:r>
        <w:t xml:space="preserve"> </w:t>
      </w:r>
      <w:r>
        <w:rPr>
          <w:i/>
        </w:rPr>
        <w:t xml:space="preserve">DOY</w:t>
      </w:r>
      <w:r>
        <w:rPr>
          <w:vertAlign w:val="subscript"/>
          <w:i/>
        </w:rPr>
        <w:t xml:space="preserve">75</w:t>
      </w:r>
      <w:r>
        <w:t xml:space="preserve"> </w:t>
      </w:r>
      <w:r>
        <w:t xml:space="preserve">decreased with CTW</w:t>
      </w:r>
      <w:r>
        <w:t xml:space="preserve"> </w:t>
      </w:r>
      <w:r>
        <w:rPr>
          <w:i/>
        </w:rPr>
        <w:t xml:space="preserve">T</w:t>
      </w:r>
      <w:r>
        <w:rPr>
          <w:vertAlign w:val="subscript"/>
          <w:i/>
        </w:rPr>
        <w:t xml:space="preserve">max</w:t>
      </w:r>
      <w:r>
        <w:t xml:space="preserve"> </w:t>
      </w:r>
      <w:r>
        <w:t xml:space="preserve">(Figs. 1, 2c-d; Extended Data Figures 4-5).</w:t>
      </w:r>
      <w:r>
        <w:t xml:space="preserve"> </w:t>
      </w:r>
      <w:r>
        <w:t xml:space="preserve">Specifically,</w:t>
      </w:r>
      <w:r>
        <w:t xml:space="preserve"> </w:t>
      </w:r>
      <w:r>
        <w:rPr>
          <w:i/>
        </w:rPr>
        <w:t xml:space="preserve">DOY</w:t>
      </w:r>
      <w:r>
        <w:rPr>
          <w:vertAlign w:val="subscript"/>
          <w:i/>
        </w:rPr>
        <w:t xml:space="preserve">25</w:t>
      </w:r>
      <w:r>
        <w:t xml:space="preserve">,</w:t>
      </w:r>
      <w:r>
        <w:t xml:space="preserve"> </w:t>
      </w:r>
      <w:r>
        <w:rPr>
          <w:i/>
        </w:rPr>
        <w:t xml:space="preserve">DOY</w:t>
      </w:r>
      <w:r>
        <w:rPr>
          <w:vertAlign w:val="subscript"/>
          <w:i/>
        </w:rPr>
        <w:t xml:space="preserve">50</w:t>
      </w:r>
      <w:r>
        <w:t xml:space="preserve">, and</w:t>
      </w:r>
      <w:r>
        <w:t xml:space="preserve"> </w:t>
      </w:r>
      <w:r>
        <w:rPr>
          <w:i/>
        </w:rPr>
        <w:t xml:space="preserve">DOY</w:t>
      </w:r>
      <w:r>
        <w:rPr>
          <w:vertAlign w:val="subscript"/>
          <w:i/>
        </w:rPr>
        <w:t xml:space="preserve">75</w:t>
      </w:r>
      <w:r>
        <w:t xml:space="preserve"> </w:t>
      </w:r>
      <w:r>
        <w:t xml:space="preserve">advanced 0-1.7 days/</w:t>
      </w:r>
      <w:r>
        <w:t xml:space="preserve"> </w:t>
      </w:r>
      <m:oMath>
        <m:sSup>
          <m:e>
            <m:r>
              <m:t>​</m:t>
            </m:r>
          </m:e>
          <m:sup>
            <m:r>
              <m:t>∘</m:t>
            </m:r>
          </m:sup>
        </m:sSup>
      </m:oMath>
      <w:r>
        <w:t xml:space="preserve">C for ring porous species and 2.8-2.9 days/</w:t>
      </w:r>
      <w:r>
        <w:t xml:space="preserve"> </w:t>
      </w:r>
      <m:oMath>
        <m:sSup>
          <m:e>
            <m:r>
              <m:t>​</m:t>
            </m:r>
          </m:e>
          <m:sup>
            <m:r>
              <m:t>∘</m:t>
            </m:r>
          </m:sup>
        </m:sSup>
      </m:oMath>
      <w:r>
        <w:t xml:space="preserve">C for diffuse porous species at SCBI, and 10.3-12.3 days/</w:t>
      </w:r>
      <w:r>
        <w:t xml:space="preserve"> </w:t>
      </w:r>
      <m:oMath>
        <m:sSup>
          <m:e>
            <m:r>
              <m:t>​</m:t>
            </m:r>
          </m:e>
          <m:sup>
            <m:r>
              <m:t>∘</m:t>
            </m:r>
          </m:sup>
        </m:sSup>
      </m:oMath>
      <w:r>
        <w:t xml:space="preserve">C for ring porous species and 0.9-4.2 days/</w:t>
      </w:r>
      <w:r>
        <w:t xml:space="preserve"> </w:t>
      </w:r>
      <m:oMath>
        <m:sSup>
          <m:e>
            <m:r>
              <m:t>​</m:t>
            </m:r>
          </m:e>
          <m:sup>
            <m:r>
              <m:t>∘</m:t>
            </m:r>
          </m:sup>
        </m:sSup>
      </m:oMath>
      <w:r>
        <w:t xml:space="preserve">C for diffuse porous species at Harvard Forest (Extended Data Table 2).</w:t>
      </w:r>
    </w:p>
    <w:p>
      <w:pPr>
        <w:pStyle w:val="BodyText"/>
      </w:pPr>
      <w:r>
        <w:t xml:space="preserve">Whereas the length of time between canopy greenup and senescence (</w:t>
      </w:r>
      <w:r>
        <w:rPr>
          <w:i/>
        </w:rPr>
        <w:t xml:space="preserve">i.e.,</w:t>
      </w:r>
      <w:r>
        <w:t xml:space="preserve"> </w:t>
      </w:r>
      <w:r>
        <w:t xml:space="preserve">the day when greenness dropped below 90% of its peak) increased with the CTW</w:t>
      </w:r>
      <w:r>
        <w:t xml:space="preserve"> </w:t>
      </w:r>
      <w:r>
        <w:rPr>
          <w:i/>
        </w:rPr>
        <w:t xml:space="preserve">T</w:t>
      </w:r>
      <w:r>
        <w:rPr>
          <w:vertAlign w:val="subscript"/>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
        </w:rPr>
        <w:t xml:space="preserve">L</w:t>
      </w:r>
      <w:r>
        <w:rPr>
          <w:vertAlign w:val="subscript"/>
          <w:i/>
        </w:rPr>
        <w:t xml:space="preserve">pgs</w:t>
      </w:r>
      <w:r>
        <w:t xml:space="preserve"> </w:t>
      </w:r>
      <w:r>
        <w:t xml:space="preserve">(Fig. 1, Extended Data Figures 4-5).</w:t>
      </w:r>
    </w:p>
    <w:p>
      <w:pPr>
        <w:pStyle w:val="BodyText"/>
      </w:pPr>
      <w:r>
        <w:t xml:space="preserve">In contrast to the pronounced effects of CTW</w:t>
      </w:r>
      <w:r>
        <w:t xml:space="preserve"> </w:t>
      </w:r>
      <w:r>
        <w:rPr>
          <w:i/>
        </w:rPr>
        <w:t xml:space="preserve">T</w:t>
      </w:r>
      <w:r>
        <w:rPr>
          <w:vertAlign w:val="subscript"/>
          <w:i/>
        </w:rPr>
        <w:t xml:space="preserve">max</w:t>
      </w:r>
      <w:r>
        <w:t xml:space="preserve"> </w:t>
      </w:r>
      <w:r>
        <w:t xml:space="preserve">on the timing of growth, its effects on</w:t>
      </w:r>
      <w:r>
        <w:t xml:space="preserve"> </w:t>
      </w:r>
      <w:r>
        <w:rPr>
          <w:i/>
        </w:rPr>
        <w:t xml:space="preserve">g</w:t>
      </w:r>
      <w:r>
        <w:rPr>
          <w:vertAlign w:val="subscript"/>
          <w:i/>
        </w:rPr>
        <w:t xml:space="preserve">max</w:t>
      </w:r>
      <w:r>
        <w:t xml:space="preserve"> </w:t>
      </w:r>
      <w:r>
        <w:t xml:space="preserve">and</w:t>
      </w:r>
      <w:r>
        <w:t xml:space="preserve"> </w:t>
      </w:r>
      <m:oMath>
        <m:r>
          <m:t>Δ</m:t>
        </m:r>
        <m:r>
          <m:t>D</m:t>
        </m:r>
        <m:r>
          <m:t>B</m:t>
        </m:r>
        <m:r>
          <m:t>H</m:t>
        </m:r>
      </m:oMath>
      <w:r>
        <w:t xml:space="preserve"> </w:t>
      </w:r>
      <w:r>
        <w:t xml:space="preserve">were inconsistent, and usually weak (Fig. 1, Extended Data Figures 4-5).</w:t>
      </w:r>
      <w:r>
        <w:t xml:space="preserve"> </w:t>
      </w:r>
      <w:r>
        <w:t xml:space="preserve">Specifically,</w:t>
      </w:r>
      <w:r>
        <w:t xml:space="preserve"> </w:t>
      </w:r>
      <w:r>
        <w:rPr>
          <w:i/>
        </w:rPr>
        <w:t xml:space="preserve">g</w:t>
      </w:r>
      <w:r>
        <w:rPr>
          <w:vertAlign w:val="subscript"/>
          <w:i/>
        </w:rPr>
        <w:t xml:space="preserve">max</w:t>
      </w:r>
      <w:r>
        <w:t xml:space="preserve">, which occurred on average within 5 days of</w:t>
      </w:r>
      <w:r>
        <w:t xml:space="preserve"> </w:t>
      </w:r>
      <w:r>
        <w:rPr>
          <w:i/>
        </w:rPr>
        <w:t xml:space="preserve">DOY</w:t>
      </w:r>
      <w:r>
        <w:rPr>
          <w:vertAlign w:val="subscript"/>
          <w:i/>
        </w:rPr>
        <w:t xml:space="preserve">50</w:t>
      </w:r>
      <w:r>
        <w:t xml:space="preserve">, displayed extremely small negative changes (Harvard Forest) or changes in opposite directions (SCBI) in relationship to CTW</w:t>
      </w:r>
      <w:r>
        <w:t xml:space="preserve"> </w:t>
      </w:r>
      <w:r>
        <w:rPr>
          <w:i/>
        </w:rPr>
        <w:t xml:space="preserve">T</w:t>
      </w:r>
      <w:r>
        <w:rPr>
          <w:vertAlign w:val="subscript"/>
          <w:i/>
        </w:rPr>
        <w:t xml:space="preserve">max</w:t>
      </w:r>
      <w:r>
        <w:t xml:space="preserve"> </w:t>
      </w:r>
      <w:r>
        <w:t xml:space="preserve">for ring- and diffuse- porous species.</w:t>
      </w:r>
      <w:r>
        <w:t xml:space="preserve"> </w:t>
      </w:r>
      <m:oMath>
        <m:r>
          <m:t>Δ</m:t>
        </m:r>
        <m:r>
          <m:t>D</m:t>
        </m:r>
        <m:r>
          <m:t>B</m:t>
        </m:r>
        <m:r>
          <m:t>H</m:t>
        </m:r>
      </m:oMath>
      <w:r>
        <w:t xml:space="preserve"> </w:t>
      </w:r>
      <w:r>
        <w:t xml:space="preserve">displayed a weak positive relationship (+0.003-0.008 cm/</w:t>
      </w:r>
      <w:r>
        <w:t xml:space="preserve"> </w:t>
      </w:r>
      <m:oMath>
        <m:sSup>
          <m:e>
            <m:r>
              <m:t>​</m:t>
            </m:r>
          </m:e>
          <m:sup>
            <m:r>
              <m:t>∘</m:t>
            </m:r>
          </m:sup>
        </m:sSup>
      </m:oMath>
      <w:r>
        <w:t xml:space="preserve">C) with CTW</w:t>
      </w:r>
      <w:r>
        <w:t xml:space="preserve"> </w:t>
      </w:r>
      <w:r>
        <w:rPr>
          <w:i/>
        </w:rPr>
        <w:t xml:space="preserve">T</w:t>
      </w:r>
      <w:r>
        <w:rPr>
          <w:vertAlign w:val="subscript"/>
          <w:i/>
        </w:rPr>
        <w:t xml:space="preserve">max</w:t>
      </w:r>
      <w:r>
        <w:t xml:space="preserve"> </w:t>
      </w:r>
      <w:r>
        <w:t xml:space="preserve">at SCBI and a weak negative relationship (-0.02-0.003 cm/</w:t>
      </w:r>
      <w:r>
        <w:t xml:space="preserve"> </w:t>
      </w:r>
      <m:oMath>
        <m:sSup>
          <m:e>
            <m:r>
              <m:t>​</m:t>
            </m:r>
          </m:e>
          <m:sup>
            <m:r>
              <m:t>∘</m:t>
            </m:r>
          </m:sup>
        </m:sSup>
      </m:oMath>
      <w:r>
        <w:t xml:space="preserve">C) at Harvard Forest (Extended Data Figure 4).</w:t>
      </w:r>
    </w:p>
    <w:p>
      <w:pPr>
        <w:pStyle w:val="Heading2"/>
      </w:pPr>
      <w:bookmarkStart w:id="22" w:name="Tree"/>
      <w:r>
        <w:t xml:space="preserve">Tree-ring analysis</w:t>
      </w:r>
      <w:bookmarkEnd w:id="22"/>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1; Extended Data Table 3).</w:t>
      </w:r>
      <w:r>
        <w:t xml:space="preserve"> </w:t>
      </w:r>
      <w:r>
        <w:t xml:space="preserve">In total, our analysis included 207 chronologies representing 24 broadleaf species at 108 sites distributed from Alabama (34.35</w:t>
      </w:r>
      <m:oMath>
        <m:sSup>
          <m:e>
            <m:r>
              <m:t>​</m:t>
            </m:r>
          </m:e>
          <m:sup>
            <m:r>
              <m:t>∘</m:t>
            </m:r>
          </m:sup>
        </m:sSup>
      </m:oMath>
      <w:r>
        <w:t xml:space="preserve">N latitude) to Michigan (45.56</w:t>
      </w:r>
      <m:oMath>
        <m:sSup>
          <m:e>
            <m:r>
              <m:t>​</m:t>
            </m:r>
          </m:e>
          <m:sup>
            <m:r>
              <m:t>∘</m:t>
            </m:r>
          </m:sup>
        </m:sSup>
      </m:oMath>
      <w:r>
        <w:t xml:space="preserve">N latitude) and spanning a 15</w:t>
      </w:r>
      <w:r>
        <w:t xml:space="preserve"> </w:t>
      </w:r>
      <m:oMath>
        <m:sSup>
          <m:e>
            <m:r>
              <m:t>​</m:t>
            </m:r>
          </m:e>
          <m:sup>
            <m:r>
              <m:t>∘</m:t>
            </m:r>
          </m:sup>
        </m:sSup>
      </m:oMath>
      <w:r>
        <w:t xml:space="preserve">C range in April</w:t>
      </w:r>
      <w:r>
        <w:t xml:space="preserve"> </w:t>
      </w:r>
      <w:r>
        <w:rPr>
          <w:i/>
        </w:rPr>
        <w:t xml:space="preserve">T</w:t>
      </w:r>
      <w:r>
        <w:rPr>
          <w:vertAlign w:val="subscript"/>
          <w:i/>
        </w:rPr>
        <w:t xml:space="preserve">max</w:t>
      </w:r>
      <w:r>
        <w:t xml:space="preserve">.</w:t>
      </w:r>
      <w:r>
        <w:t xml:space="preserve"> </w:t>
      </w:r>
      <w:r>
        <w:t xml:space="preserve">Across all chronologies, the standardized ring-width index (RWI) was significantly (95% confidence interval did not include 0) positively correlated with April</w:t>
      </w:r>
      <w:r>
        <w:t xml:space="preserve"> </w:t>
      </w:r>
      <w:r>
        <w:rPr>
          <w:i/>
        </w:rPr>
        <w:t xml:space="preserve">T</w:t>
      </w:r>
      <w:r>
        <w:rPr>
          <w:vertAlign w:val="subscript"/>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
        </w:rPr>
        <w:t xml:space="preserve">T</w:t>
      </w:r>
      <w:r>
        <w:rPr>
          <w:vertAlign w:val="subscript"/>
          <w:i/>
        </w:rPr>
        <w:t xml:space="preserve">max</w:t>
      </w:r>
      <w:r>
        <w:t xml:space="preserve">: 0% and 1%, respectively (Extended Data Table 3).</w:t>
      </w:r>
      <w:r>
        <w:t xml:space="preserve"> </w:t>
      </w:r>
      <w:r>
        <w:t xml:space="preserve">In contrast, RWI was frequently negatively correlated with</w:t>
      </w:r>
      <w:r>
        <w:t xml:space="preserve"> </w:t>
      </w:r>
      <w:r>
        <w:rPr>
          <w:i/>
        </w:rPr>
        <w:t xml:space="preserve">T</w:t>
      </w:r>
      <w:r>
        <w:rPr>
          <w:vertAlign w:val="subscript"/>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
        </w:rPr>
        <w:t xml:space="preserve">T</w:t>
      </w:r>
      <w:r>
        <w:rPr>
          <w:vertAlign w:val="subscript"/>
          <w:i/>
        </w:rPr>
        <w:t xml:space="preserve">min</w:t>
      </w:r>
      <w:r>
        <w:t xml:space="preserve"> </w:t>
      </w:r>
      <w:r>
        <w:t xml:space="preserve">generally exhibited weaker relationships to annual growth than</w:t>
      </w:r>
      <w:r>
        <w:t xml:space="preserve"> </w:t>
      </w:r>
      <w:r>
        <w:rPr>
          <w:i/>
        </w:rPr>
        <w:t xml:space="preserve">T</w:t>
      </w:r>
      <w:r>
        <w:rPr>
          <w:vertAlign w:val="subscript"/>
          <w:i/>
        </w:rPr>
        <w:t xml:space="preserve">max</w:t>
      </w:r>
      <w:r>
        <w:t xml:space="preserve">, with few significant correlations between spring</w:t>
      </w:r>
      <w:r>
        <w:t xml:space="preserve"> </w:t>
      </w:r>
      <w:r>
        <w:rPr>
          <w:i/>
        </w:rPr>
        <w:t xml:space="preserve">T</w:t>
      </w:r>
      <w:r>
        <w:rPr>
          <w:vertAlign w:val="subscript"/>
          <w:i/>
        </w:rPr>
        <w:t xml:space="preserve">min</w:t>
      </w:r>
      <w:r>
        <w:t xml:space="preserve"> </w:t>
      </w:r>
      <w:r>
        <w:t xml:space="preserve">and RWI (Extended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 RWI and</w:t>
      </w:r>
      <w:r>
        <w:t xml:space="preserve"> </w:t>
      </w:r>
      <w:r>
        <w:rPr>
          <w:i/>
        </w:rPr>
        <w:t xml:space="preserve">T</w:t>
      </w:r>
      <w:r>
        <w:rPr>
          <w:vertAlign w:val="subscript"/>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 RWI to previous March or April</w:t>
      </w:r>
      <w:r>
        <w:t xml:space="preserve"> </w:t>
      </w:r>
      <w:r>
        <w:rPr>
          <w:i/>
        </w:rPr>
        <w:t xml:space="preserve">T</w:t>
      </w:r>
      <w:r>
        <w:rPr>
          <w:vertAlign w:val="subscript"/>
          <w:i/>
        </w:rPr>
        <w:t xml:space="preserve">max</w:t>
      </w:r>
      <w:r>
        <w:t xml:space="preserve"> </w:t>
      </w:r>
      <w:r>
        <w:t xml:space="preserve">for 5/142 ring porous chronologies and to previous April or May</w:t>
      </w:r>
      <w:r>
        <w:t xml:space="preserve"> </w:t>
      </w:r>
      <w:r>
        <w:rPr>
          <w:i/>
        </w:rPr>
        <w:t xml:space="preserve">T</w:t>
      </w:r>
      <w:r>
        <w:rPr>
          <w:vertAlign w:val="subscript"/>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
        </w:rPr>
        <w:t xml:space="preserve">T</w:t>
      </w:r>
      <w:r>
        <w:rPr>
          <w:vertAlign w:val="subscript"/>
          <w:i/>
        </w:rPr>
        <w:t xml:space="preserve">max</w:t>
      </w:r>
      <w:r>
        <w:t xml:space="preserve"> </w:t>
      </w:r>
      <w:r>
        <w:t xml:space="preserve">on RWI.</w:t>
      </w:r>
      <w:r>
        <w:t xml:space="preserve"> </w:t>
      </w:r>
      <w:r>
        <w:t xml:space="preserve">Results were qualitatively similar to the univariate correlations (Fig. 3), with significant (p</w:t>
      </w:r>
      <w:r>
        <w:t xml:space="preserve"> </w:t>
      </w:r>
      <m:oMath>
        <m:r>
          <m:t>≤</m:t>
        </m:r>
      </m:oMath>
      <w:r>
        <w:t xml:space="preserve"> </w:t>
      </w:r>
      <w:r>
        <w:t xml:space="preserve">0.05) positive correlations to April</w:t>
      </w:r>
      <w:r>
        <w:t xml:space="preserve"> </w:t>
      </w:r>
      <w:r>
        <w:rPr>
          <w:i/>
        </w:rPr>
        <w:t xml:space="preserve">T</w:t>
      </w:r>
      <w:r>
        <w:rPr>
          <w:vertAlign w:val="subscript"/>
          <w:i/>
        </w:rPr>
        <w:t xml:space="preserve">max</w:t>
      </w:r>
      <w:r>
        <w:t xml:space="preserve"> </w:t>
      </w:r>
      <w:r>
        <w:t xml:space="preserve">for only 4% of chronologies and significant negative correlations with June-July</w:t>
      </w:r>
      <w:r>
        <w:t xml:space="preserve"> </w:t>
      </w:r>
      <w:r>
        <w:rPr>
          <w:i/>
        </w:rPr>
        <w:t xml:space="preserve">T</w:t>
      </w:r>
      <w:r>
        <w:rPr>
          <w:vertAlign w:val="subscript"/>
          <w:i/>
        </w:rPr>
        <w:t xml:space="preserve">max</w:t>
      </w:r>
      <w:r>
        <w:t xml:space="preserve"> </w:t>
      </w:r>
      <w:r>
        <w:t xml:space="preserve">for 77% of chronologies (Extended Data Table 3).</w:t>
      </w:r>
    </w:p>
    <w:p>
      <w:pPr>
        <w:pStyle w:val="Heading2"/>
      </w:pPr>
      <w:bookmarkStart w:id="23" w:name="Discussion"/>
      <w:r>
        <w:t xml:space="preserve">Discussion</w:t>
      </w:r>
      <w:bookmarkEnd w:id="23"/>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 NEE</w:t>
      </w:r>
      <w:r>
        <w:rPr>
          <w:vertAlign w:val="superscript"/>
        </w:rPr>
        <w:t xml:space="preserve">1,3</w:t>
      </w:r>
      <w:r>
        <w:t xml:space="preserve">.</w:t>
      </w:r>
      <w:r>
        <w:t xml:space="preserve"> </w:t>
      </w:r>
      <w:r>
        <w:t xml:space="preserve">However, inconsistent with the concept that an earlier start to growth would increase ANPP</w:t>
      </w:r>
      <w:r>
        <w:rPr>
          <w:vertAlign w:val="subscript"/>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2)</w:t>
      </w:r>
      <w:r>
        <w:rPr>
          <w:vertAlign w:val="superscript"/>
        </w:rPr>
        <w:t xml:space="preserve">3,29</w:t>
      </w:r>
      <w:r>
        <w:t xml:space="preserve">, is driven by cues other than photosynthate limitation, such as water stress</w:t>
      </w:r>
      <w:r>
        <w:rPr>
          <w:vertAlign w:val="superscript"/>
        </w:rPr>
        <w:t xml:space="preserve">22,27,29</w:t>
      </w:r>
      <w:r>
        <w:t xml:space="preserve">, nutrient limitation</w:t>
      </w:r>
      <w:r>
        <w:rPr>
          <w:vertAlign w:val="superscript"/>
        </w:rPr>
        <w:t xml:space="preserve">37</w:t>
      </w:r>
      <w:r>
        <w:t xml:space="preserve">, daylength</w:t>
      </w:r>
      <w:r>
        <w:rPr>
          <w:vertAlign w:val="superscript"/>
        </w:rPr>
        <w:t xml:space="preserve">29</w:t>
      </w:r>
      <w:r>
        <w:t xml:space="preserve">, or sink saturation</w:t>
      </w:r>
      <w:r>
        <w:rPr>
          <w:vertAlign w:val="superscript"/>
        </w:rPr>
        <w:t xml:space="preserve">22,30</w:t>
      </w:r>
      <w:r>
        <w:t xml:space="preserve">.</w:t>
      </w:r>
      <w:r>
        <w:t xml:space="preserve"> </w:t>
      </w:r>
      <w:r>
        <w:t xml:space="preserve">This adds to a growing body of evidence for a sink limitation of stem growth</w:t>
      </w:r>
      <w:r>
        <w:rPr>
          <w:vertAlign w:val="superscript"/>
        </w:rPr>
        <w:t xml:space="preserve">18,22</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20,29</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3,19</w:t>
      </w:r>
      <w:r>
        <w:t xml:space="preserve"> </w:t>
      </w:r>
      <w:r>
        <w:t xml:space="preserve">and increase net annual CO</w:t>
      </w:r>
      <w:r>
        <w:rPr>
          <w:vertAlign w:val="subscript"/>
        </w:rPr>
        <w:t xml:space="preserve">2</w:t>
      </w:r>
      <w:r>
        <w:t xml:space="preserve"> </w:t>
      </w:r>
      <w:r>
        <w:t xml:space="preserve">uptake</w:t>
      </w:r>
      <w:r>
        <w:rPr>
          <w:vertAlign w:val="superscript"/>
        </w:rPr>
        <w:t xml:space="preserve">1,3–8</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 ANPP</w:t>
      </w:r>
      <w:r>
        <w:rPr>
          <w:vertAlign w:val="subscript"/>
        </w:rPr>
        <w:t xml:space="preserve">woody</w:t>
      </w:r>
      <w:r>
        <w:t xml:space="preserve">, which, although routinely calculated based on stem growth, can be partially decoupled from it through differences in wood density or C content</w:t>
      </w:r>
      <w:r>
        <w:rPr>
          <w:vertAlign w:val="superscript"/>
        </w:rPr>
        <w:t xml:space="preserve">22</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 ANPP</w:t>
      </w:r>
      <w:r>
        <w:rPr>
          <w:vertAlign w:val="subscript"/>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31</w:t>
      </w:r>
      <w:r>
        <w:t xml:space="preserve">, or root exudates – generally have shorter residence times than woody growth.</w:t>
      </w:r>
      <w:r>
        <w:t xml:space="preserve"> </w:t>
      </w:r>
      <w:r>
        <w:t xml:space="preserve">Indeed, when GPP of a mature forest was increased through experimental CO</w:t>
      </w:r>
      <w:r>
        <w:rPr>
          <w:vertAlign w:val="subscript"/>
        </w:rPr>
        <w:t xml:space="preserve">2</w:t>
      </w:r>
      <w:r>
        <w:t xml:space="preserve"> </w:t>
      </w:r>
      <w:r>
        <w:t xml:space="preserve">enrichment, ANPP</w:t>
      </w:r>
      <w:r>
        <w:rPr>
          <w:vertAlign w:val="subscript"/>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20</w:t>
      </w:r>
      <w:r>
        <w:t xml:space="preserve">.</w:t>
      </w:r>
      <w:r>
        <w:t xml:space="preserve"> </w:t>
      </w:r>
      <w:r>
        <w:t xml:space="preserve">Consistent with this, it has been observed that C gains from an earlier spring can be offset through fall or winter respiration</w:t>
      </w:r>
      <w:r>
        <w:rPr>
          <w:vertAlign w:val="superscript"/>
        </w:rPr>
        <w:t xml:space="preserve">21</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 NEE by warm springs</w:t>
      </w:r>
      <w:r>
        <w:rPr>
          <w:vertAlign w:val="superscript"/>
        </w:rPr>
        <w:t xml:space="preserve">1,7,8</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 ANPP</w:t>
      </w:r>
      <w:r>
        <w:rPr>
          <w:vertAlign w:val="subscript"/>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 ANPP</w:t>
      </w:r>
      <w:r>
        <w:rPr>
          <w:vertAlign w:val="subscript"/>
        </w:rPr>
        <w:t xml:space="preserve">woody</w:t>
      </w:r>
      <w:r>
        <w:rPr>
          <w:vertAlign w:val="superscript"/>
        </w:rPr>
        <w:t xml:space="preserve">45</w:t>
      </w:r>
      <w:r>
        <w:t xml:space="preserve">, and 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 GPP and ANPP</w:t>
      </w:r>
      <w:r>
        <w:rPr>
          <w:vertAlign w:val="subscript"/>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31,47</w:t>
      </w:r>
      <w:r>
        <w:t xml:space="preserve"> </w:t>
      </w:r>
      <w:r>
        <w:t xml:space="preserve">– it is possible that warming spring temperatures could ultimately increase ANPP</w:t>
      </w:r>
      <w:r>
        <w:rPr>
          <w:vertAlign w:val="subscript"/>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22,27,29,48</w:t>
      </w:r>
      <w:r>
        <w:t xml:space="preserve">.</w:t>
      </w:r>
      <w:r>
        <w:t xml:space="preserve"> </w:t>
      </w:r>
      <w:r>
        <w:t xml:space="preserve">Indeed, the timing of peak growth in June and July (Extended Data Table 2, Extended Data Figure 2) coincides with the timing of the greatest sensitivity of annual growth to</w:t>
      </w:r>
      <w:r>
        <w:t xml:space="preserve"> </w:t>
      </w:r>
      <w:r>
        <w:rPr>
          <w:i/>
        </w:rPr>
        <w:t xml:space="preserve">T</w:t>
      </w:r>
      <w:r>
        <w:rPr>
          <w:vertAlign w:val="subscript"/>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25,32,33,44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26</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1,2,13</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16</w:t>
      </w:r>
      <w:r>
        <w:t xml:space="preserve">, which constitutes a positive feedback to climate change.</w:t>
      </w:r>
    </w:p>
    <w:p>
      <w:pPr>
        <w:pStyle w:val="Heading1"/>
      </w:pPr>
      <w:bookmarkStart w:id="24" w:name="references"/>
      <w:r>
        <w:t xml:space="preserve">References</w:t>
      </w:r>
      <w:bookmarkEnd w:id="24"/>
    </w:p>
    <w:p>
      <w:pPr>
        <w:pStyle w:val="Heading1"/>
      </w:pPr>
      <w:bookmarkStart w:id="25" w:name="methods"/>
      <w:r>
        <w:t xml:space="preserve">Methods</w:t>
      </w:r>
      <w:bookmarkEnd w:id="25"/>
    </w:p>
    <w:p>
      <w:pPr>
        <w:pStyle w:val="Heading2"/>
      </w:pPr>
      <w:bookmarkStart w:id="26" w:name="dendrometer-band-analysis"/>
      <w:r>
        <w:t xml:space="preserve">Dendrometer band analysis</w:t>
      </w:r>
      <w:bookmarkEnd w:id="26"/>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
        </w:rPr>
        <w:t xml:space="preserve">Liriodendron tulipifera</w:t>
      </w:r>
      <w:r>
        <w:t xml:space="preserve"> </w:t>
      </w:r>
      <w:r>
        <w:t xml:space="preserve">L.), oaks (</w:t>
      </w:r>
      <w:r>
        <w:rPr>
          <w:i/>
        </w:rPr>
        <w:t xml:space="preserve">Quercus spp.</w:t>
      </w:r>
      <w:r>
        <w:t xml:space="preserve">), and hickories (</w:t>
      </w:r>
      <w:r>
        <w:rPr>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
        </w:rPr>
        <w:t xml:space="preserve">T</w:t>
      </w:r>
      <w:r>
        <w:rPr>
          <w:vertAlign w:val="subscript"/>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
        </w:rPr>
        <w:t xml:space="preserve">T</w:t>
      </w:r>
      <w:r>
        <w:rPr>
          <w:vertAlign w:val="subscript"/>
          <w:i/>
        </w:rPr>
        <w:t xml:space="preserve">max</w:t>
      </w:r>
      <w:r>
        <w:t xml:space="preserve"> </w:t>
      </w:r>
      <w:r>
        <w:t xml:space="preserve">was 16.9</w:t>
      </w:r>
      <m:oMath>
        <m:r>
          <m:t>±</m:t>
        </m:r>
      </m:oMath>
      <w:r>
        <w:t xml:space="preserve"> </w:t>
      </w:r>
      <w:r>
        <w:t xml:space="preserve">1.4°C (mean</w:t>
      </w:r>
      <w:r>
        <w:t xml:space="preserve"> </w:t>
      </w:r>
      <m:oMath>
        <m:r>
          <m:t>±</m:t>
        </m:r>
      </m:oMath>
      <w:r>
        <w:t xml:space="preserve"> </w:t>
      </w:r>
      <w:r>
        <w:t xml:space="preserve">1SD) prior to the study period (range: 14.1-19.9) and 17.6</w:t>
      </w:r>
      <m:oMath>
        <m:r>
          <m:t>±</m:t>
        </m:r>
      </m:oMath>
      <w:r>
        <w:t xml:space="preserve"> </w:t>
      </w:r>
      <w:r>
        <w:t xml:space="preserve">1.7°C (range: 15.6-20) during the study period, while summer SPEI was -0.06</w:t>
      </w:r>
      <m:oMath>
        <m:r>
          <m:t>±</m:t>
        </m:r>
      </m:oMath>
      <w:r>
        <w:t xml:space="preserve"> </w:t>
      </w:r>
      <w:r>
        <w:t xml:space="preserve">1.02 (range: -1.7-2.4) prior to the study period and 0.5</w:t>
      </w:r>
      <m:oMath>
        <m:r>
          <m:t>±</m:t>
        </m:r>
      </m:oMath>
      <w:r>
        <w:t xml:space="preserve"> </w:t>
      </w:r>
      <w:r>
        <w:t xml:space="preserve">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
        </w:rPr>
        <w:t xml:space="preserve">Tsuga canadensis</w:t>
      </w:r>
      <w:r>
        <w:t xml:space="preserve"> </w:t>
      </w:r>
      <w:r>
        <w:t xml:space="preserve">(L.) Carrière), oak (</w:t>
      </w:r>
      <w:r>
        <w:rPr>
          <w:i/>
        </w:rPr>
        <w:t xml:space="preserve">Quercus spp.</w:t>
      </w:r>
      <w:r>
        <w:t xml:space="preserve">) and red maple (</w:t>
      </w:r>
      <w:r>
        <w:rPr>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
        </w:rPr>
        <w:t xml:space="preserve">T</w:t>
      </w:r>
      <w:r>
        <w:rPr>
          <w:vertAlign w:val="subscript"/>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
        </w:rPr>
        <w:t xml:space="preserve">T</w:t>
      </w:r>
      <w:r>
        <w:rPr>
          <w:vertAlign w:val="subscript"/>
          <w:i/>
        </w:rPr>
        <w:t xml:space="preserve">max</w:t>
      </w:r>
      <w:r>
        <w:t xml:space="preserve"> </w:t>
      </w:r>
      <w:r>
        <w:t xml:space="preserve">was 10.9</w:t>
      </w:r>
      <m:oMath>
        <m:r>
          <m:t>±</m:t>
        </m:r>
      </m:oMath>
      <w:r>
        <w:t xml:space="preserve"> </w:t>
      </w:r>
      <w:r>
        <w:t xml:space="preserve">1.5°C prior to the study period (range: 8.0-13.2) and 11.2</w:t>
      </w:r>
      <m:oMath>
        <m:r>
          <m:t>±</m:t>
        </m:r>
      </m:oMath>
      <w:r>
        <w:t xml:space="preserve"> </w:t>
      </w:r>
      <w:r>
        <w:t xml:space="preserve">1.0°C (range: 10.1-12.2) during the study period, while summer SPEI was 0.1</w:t>
      </w:r>
      <m:oMath>
        <m:r>
          <m:t>±</m:t>
        </m:r>
      </m:oMath>
      <w:r>
        <w:t xml:space="preserve"> </w:t>
      </w:r>
      <w:r>
        <w:t xml:space="preserve">0.9 (range: -1.8-1.7) prior to the study period and 0.2</w:t>
      </w:r>
      <m:oMath>
        <m:r>
          <m:t>±</m:t>
        </m:r>
      </m:oMath>
      <w:r>
        <w:t xml:space="preserve"> </w:t>
      </w:r>
      <w:r>
        <w:t xml:space="preserve">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m:oMath>
        <m:r>
          <m:t>Δ</m:t>
        </m:r>
        <m:r>
          <m:t>D</m:t>
        </m:r>
        <m:r>
          <m:t>B</m:t>
        </m:r>
        <m:r>
          <m:t>H</m:t>
        </m:r>
      </m:oMath>
      <w:r>
        <w:t xml:space="preserve"> </w:t>
      </w:r>
      <m:oMath>
        <m:r>
          <m:t>≤</m:t>
        </m:r>
        <m:r>
          <m:t>0.005</m:t>
        </m:r>
      </m:oMath>
      <w:r>
        <w:t xml:space="preserve"> </w:t>
      </w:r>
      <w:r>
        <w:t xml:space="preserve">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
        </w:rPr>
        <w:t xml:space="preserve">i.e.</w:t>
      </w:r>
      <w:r>
        <w:t xml:space="preserve">, julian days) as:</w:t>
      </w:r>
    </w:p>
    <w:p>
      <w:pPr>
        <w:pStyle w:val="BodyText"/>
      </w:pPr>
      <m:oMathPara>
        <m:oMathParaPr>
          <m:jc m:val="center"/>
        </m:oMathParaPr>
        <m:oMath>
          <m:r>
            <m:t>D</m:t>
          </m:r>
          <m:r>
            <m:t>B</m:t>
          </m:r>
          <m:r>
            <m:t>H</m:t>
          </m:r>
          <m:r>
            <m:t>=</m:t>
          </m:r>
          <m:r>
            <m:t>L</m:t>
          </m:r>
          <m:r>
            <m:t>+</m:t>
          </m:r>
          <m:f>
            <m:fPr>
              <m:type m:val="bar"/>
            </m:fPr>
            <m:num>
              <m:r>
                <m:t>K</m:t>
              </m:r>
              <m:r>
                <m:t>−</m:t>
              </m:r>
              <m:r>
                <m:t>L</m:t>
              </m:r>
            </m:num>
            <m:den>
              <m:r>
                <m:t>1</m:t>
              </m:r>
              <m:r>
                <m:t>+</m:t>
              </m:r>
              <m:r>
                <m:t>1</m:t>
              </m:r>
              <m:r>
                <m:t>/</m:t>
              </m:r>
              <m:r>
                <m:t>θ</m:t>
              </m:r>
              <m:r>
                <m:t>⋅</m:t>
              </m:r>
              <m:r>
                <m:t>e</m:t>
              </m:r>
              <m:r>
                <m:t>x</m:t>
              </m:r>
              <m:r>
                <m:t>p</m:t>
              </m:r>
              <m:r>
                <m:t>[</m:t>
              </m:r>
              <m:r>
                <m:t>−</m:t>
              </m:r>
              <m:r>
                <m:t>r</m:t>
              </m:r>
              <m:r>
                <m:t>(</m:t>
              </m:r>
              <m:r>
                <m:t>D</m:t>
              </m:r>
              <m:r>
                <m:t>O</m:t>
              </m:r>
              <m:r>
                <m:t>Y</m:t>
              </m:r>
              <m:r>
                <m:t>−</m:t>
              </m:r>
              <m:r>
                <m:t>D</m:t>
              </m:r>
              <m:r>
                <m:t>O</m:t>
              </m:r>
              <m:sSub>
                <m:e>
                  <m:r>
                    <m:t>Y</m:t>
                  </m:r>
                </m:e>
                <m:sub>
                  <m:r>
                    <m:t>i</m:t>
                  </m:r>
                  <m:r>
                    <m:t>p</m:t>
                  </m:r>
                </m:sub>
              </m:sSub>
              <m:r>
                <m:t>)</m:t>
              </m:r>
              <m:r>
                <m:t>/</m:t>
              </m:r>
              <m:r>
                <m:t>θ</m:t>
              </m:r>
              <m:r>
                <m:t>)</m:t>
              </m:r>
              <m:sSup>
                <m:e>
                  <m:r>
                    <m:t>]</m:t>
                  </m:r>
                </m:e>
                <m:sup>
                  <m:r>
                    <m:t>θ</m:t>
                  </m:r>
                </m:sup>
              </m:sSup>
            </m:den>
          </m:f>
        </m:oMath>
      </m:oMathPara>
    </w:p>
    <w:p>
      <w:pPr>
        <w:pStyle w:val="FirstParagraph"/>
      </w:pPr>
      <w:r>
        <w:t xml:space="preserve">Here,</w:t>
      </w:r>
      <w:r>
        <w:t xml:space="preserve"> </w:t>
      </w:r>
      <m:oMath>
        <m:r>
          <m:t>L</m:t>
        </m:r>
      </m:oMath>
      <w:r>
        <w:t xml:space="preserve"> </w:t>
      </w:r>
      <w:r>
        <w:t xml:space="preserve">and</w:t>
      </w:r>
      <w:r>
        <w:t xml:space="preserve"> </w:t>
      </w:r>
      <m:oMath>
        <m:r>
          <m:t>K</m:t>
        </m:r>
      </m:oMath>
      <w:r>
        <w:t xml:space="preserve"> </w:t>
      </w:r>
      <w:r>
        <w:t xml:space="preserve">are lower and upper asymptotes of the model.</w:t>
      </w:r>
      <w:r>
        <w:t xml:space="preserve"> </w:t>
      </w:r>
      <w:r>
        <w:rPr>
          <w:i/>
        </w:rPr>
        <w:t xml:space="preserve">DOY</w:t>
      </w:r>
      <w:r>
        <w:rPr>
          <w:vertAlign w:val="subscript"/>
          <w:i/>
        </w:rPr>
        <w:t xml:space="preserve">ip</w:t>
      </w:r>
      <w:r>
        <w:t xml:space="preserve"> </w:t>
      </w:r>
      <w:r>
        <w:t xml:space="preserve">is the day of year where the inflection point in growth rate occurs,</w:t>
      </w:r>
      <w:r>
        <w:t xml:space="preserve"> </w:t>
      </w:r>
      <m:oMath>
        <m:r>
          <m:t>r</m:t>
        </m:r>
      </m:oMath>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t>=</m:t>
        </m:r>
        <m:r>
          <m:t>1</m:t>
        </m:r>
      </m:oMath>
      <w:r>
        <w:t xml:space="preserve">,</w:t>
      </w:r>
      <w:r>
        <w:t xml:space="preserve"> </w:t>
      </w:r>
      <w:r>
        <w:rPr>
          <w:i/>
        </w:rPr>
        <w:t xml:space="preserve">g</w:t>
      </w:r>
      <w:r>
        <w:rPr>
          <w:vertAlign w:val="subscript"/>
          <w:i/>
        </w:rPr>
        <w:t xml:space="preserve">max</w:t>
      </w:r>
      <w:r>
        <w:t xml:space="preserve"> </w:t>
      </w:r>
      <w:r>
        <w:t xml:space="preserve">occurs on</w:t>
      </w:r>
      <w:r>
        <w:t xml:space="preserve"> </w:t>
      </w:r>
      <w:r>
        <w:rPr>
          <w:i/>
        </w:rPr>
        <w:t xml:space="preserve">DOY</w:t>
      </w:r>
      <w:r>
        <w:rPr>
          <w:vertAlign w:val="subscript"/>
          <w:i/>
        </w:rPr>
        <w:t xml:space="preserve">ip</w:t>
      </w:r>
      <w:r>
        <w:t xml:space="preserve">.</w:t>
      </w:r>
      <w:r>
        <w:t xml:space="preserve"> </w:t>
      </w:r>
      <w:r>
        <w:t xml:space="preserve">The model outputs two additional variables,</w:t>
      </w:r>
      <w:r>
        <w:t xml:space="preserve"> </w:t>
      </w:r>
      <m:oMath>
        <m:r>
          <m:t>a</m:t>
        </m:r>
      </m:oMath>
      <w:r>
        <w:t xml:space="preserve"> </w:t>
      </w:r>
      <w:r>
        <w:t xml:space="preserve">and</w:t>
      </w:r>
      <w:r>
        <w:t xml:space="preserve"> </w:t>
      </w:r>
      <m:oMath>
        <m:r>
          <m:t>b</m:t>
        </m:r>
      </m:oMath>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
        </w:rPr>
        <w:t xml:space="preserve">g</w:t>
      </w:r>
      <w:r>
        <w:rPr>
          <w:vertAlign w:val="subscript"/>
          <w:i/>
        </w:rPr>
        <w:t xml:space="preserve">max</w:t>
      </w:r>
      <w:r>
        <w:t xml:space="preserve"> </w:t>
      </w:r>
      <w:r>
        <w:t xml:space="preserve">was</w:t>
      </w:r>
      <w:r>
        <w:t xml:space="preserve"> </w:t>
      </w:r>
      <m:oMath>
        <m:r>
          <m:t>≥</m:t>
        </m:r>
        <m:r>
          <m:t>2.5</m:t>
        </m:r>
      </m:oMath>
      <w:r>
        <w:t xml:space="preserve"> </w:t>
      </w:r>
      <w:r>
        <w:t xml:space="preserve">standard deviations away from the mean for each site-xylem architecture group combination (SCBI = 3, Harvard Forest = 11);</w:t>
      </w:r>
      <w:r>
        <w:t xml:space="preserve"> </w:t>
      </w:r>
      <w:r>
        <w:t xml:space="preserve">(2) timing variables (</w:t>
      </w:r>
      <w:r>
        <w:rPr>
          <w:i/>
        </w:rPr>
        <w:t xml:space="preserve">DOY</w:t>
      </w:r>
      <w:r>
        <w:rPr>
          <w:vertAlign w:val="subscript"/>
          <w:i/>
        </w:rPr>
        <w:t xml:space="preserve">ip</w:t>
      </w:r>
      <w:r>
        <w:t xml:space="preserve">,</w:t>
      </w:r>
      <w:r>
        <w:t xml:space="preserve"> </w:t>
      </w:r>
      <w:r>
        <w:rPr>
          <w:i/>
        </w:rPr>
        <w:t xml:space="preserve">DOY</w:t>
      </w:r>
      <w:r>
        <w:rPr>
          <w:vertAlign w:val="subscript"/>
          <w:i/>
        </w:rPr>
        <w:t xml:space="preserve">25</w:t>
      </w:r>
      <w:r>
        <w:t xml:space="preserve">,</w:t>
      </w:r>
      <w:r>
        <w:t xml:space="preserve"> </w:t>
      </w:r>
      <w:r>
        <w:rPr>
          <w:i/>
        </w:rPr>
        <w:t xml:space="preserve">DOY</w:t>
      </w:r>
      <w:r>
        <w:rPr>
          <w:vertAlign w:val="subscript"/>
          <w:i/>
        </w:rPr>
        <w:t xml:space="preserve">50</w:t>
      </w:r>
      <w:r>
        <w:t xml:space="preserve">,</w:t>
      </w:r>
      <w:r>
        <w:t xml:space="preserve"> </w:t>
      </w:r>
      <w:r>
        <w:rPr>
          <w:i/>
        </w:rPr>
        <w:t xml:space="preserve">DOY</w:t>
      </w:r>
      <w:r>
        <w:rPr>
          <w:vertAlign w:val="subscript"/>
          <w:i/>
        </w:rPr>
        <w:t xml:space="preserve">75</w:t>
      </w:r>
      <w:r>
        <w:t xml:space="preserve">) were</w:t>
      </w:r>
      <w:r>
        <w:t xml:space="preserve"> </w:t>
      </w:r>
      <m:oMath>
        <m:r>
          <m:t>≥</m:t>
        </m:r>
        <m:r>
          <m:t>2.5</m:t>
        </m:r>
      </m:oMath>
      <w:r>
        <w:t xml:space="preserve"> </w:t>
      </w:r>
      <w:r>
        <w:t xml:space="preserve">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7">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8">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
        </w:rPr>
        <w:t xml:space="preserve">T</w:t>
      </w:r>
      <w:r>
        <w:rPr>
          <w:vertAlign w:val="subscript"/>
          <w:i/>
        </w:rPr>
        <w:t xml:space="preserve">max</w:t>
      </w:r>
      <w:r>
        <w:t xml:space="preserve">) and minimum temperatures (</w:t>
      </w:r>
      <w:r>
        <w:rPr>
          <w:i/>
        </w:rPr>
        <w:t xml:space="preserve">T</w:t>
      </w:r>
      <w:r>
        <w:rPr>
          <w:vertAlign w:val="subscript"/>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7">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(CTW, Fig. 1), defined as the period over which</w:t>
      </w:r>
      <w:r>
        <w:t xml:space="preserve"> </w:t>
      </w:r>
      <w:r>
        <w:rPr>
          <w:i/>
        </w:rPr>
        <w:t xml:space="preserve">T</w:t>
      </w:r>
      <w:r>
        <w:rPr>
          <w:vertAlign w:val="subscript"/>
          <w:i/>
        </w:rPr>
        <w:t xml:space="preserve">max</w:t>
      </w:r>
      <w:r>
        <w:t xml:space="preserve"> </w:t>
      </w:r>
      <w:r>
        <w:t xml:space="preserve">was most strongly correlated with</w:t>
      </w:r>
      <w:r>
        <w:t xml:space="preserve"> </w:t>
      </w:r>
      <w:r>
        <w:rPr>
          <w:i/>
        </w:rPr>
        <w:t xml:space="preserve">DOY</w:t>
      </w:r>
      <w:r>
        <w:rPr>
          <w:vertAlign w:val="subscript"/>
          <w:i/>
        </w:rPr>
        <w:t xml:space="preserve">25</w:t>
      </w:r>
      <w:r>
        <w:t xml:space="preserve">, was determined using the R package</w:t>
      </w:r>
      <w:r>
        <w:t xml:space="preserve"> </w:t>
      </w:r>
      <w:r>
        <w:rPr>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m:oMath>
        <m:r>
          <m:t>Δ</m:t>
        </m:r>
        <m:r>
          <m:t>A</m:t>
        </m:r>
        <m:r>
          <m:t>I</m:t>
        </m:r>
        <m:r>
          <m:t>C</m:t>
        </m:r>
        <m:r>
          <m:t>c</m:t>
        </m:r>
      </m:oMath>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
        </w:rPr>
        <w:t xml:space="preserve">T</w:t>
      </w:r>
      <w:r>
        <w:rPr>
          <w:vertAlign w:val="subscript"/>
          <w:i/>
        </w:rPr>
        <w:t xml:space="preserve">max</w:t>
      </w:r>
      <w:r>
        <w:t xml:space="preserve">,</w:t>
      </w:r>
      <w:r>
        <w:t xml:space="preserve"> </w:t>
      </w:r>
      <w:r>
        <w:rPr>
          <w:i/>
        </w:rPr>
        <w:t xml:space="preserve">T</w:t>
      </w:r>
      <w:r>
        <w:rPr>
          <w:vertAlign w:val="subscript"/>
          <w:i/>
        </w:rPr>
        <w:t xml:space="preserve">min</w:t>
      </w:r>
      <w:r>
        <w:t xml:space="preserve">) and biological outcome variable</w:t>
      </w:r>
      <w:r>
        <w:t xml:space="preserve"> </w:t>
      </w:r>
      <w:r>
        <w:rPr>
          <w:i/>
        </w:rPr>
        <w:t xml:space="preserve">DOY</w:t>
      </w:r>
      <w:r>
        <w:rPr>
          <w:vertAlign w:val="subscript"/>
          <w:i/>
        </w:rPr>
        <w:t xml:space="preserve">25</w:t>
      </w:r>
      <w:r>
        <w:t xml:space="preserve"> </w:t>
      </w:r>
      <w:r>
        <w:t xml:space="preserve">over the time-frame from January 1 to the mean</w:t>
      </w:r>
      <w:r>
        <w:t xml:space="preserve"> </w:t>
      </w:r>
      <w:r>
        <w:rPr>
          <w:i/>
        </w:rPr>
        <w:t xml:space="preserve">DOY</w:t>
      </w:r>
      <w:r>
        <w:rPr>
          <w:vertAlign w:val="subscript"/>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m:oMath>
        <m:r>
          <m:t>Δ</m:t>
        </m:r>
        <m:r>
          <m:t>A</m:t>
        </m:r>
        <m:r>
          <m:t>I</m:t>
        </m:r>
        <m:r>
          <m:t>C</m:t>
        </m:r>
        <m:r>
          <m:t>c</m:t>
        </m:r>
      </m:oMath>
      <w:r>
        <w:t xml:space="preserve"> </w:t>
      </w:r>
      <w:r>
        <w:t xml:space="preserve">was selected as the CTW.</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
        </w:rPr>
        <w:t xml:space="preserve">T</w:t>
      </w:r>
      <w:r>
        <w:rPr>
          <w:vertAlign w:val="subscript"/>
          <w:i/>
        </w:rPr>
        <w:t xml:space="preserve">max</w:t>
      </w:r>
      <w:r>
        <w:t xml:space="preserve"> </w:t>
      </w:r>
      <w:r>
        <w:t xml:space="preserve">proved to have a generally stronger influence over</w:t>
      </w:r>
      <w:r>
        <w:t xml:space="preserve"> </w:t>
      </w:r>
      <w:r>
        <w:rPr>
          <w:i/>
        </w:rPr>
        <w:t xml:space="preserve">DOY</w:t>
      </w:r>
      <w:r>
        <w:rPr>
          <w:vertAlign w:val="subscript"/>
          <w:i/>
        </w:rPr>
        <w:t xml:space="preserve">25</w:t>
      </w:r>
      <w:r>
        <w:t xml:space="preserve"> </w:t>
      </w:r>
      <w:r>
        <w:t xml:space="preserve">and other growth parameters, we focused on this variable in our ultimate model, as opposed to</w:t>
      </w:r>
      <w:r>
        <w:t xml:space="preserve"> </w:t>
      </w:r>
      <w:r>
        <w:rPr>
          <w:i/>
        </w:rPr>
        <w:t xml:space="preserve">T</w:t>
      </w:r>
      <w:r>
        <w:rPr>
          <w:vertAlign w:val="subscript"/>
          <w:i/>
        </w:rPr>
        <w:t xml:space="preserve">min</w:t>
      </w:r>
      <w:r>
        <w:t xml:space="preserve">.</w:t>
      </w:r>
      <w:r>
        <w:t xml:space="preserve"> </w:t>
      </w:r>
      <w:r>
        <w:t xml:space="preserve">We defined CTW for</w:t>
      </w:r>
      <w:r>
        <w:t xml:space="preserve"> </w:t>
      </w:r>
      <w:r>
        <w:rPr>
          <w:i/>
        </w:rPr>
        <w:t xml:space="preserve">DOY</w:t>
      </w:r>
      <w:r>
        <w:rPr>
          <w:vertAlign w:val="subscript"/>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 CTW, and to parallel the monthly time windows used in our tree-ring analysis (detailed below; Fig. 3, Extended Data Figure 6-7), we also ran analyses where we fixed the CTW identified by</w:t>
      </w:r>
      <w:r>
        <w:t xml:space="preserve"> </w:t>
      </w:r>
      <w:r>
        <w:rPr>
          <w:i/>
        </w:rPr>
        <w:t xml:space="preserve">climwin</w:t>
      </w:r>
      <w:r>
        <w:t xml:space="preserve"> </w:t>
      </w:r>
      <w:r>
        <w:t xml:space="preserve">to be the month with the most days in the CTW (Extended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
        </w:rPr>
        <w:t xml:space="preserve">DOY</w:t>
      </w:r>
      <w:r>
        <w:rPr>
          <w:vertAlign w:val="subscript"/>
          <w:i/>
        </w:rPr>
        <w:t xml:space="preserve">25</w:t>
      </w:r>
      <w:r>
        <w:t xml:space="preserve">,</w:t>
      </w:r>
      <w:r>
        <w:t xml:space="preserve"> </w:t>
      </w:r>
      <w:r>
        <w:rPr>
          <w:i/>
        </w:rPr>
        <w:t xml:space="preserve">DOY</w:t>
      </w:r>
      <w:r>
        <w:rPr>
          <w:vertAlign w:val="subscript"/>
          <w:i/>
        </w:rPr>
        <w:t xml:space="preserve">50</w:t>
      </w:r>
      <w:r>
        <w:t xml:space="preserve">,</w:t>
      </w:r>
      <w:r>
        <w:t xml:space="preserve"> </w:t>
      </w:r>
      <w:r>
        <w:rPr>
          <w:i/>
        </w:rPr>
        <w:t xml:space="preserve">DOY</w:t>
      </w:r>
      <w:r>
        <w:rPr>
          <w:vertAlign w:val="subscript"/>
          <w:i/>
        </w:rPr>
        <w:t xml:space="preserve">75</w:t>
      </w:r>
      <w:r>
        <w:t xml:space="preserve">,</w:t>
      </w:r>
      <w:r>
        <w:t xml:space="preserve"> </w:t>
      </w:r>
      <w:r>
        <w:rPr>
          <w:i/>
        </w:rPr>
        <w:t xml:space="preserve">L</w:t>
      </w:r>
      <w:r>
        <w:rPr>
          <w:vertAlign w:val="subscript"/>
          <w:i/>
        </w:rPr>
        <w:t xml:space="preserve">pgs</w:t>
      </w:r>
      <w:r>
        <w:t xml:space="preserve">,</w:t>
      </w:r>
      <w:r>
        <w:t xml:space="preserve"> </w:t>
      </w:r>
      <w:r>
        <w:rPr>
          <w:i/>
        </w:rPr>
        <w:t xml:space="preserve">g</w:t>
      </w:r>
      <w:r>
        <w:rPr>
          <w:vertAlign w:val="subscript"/>
          <w:i/>
        </w:rPr>
        <w:t xml:space="preserve">max</w:t>
      </w:r>
      <w:r>
        <w:t xml:space="preserve">, and</w:t>
      </w:r>
      <w:r>
        <w:t xml:space="preserve"> </w:t>
      </w:r>
      <m:oMath>
        <m:r>
          <m:t>Δ</m:t>
        </m:r>
        <m:r>
          <m:t>D</m:t>
        </m:r>
        <m:r>
          <m:t>B</m:t>
        </m:r>
        <m:r>
          <m:t>H</m:t>
        </m:r>
      </m:oMath>
      <w:r>
        <w:t xml:space="preserve">, Fig. 1) and CTW</w:t>
      </w:r>
      <w:r>
        <w:t xml:space="preserve"> </w:t>
      </w:r>
      <w:r>
        <w:rPr>
          <w:i/>
        </w:rPr>
        <w:t xml:space="preserve">T</w:t>
      </w:r>
      <w:r>
        <w:rPr>
          <w:vertAlign w:val="subscript"/>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
        </w:rPr>
        <w:t xml:space="preserve">T</w:t>
      </w:r>
      <w:r>
        <w:rPr>
          <w:vertAlign w:val="subscript"/>
          <w:i/>
        </w:rPr>
        <w:t xml:space="preserve">max</w:t>
      </w:r>
      <w:r>
        <w:t xml:space="preserve"> </w:t>
      </w:r>
      <w:r>
        <w:t xml:space="preserve">and</w:t>
      </w:r>
      <w:r>
        <w:t xml:space="preserve"> </w:t>
      </w:r>
      <w:r>
        <w:rPr>
          <w:i/>
        </w:rPr>
        <w:t xml:space="preserve">T</w:t>
      </w:r>
      <w:r>
        <w:rPr>
          <w:vertAlign w:val="subscript"/>
          <w:i/>
        </w:rPr>
        <w:t xml:space="preserve">min</w:t>
      </w:r>
      <w:r>
        <w:t xml:space="preserve">, with qualitatively similar results, but we present only results for</w:t>
      </w:r>
      <w:r>
        <w:t xml:space="preserve"> </w:t>
      </w:r>
      <w:r>
        <w:rPr>
          <w:i/>
        </w:rPr>
        <w:t xml:space="preserve">T</w:t>
      </w:r>
      <w:r>
        <w:rPr>
          <w:vertAlign w:val="subscript"/>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
        </w:rPr>
        <w:t xml:space="preserve">T</w:t>
      </w:r>
      <w:r>
        <w:rPr>
          <w:vertAlign w:val="subscript"/>
          <w:i/>
        </w:rPr>
        <w:t xml:space="preserve">max</w:t>
      </w:r>
      <w:r>
        <w:t xml:space="preserve"> </w:t>
      </w:r>
      <w:r>
        <w:t xml:space="preserve">(or</w:t>
      </w:r>
      <w:r>
        <w:t xml:space="preserve"> </w:t>
      </w:r>
      <w:r>
        <w:rPr>
          <w:i/>
        </w:rPr>
        <w:t xml:space="preserve">T</w:t>
      </w:r>
      <w:r>
        <w:rPr>
          <w:vertAlign w:val="subscript"/>
          <w:i/>
        </w:rPr>
        <w:t xml:space="preserve">min</w:t>
      </w:r>
      <w:r>
        <w:t xml:space="preserve">) during the CTW, along with random effects of species and of individual tree.</w:t>
      </w:r>
      <w:r>
        <w:t xml:space="preserve"> </w:t>
      </w:r>
      <w:r>
        <w:t xml:space="preserve">We ran separate models for each site, and for the response of all growth parameters to</w:t>
      </w:r>
      <w:r>
        <w:t xml:space="preserve"> </w:t>
      </w:r>
      <w:r>
        <w:rPr>
          <w:i/>
        </w:rPr>
        <w:t xml:space="preserve">T</w:t>
      </w:r>
      <w:r>
        <w:rPr>
          <w:vertAlign w:val="subscript"/>
          <w:i/>
        </w:rPr>
        <w:t xml:space="preserve">max</w:t>
      </w:r>
      <w:r>
        <w:t xml:space="preserve"> </w:t>
      </w:r>
      <w:r>
        <w:t xml:space="preserve">(or</w:t>
      </w:r>
      <w:r>
        <w:t xml:space="preserve"> </w:t>
      </w:r>
      <w:r>
        <w:rPr>
          <w:i/>
        </w:rPr>
        <w:t xml:space="preserve">T</w:t>
      </w:r>
      <w:r>
        <w:rPr>
          <w:vertAlign w:val="subscript"/>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
        </w:rPr>
        <w:t xml:space="preserve">T</w:t>
      </w:r>
      <w:r>
        <w:rPr>
          <w:vertAlign w:val="subscript"/>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p>
      <w:pPr>
        <w:pStyle w:val="Heading2"/>
      </w:pPr>
      <w:bookmarkStart w:id="29" w:name="tree-ring-analysis"/>
      <w:r>
        <w:t xml:space="preserve">Tree-ring analysis</w:t>
      </w:r>
      <w:bookmarkEnd w:id="29"/>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
        </w:rPr>
        <w:t xml:space="preserve">Juglans nigra</w:t>
      </w:r>
      <w:r>
        <w:t xml:space="preserve"> </w:t>
      </w:r>
      <w:r>
        <w:t xml:space="preserve">L. at SCBI) and conifers (e.g.,</w:t>
      </w:r>
      <w:r>
        <w:t xml:space="preserve"> </w:t>
      </w:r>
      <w:r>
        <w:rPr>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
        </w:rPr>
        <w:t xml:space="preserve">i.e.</w:t>
      </w:r>
      <w:r>
        <w:t xml:space="preserve">, excluding semi-ring porous).</w:t>
      </w:r>
    </w:p>
    <w:p>
      <w:pPr>
        <w:pStyle w:val="BodyText"/>
      </w:pPr>
      <w:r>
        <w:t xml:space="preserve">For each species-site combination, we converted tree-ring records into the dimensionless RWI to emphasize interannual variability associated with climate</w:t>
      </w:r>
      <w:r>
        <w:rPr>
          <w:vertAlign w:val="superscript"/>
        </w:rPr>
        <w:t xml:space="preserve">73</w:t>
      </w:r>
      <w:r>
        <w:t xml:space="preserve">.</w:t>
      </w:r>
      <w:r>
        <w:t xml:space="preserve"> </w:t>
      </w:r>
      <w:r>
        <w:t xml:space="preserve">A 2/3rds</w:t>
      </w:r>
      <w:r>
        <w:t xml:space="preserve"> </w:t>
      </w:r>
      <w:r>
        <w:rPr>
          <w:i/>
        </w:rPr>
        <w:t xml:space="preserve">n</w:t>
      </w:r>
      <w:r>
        <w:t xml:space="preserve"> </w:t>
      </w:r>
      <w:r>
        <w:t xml:space="preserve">spline was applied to each core using ARSTAN to produce standardized ring-width series;</w:t>
      </w:r>
      <w:r>
        <w:t xml:space="preserve"> </w:t>
      </w:r>
      <w:r>
        <w:rPr>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(RWI)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w:t>
      </w:r>
      <w:r>
        <w:t xml:space="preserve"> </w:t>
      </w:r>
      <m:oMath>
        <m:r>
          <m:t>≥</m:t>
        </m:r>
      </m:oMath>
      <w:r>
        <w:t xml:space="preserve"> </w:t>
      </w:r>
      <w:r>
        <w:t xml:space="preserve">80% of the population signal was captured in the chronology.</w:t>
      </w:r>
    </w:p>
    <w:p>
      <w:pPr>
        <w:pStyle w:val="BodyText"/>
      </w:pPr>
      <w:r>
        <w:t xml:space="preserve">For the analysis of correlation between RWI and climate variables, we obtained monthly</w:t>
      </w:r>
      <w:r>
        <w:t xml:space="preserve"> </w:t>
      </w:r>
      <w:r>
        <w:rPr>
          <w:i/>
        </w:rPr>
        <w:t xml:space="preserve">T</w:t>
      </w:r>
      <w:r>
        <w:rPr>
          <w:vertAlign w:val="subscript"/>
          <w:i/>
        </w:rPr>
        <w:t xml:space="preserve">max</w:t>
      </w:r>
      <w:r>
        <w:t xml:space="preserve"> </w:t>
      </w:r>
      <w:r>
        <w:t xml:space="preserve">and</w:t>
      </w:r>
      <w:r>
        <w:t xml:space="preserve"> </w:t>
      </w:r>
      <w:r>
        <w:rPr>
          <w:i/>
        </w:rPr>
        <w:t xml:space="preserve">T</w:t>
      </w:r>
      <w:r>
        <w:rPr>
          <w:vertAlign w:val="subscript"/>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 RWI were assessed in R v 4.0</w:t>
      </w:r>
      <w:r>
        <w:rPr>
          <w:vertAlign w:val="superscript"/>
        </w:rPr>
        <w:t xml:space="preserve">77</w:t>
      </w:r>
      <w:r>
        <w:t xml:space="preserve"> </w:t>
      </w:r>
      <w:r>
        <w:t xml:space="preserve">using the packages</w:t>
      </w:r>
      <w:r>
        <w:t xml:space="preserve"> </w:t>
      </w:r>
      <w:r>
        <w:rPr>
          <w:i/>
        </w:rPr>
        <w:t xml:space="preserve">dplR</w:t>
      </w:r>
      <w:r>
        <w:rPr>
          <w:vertAlign w:val="superscript"/>
        </w:rPr>
        <w:t xml:space="preserve">78</w:t>
      </w:r>
      <w:r>
        <w:t xml:space="preserve"> </w:t>
      </w:r>
      <w:r>
        <w:t xml:space="preserve">and</w:t>
      </w:r>
      <w:r>
        <w:t xml:space="preserve"> </w:t>
      </w:r>
      <w:r>
        <w:rPr>
          <w:i/>
        </w:rPr>
        <w:t xml:space="preserve">bootRes</w:t>
      </w:r>
      <w:r>
        <w:rPr>
          <w:vertAlign w:val="superscript"/>
        </w:rPr>
        <w:t xml:space="preserve">79</w:t>
      </w:r>
      <w:r>
        <w:t xml:space="preserve"> </w:t>
      </w:r>
      <w:r>
        <w:t xml:space="preserve">to assess correlations, provide bootstrapped confidence intervals for these relationships, and create summary figures (Fig. 3, Extended Data Figures 6-7).</w:t>
      </w:r>
      <w:r>
        <w:t xml:space="preserve"> </w:t>
      </w:r>
      <w:r>
        <w:t xml:space="preserve">Our analysis focused on assessing correlations of RWI 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
        </w:rPr>
        <w:t xml:space="preserve">T</w:t>
      </w:r>
      <w:r>
        <w:rPr>
          <w:vertAlign w:val="subscript"/>
          <w:i/>
        </w:rPr>
        <w:t xml:space="preserve">max</w:t>
      </w:r>
      <w:r>
        <w:t xml:space="preserve"> </w:t>
      </w:r>
      <w:r>
        <w:t xml:space="preserve">on RWI.</w:t>
      </w:r>
      <w:r>
        <w:t xml:space="preserve"> </w:t>
      </w:r>
      <w:r>
        <w:t xml:space="preserve">We focused on April to represent spring temperatures because it was the month with greatest overall alignment with the CTW’s identified in the dendrometer band analysis and had the highest rate of positive correlations with RWI (Extended Data Table 3).</w:t>
      </w:r>
      <w:r>
        <w:t xml:space="preserve"> </w:t>
      </w:r>
      <w:r>
        <w:t xml:space="preserve">We began by testing univariate correlations of</w:t>
      </w:r>
      <w:r>
        <w:t xml:space="preserve"> </w:t>
      </w:r>
      <w:r>
        <w:rPr>
          <w:i/>
        </w:rPr>
        <w:t xml:space="preserve">T</w:t>
      </w:r>
      <w:r>
        <w:rPr>
          <w:vertAlign w:val="subscript"/>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
        </w:rPr>
        <w:t xml:space="preserve">T</w:t>
      </w:r>
      <w:r>
        <w:rPr>
          <w:vertAlign w:val="subscript"/>
          <w:i/>
        </w:rPr>
        <w:t xml:space="preserve">max</w:t>
      </w:r>
      <w:r>
        <w:t xml:space="preserve"> </w:t>
      </w:r>
      <w:r>
        <w:t xml:space="preserve">and June-July</w:t>
      </w:r>
      <w:r>
        <w:t xml:space="preserve"> </w:t>
      </w:r>
      <w:r>
        <w:rPr>
          <w:i/>
        </w:rPr>
        <w:t xml:space="preserve">T</w:t>
      </w:r>
      <w:r>
        <w:rPr>
          <w:vertAlign w:val="subscript"/>
          <w:i/>
        </w:rPr>
        <w:t xml:space="preserve">max</w:t>
      </w:r>
      <w:r>
        <w:t xml:space="preserve"> </w:t>
      </w:r>
      <w:r>
        <w:t xml:space="preserve">on RWI 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p>
      <w:pPr>
        <w:pStyle w:val="Heading2"/>
      </w:pPr>
      <w:bookmarkStart w:id="30" w:name="methods-references"/>
      <w:r>
        <w:t xml:space="preserve">Methods References</w:t>
      </w:r>
      <w:bookmarkEnd w:id="30"/>
    </w:p>
    <w:p>
      <w:pPr>
        <w:pStyle w:val="Heading1"/>
      </w:pPr>
      <w:bookmarkStart w:id="31" w:name="acknowledgements"/>
      <w:r>
        <w:t xml:space="preserve">Acknowledgements</w:t>
      </w:r>
      <w:bookmarkEnd w:id="31"/>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members of the ForestGEO Ecosystems &amp; Climate Lab at SCBI, and four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p>
      <w:pPr>
        <w:pStyle w:val="Heading1"/>
      </w:pPr>
      <w:bookmarkStart w:id="32" w:name="author-information"/>
      <w:r>
        <w:t xml:space="preserve">Author Information</w:t>
      </w:r>
      <w:bookmarkEnd w:id="32"/>
    </w:p>
    <w:p>
      <w:pPr>
        <w:pStyle w:val="Heading2"/>
      </w:pPr>
      <w:bookmarkStart w:id="33" w:name="contributions"/>
      <w:r>
        <w:t xml:space="preserve">Contributions</w:t>
      </w:r>
      <w:bookmarkEnd w:id="33"/>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p>
      <w:pPr>
        <w:pStyle w:val="Heading2"/>
      </w:pPr>
      <w:bookmarkStart w:id="34" w:name="corresponding-author"/>
      <w:r>
        <w:t xml:space="preserve">Corresponding Author</w:t>
      </w:r>
      <w:bookmarkEnd w:id="34"/>
    </w:p>
    <w:p>
      <w:pPr>
        <w:pStyle w:val="FirstParagraph"/>
      </w:pPr>
      <w:r>
        <w:t xml:space="preserve">Correspondence to</w:t>
      </w:r>
      <w:r>
        <w:t xml:space="preserve"> </w:t>
      </w:r>
      <w:hyperlink r:id="rId35">
        <w:r>
          <w:rPr>
            <w:rStyle w:val="Hyperlink"/>
          </w:rPr>
          <w:t xml:space="preserve">Kristina J. Anderson-Teixeira</w:t>
        </w:r>
      </w:hyperlink>
      <w:r>
        <w:t xml:space="preserve">.</w:t>
      </w:r>
    </w:p>
    <w:p>
      <w:pPr>
        <w:pStyle w:val="Heading1"/>
      </w:pPr>
      <w:bookmarkStart w:id="36" w:name="ethics-declarations"/>
      <w:r>
        <w:t xml:space="preserve">Ethics declarations</w:t>
      </w:r>
      <w:bookmarkEnd w:id="36"/>
    </w:p>
    <w:p>
      <w:pPr>
        <w:pStyle w:val="Heading2"/>
      </w:pPr>
      <w:bookmarkStart w:id="37" w:name="competing-interests"/>
      <w:r>
        <w:t xml:space="preserve">Competing interests</w:t>
      </w:r>
      <w:bookmarkEnd w:id="37"/>
    </w:p>
    <w:p>
      <w:pPr>
        <w:pStyle w:val="FirstParagraph"/>
      </w:pPr>
      <w:r>
        <w:t xml:space="preserve">The authors declare no competing interests.</w:t>
      </w:r>
    </w:p>
    <w:p>
      <w:pPr>
        <w:pStyle w:val="Heading1"/>
      </w:pPr>
      <w:bookmarkStart w:id="38" w:name="data-availability-statement"/>
      <w:r>
        <w:t xml:space="preserve">Data Availability Statement</w:t>
      </w:r>
      <w:bookmarkEnd w:id="38"/>
    </w:p>
    <w:p>
      <w:pPr>
        <w:pStyle w:val="FirstParagraph"/>
      </w:pPr>
      <w:r>
        <w:t xml:space="preserve">The datasets generated and analysed during the current study are available via GitHub in the</w:t>
      </w:r>
      <w:r>
        <w:t xml:space="preserve"> </w:t>
      </w:r>
      <w:r>
        <w:rPr>
          <w:i/>
        </w:rPr>
        <w:t xml:space="preserve">growth_phenology</w:t>
      </w:r>
      <w:r>
        <w:t xml:space="preserve"> </w:t>
      </w:r>
      <w:r>
        <w:t xml:space="preserve">repository of the ForestGEO Ecosystems &amp; Climate Lab @ SCBI, (</w:t>
      </w:r>
      <w:hyperlink r:id="rId39">
        <w:r>
          <w:rPr>
            <w:rStyle w:val="Hyperlink"/>
          </w:rPr>
          <w:t xml:space="preserve">https://github.com/EcoClimLab/growth_phenology</w:t>
        </w:r>
      </w:hyperlink>
      <w:r>
        <w:t xml:space="preserve">) and archived in Zenodo (DOI</w:t>
      </w:r>
      <w:r>
        <w:t xml:space="preserve"> </w:t>
      </w:r>
      <w:r>
        <w:rPr>
          <w:i/>
        </w:rPr>
        <w:t xml:space="preserve">[TBD]</w:t>
      </w:r>
      <w:r>
        <w:t xml:space="preserve">).</w:t>
      </w:r>
      <w:r>
        <w:t xml:space="preserve"> </w:t>
      </w:r>
      <w:r>
        <w:t xml:space="preserve">Master versions of the dendrometer band data are available for SCBI via GitHub in the</w:t>
      </w:r>
      <w:r>
        <w:t xml:space="preserve"> </w:t>
      </w:r>
      <w:r>
        <w:rPr>
          <w:i/>
        </w:rPr>
        <w:t xml:space="preserve">Dendrobands</w:t>
      </w:r>
      <w:r>
        <w:t xml:space="preserve"> </w:t>
      </w:r>
      <w:r>
        <w:t xml:space="preserve">repository of the Smithsonian Conservation Biology Institute ForestGEO plot (</w:t>
      </w:r>
      <w:hyperlink r:id="rId40">
        <w:r>
          <w:rPr>
            <w:rStyle w:val="Hyperlink"/>
          </w:rPr>
          <w:t xml:space="preserve">https://github.com/SCBI-ForestGEO/Dendrobands</w:t>
        </w:r>
      </w:hyperlink>
      <w:r>
        <w:t xml:space="preserve">), which is archived in Zenodo (DOI 10.5281/zenodo.5551143), and for Harvard Forest via the Harvard Forest Data Archive (</w:t>
      </w:r>
      <w:hyperlink r:id="rId41">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2">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8">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3">
        <w:r>
          <w:rPr>
            <w:rStyle w:val="Hyperlink"/>
          </w:rPr>
          <w:t xml:space="preserve">https://harvardforest1.fas.harvard.edu/exist/apps/datasets/showData.html?id=HF001</w:t>
        </w:r>
      </w:hyperlink>
      <w:r>
        <w:t xml:space="preserve"> </w:t>
      </w:r>
      <w:r>
        <w:t xml:space="preserve">AND</w:t>
      </w:r>
      <w:r>
        <w:t xml:space="preserve"> </w:t>
      </w:r>
      <w:hyperlink r:id="rId44">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5">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6">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7">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8">
        <w:r>
          <w:rPr>
            <w:rStyle w:val="Hyperlink"/>
          </w:rPr>
          <w:t xml:space="preserve">https://www.ncei.noaa.gov/products/paleoclimatology/tree-ring</w:t>
        </w:r>
      </w:hyperlink>
      <w:r>
        <w:t xml:space="preserve">), the DendroEcological Network (DEN;</w:t>
      </w:r>
      <w:r>
        <w:t xml:space="preserve"> </w:t>
      </w:r>
      <w:hyperlink r:id="rId49">
        <w:r>
          <w:rPr>
            <w:rStyle w:val="Hyperlink"/>
          </w:rPr>
          <w:t xml:space="preserve">https://www.uvm.edu/femc/dendro/</w:t>
        </w:r>
      </w:hyperlink>
      <w:r>
        <w:t xml:space="preserve">), and/or the Harvard Forest Data Archive (</w:t>
      </w:r>
      <w:hyperlink r:id="rId50">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p>
      <w:pPr>
        <w:pStyle w:val="Heading1"/>
      </w:pPr>
      <w:bookmarkStart w:id="51" w:name="code-availability-statement"/>
      <w:r>
        <w:t xml:space="preserve">Code Availability Statement</w:t>
      </w:r>
      <w:bookmarkEnd w:id="51"/>
    </w:p>
    <w:p>
      <w:pPr>
        <w:pStyle w:val="FirstParagraph"/>
      </w:pPr>
      <w:r>
        <w:t xml:space="preserve">Data were analysed in the open source statistical software R (version 4.0).</w:t>
      </w:r>
      <w:r>
        <w:t xml:space="preserve"> </w:t>
      </w:r>
      <w:r>
        <w:t xml:space="preserve">We used packages</w:t>
      </w:r>
      <w:r>
        <w:t xml:space="preserve"> </w:t>
      </w:r>
      <w:r>
        <w:rPr>
          <w:i/>
        </w:rPr>
        <w:t xml:space="preserve">climwin</w:t>
      </w:r>
      <w:r>
        <w:t xml:space="preserve"> </w:t>
      </w:r>
      <w:r>
        <w:t xml:space="preserve">v.1.2.3 (</w:t>
      </w:r>
      <w:hyperlink r:id="rId52">
        <w:r>
          <w:rPr>
            <w:rStyle w:val="Hyperlink"/>
          </w:rPr>
          <w:t xml:space="preserve">https://cran.r-project.org/web/packages/climwin/index.html</w:t>
        </w:r>
      </w:hyperlink>
      <w:r>
        <w:t xml:space="preserve">),</w:t>
      </w:r>
      <w:r>
        <w:t xml:space="preserve"> </w:t>
      </w:r>
      <w:r>
        <w:rPr>
          <w:i/>
        </w:rPr>
        <w:t xml:space="preserve">dplR</w:t>
      </w:r>
      <w:r>
        <w:t xml:space="preserve"> </w:t>
      </w:r>
      <w:r>
        <w:t xml:space="preserve">v.1.0.2, and</w:t>
      </w:r>
      <w:r>
        <w:t xml:space="preserve"> </w:t>
      </w:r>
      <w:r>
        <w:rPr>
          <w:i/>
        </w:rPr>
        <w:t xml:space="preserve">bootRes</w:t>
      </w:r>
      <w:r>
        <w:t xml:space="preserve"> </w:t>
      </w:r>
      <w:r>
        <w:t xml:space="preserve">v1.2.4,</w:t>
      </w:r>
      <w:r>
        <w:t xml:space="preserve"> </w:t>
      </w:r>
      <w:r>
        <w:rPr>
          <w:i/>
        </w:rPr>
        <w:t xml:space="preserve">rstanarm</w:t>
      </w:r>
      <w:r>
        <w:t xml:space="preserve"> </w:t>
      </w:r>
      <w:r>
        <w:t xml:space="preserve">v.2.21.1, and functions from</w:t>
      </w:r>
      <w:r>
        <w:t xml:space="preserve"> </w:t>
      </w:r>
      <w:r>
        <w:rPr>
          <w:i/>
        </w:rPr>
        <w:t xml:space="preserve">Rdendrom</w:t>
      </w:r>
      <w:r>
        <w:t xml:space="preserve"> </w:t>
      </w:r>
      <w:r>
        <w:t xml:space="preserve">(</w:t>
      </w:r>
      <w:hyperlink r:id="rId53">
        <w:r>
          <w:rPr>
            <w:rStyle w:val="Hyperlink"/>
          </w:rPr>
          <w:t xml:space="preserve">https://github.com/seanmcm/RDendrom/</w:t>
        </w:r>
      </w:hyperlink>
      <w:r>
        <w:t xml:space="preserve">).</w:t>
      </w:r>
      <w:r>
        <w:t xml:space="preserve"> </w:t>
      </w:r>
      <w:r>
        <w:t xml:space="preserve">We used</w:t>
      </w:r>
      <w:r>
        <w:t xml:space="preserve"> </w:t>
      </w:r>
      <w:r>
        <w:rPr>
          <w:i/>
        </w:rPr>
        <w:t xml:space="preserve">climpact</w:t>
      </w:r>
      <w:r>
        <w:t xml:space="preserve"> </w:t>
      </w:r>
      <w:r>
        <w:t xml:space="preserve">software v.1.2.8 (see www.climpact-sci.org).</w:t>
      </w:r>
      <w:r>
        <w:t xml:space="preserve"> </w:t>
      </w:r>
      <w:r>
        <w:t xml:space="preserve">All custom code is available through the EcoClimlab GitHub repository (</w:t>
      </w:r>
      <w:hyperlink r:id="rId39">
        <w:r>
          <w:rPr>
            <w:rStyle w:val="Hyperlink"/>
          </w:rPr>
          <w:t xml:space="preserve">https://github.com/EcoClimLab/growth_phenology</w:t>
        </w:r>
      </w:hyperlink>
      <w:r>
        <w:t xml:space="preserve">) and archived in Zenodo (DOI:</w:t>
      </w:r>
      <w:r>
        <w:t xml:space="preserve"> </w:t>
      </w:r>
      <w:r>
        <w:rPr>
          <w:i/>
        </w:rPr>
        <w:t xml:space="preserve">[TBD]</w:t>
      </w:r>
      <w:r>
        <w:t xml:space="preserve">).</w:t>
      </w:r>
    </w:p>
    <w:p>
      <w:pPr>
        <w:pStyle w:val="Heading1"/>
      </w:pPr>
      <w:bookmarkStart w:id="54" w:name="additional-information"/>
      <w:r>
        <w:t xml:space="preserve">Additional Information</w:t>
      </w:r>
      <w:bookmarkEnd w:id="54"/>
    </w:p>
    <w:p>
      <w:pPr>
        <w:pStyle w:val="FirstParagraph"/>
      </w:pPr>
      <w:r>
        <w:rPr>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p>
      <w:pPr>
        <w:pStyle w:val="Heading1"/>
      </w:pPr>
      <w:bookmarkStart w:id="55" w:name="figure-captions"/>
      <w:r>
        <w:t xml:space="preserve">Figure Captions</w:t>
      </w:r>
      <w:bookmarkEnd w:id="55"/>
    </w:p>
    <w:p>
      <w:pPr>
        <w:pStyle w:val="FirstParagraph"/>
      </w:pPr>
      <w:r>
        <w:rPr>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
        </w:rPr>
        <w:t xml:space="preserve">DOY</w:t>
      </w:r>
      <w:r>
        <w:rPr>
          <w:vertAlign w:val="subscript"/>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w:t>
      </w:r>
      <w:r>
        <w:t xml:space="preserve"> </w:t>
      </w:r>
      <m:oMath>
        <m:sSup>
          <m:e>
            <m:r>
              <m:t>​</m:t>
            </m:r>
          </m:e>
          <m:sup>
            <m:r>
              <m:t>∘</m:t>
            </m:r>
          </m:sup>
        </m:sSup>
      </m:oMath>
      <w:r>
        <w:t xml:space="preserve">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
        </w:rPr>
        <w:t xml:space="preserve">DOY</w:t>
      </w:r>
      <w:r>
        <w:rPr>
          <w:vertAlign w:val="subscript"/>
          <w:i/>
        </w:rPr>
        <w:t xml:space="preserve">25</w:t>
      </w:r>
      <w:r>
        <w:t xml:space="preserve">,</w:t>
      </w:r>
      <w:r>
        <w:t xml:space="preserve"> </w:t>
      </w:r>
      <w:r>
        <w:rPr>
          <w:i/>
        </w:rPr>
        <w:t xml:space="preserve">DOY</w:t>
      </w:r>
      <w:r>
        <w:rPr>
          <w:vertAlign w:val="subscript"/>
          <w:i/>
        </w:rPr>
        <w:t xml:space="preserve">50</w:t>
      </w:r>
      <w:r>
        <w:t xml:space="preserve">, and</w:t>
      </w:r>
      <w:r>
        <w:t xml:space="preserve"> </w:t>
      </w:r>
      <w:r>
        <w:rPr>
          <w:i/>
        </w:rPr>
        <w:t xml:space="preserve">DOY</w:t>
      </w:r>
      <w:r>
        <w:rPr>
          <w:vertAlign w:val="subscript"/>
          <w:i/>
        </w:rPr>
        <w:t xml:space="preserve">75</w:t>
      </w:r>
      <w:r>
        <w:t xml:space="preserve"> </w:t>
      </w:r>
      <w:r>
        <w:t xml:space="preserve">were estimated using the Bayesian model visualized, with confidence intervals, in Extended Data Figure 4. Mean maximum temperature (</w:t>
      </w:r>
      <w:r>
        <w:rPr>
          <w:i/>
        </w:rPr>
        <w:t xml:space="preserve">T</w:t>
      </w:r>
      <w:r>
        <w:rPr>
          <w:vertAlign w:val="subscript"/>
          <w:i/>
        </w:rPr>
        <w:t xml:space="preserve">max</w:t>
      </w:r>
      <w:r>
        <w:t xml:space="preserve">) was calculated for each xylem architecture/site combination over the respective critical temperature window (CTW), then turned into a ratio and assigned a color on a gradient where the coldest year in the sample is blue and the warmest is red. Leaf phenology years are colored according to the CTW</w:t>
      </w:r>
      <w:r>
        <w:t xml:space="preserve"> </w:t>
      </w:r>
      <w:r>
        <w:rPr>
          <w:i/>
        </w:rPr>
        <w:t xml:space="preserve">T</w:t>
      </w:r>
      <w:r>
        <w:rPr>
          <w:vertAlign w:val="subscript"/>
          <w:i/>
        </w:rPr>
        <w:t xml:space="preserve">max</w:t>
      </w:r>
      <w:r>
        <w:t xml:space="preserve"> </w:t>
      </w:r>
      <w:r>
        <w:t xml:space="preserve">of the porosity group containing the dominant canopy species at each site (diffuse porous at SCBI, ring porous at Harvard Forest).</w:t>
      </w:r>
    </w:p>
    <w:p>
      <w:pPr>
        <w:pStyle w:val="BodyText"/>
      </w:pPr>
      <w:r>
        <w:rPr>
          <w:b/>
        </w:rPr>
        <w:t xml:space="preserve">Figure 3 | Sensitivity of annual growth, as derived from tree-rings, to monthly mean maximum temperatures (</w:t>
      </w:r>
      <w:r>
        <w:rPr>
          <w:i/>
          <w:b/>
        </w:rPr>
        <w:t xml:space="preserve">T</w:t>
      </w:r>
      <w:r>
        <w:rPr>
          <w:vertAlign w:val="subscript"/>
          <w:i/>
          <w:b/>
        </w:rPr>
        <w:t xml:space="preserve">max</w:t>
      </w:r>
      <w:r>
        <w:rPr>
          <w:b/>
        </w:rPr>
        <w:t xml:space="preserve">), for 207 chronologies from 108 sites across eastern North America</w:t>
      </w:r>
      <w:r>
        <w:t xml:space="preserve">. Colors indicate the correlation between monthly</w:t>
      </w:r>
      <w:r>
        <w:t xml:space="preserve"> </w:t>
      </w:r>
      <w:r>
        <w:rPr>
          <w:i/>
        </w:rPr>
        <w:t xml:space="preserve">T</w:t>
      </w:r>
      <w:r>
        <w:rPr>
          <w:vertAlign w:val="subscript"/>
          <w:i/>
        </w:rPr>
        <w:t xml:space="preserve">max</w:t>
      </w:r>
      <w:r>
        <w:t xml:space="preserve"> </w:t>
      </w:r>
      <w:r>
        <w:t xml:space="preserve">and a dimensionless ring width index (RWI) derived from the multiple trees that form each chronology and emphasizing interannual variability associated with climate. Chronologies are grouped by xylem porosity and ordered by mean April</w:t>
      </w:r>
      <w:r>
        <w:t xml:space="preserve"> </w:t>
      </w:r>
      <w:r>
        <w:rPr>
          <w:i/>
        </w:rPr>
        <w:t xml:space="preserve">T</w:t>
      </w:r>
      <w:r>
        <w:rPr>
          <w:vertAlign w:val="subscript"/>
          <w:i/>
        </w:rPr>
        <w:t xml:space="preserve">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w:t>
      </w:r>
      <w:r>
        <w:t xml:space="preserve"> </w:t>
      </w:r>
      <w:r>
        <w:rPr>
          <w:i/>
        </w:rPr>
        <w:t xml:space="preserve">T</w:t>
      </w:r>
      <w:r>
        <w:rPr>
          <w:vertAlign w:val="subscript"/>
          <w:i/>
        </w:rPr>
        <w:t xml:space="preserve">max</w:t>
      </w:r>
      <w:r>
        <w:t xml:space="preserve"> </w:t>
      </w:r>
      <w:r>
        <w:t xml:space="preserve">are summarized in Extended Data Table 3, and chronology details are given in SI Table 1.</w:t>
      </w:r>
    </w:p>
    <w:p>
      <w:r>
        <w:br w:type="page"/>
      </w:r>
    </w:p>
    <w:bookmarkStart w:id="143" w:name="refs"/>
    <w:bookmarkStart w:id="56" w:name="ref-keenan_net_2014"/>
    <w:p>
      <w:pPr>
        <w:pStyle w:val="Bibliography"/>
      </w:pPr>
      <w:r>
        <w:t xml:space="preserve">1. Keenan, T. F.</w:t>
      </w:r>
      <w:r>
        <w:t xml:space="preserve"> </w:t>
      </w:r>
      <w:r>
        <w:rPr>
          <w:i/>
        </w:rPr>
        <w:t xml:space="preserve">et al.</w:t>
      </w:r>
      <w:r>
        <w:t xml:space="preserve"> </w:t>
      </w:r>
      <w:r>
        <w:t xml:space="preserve">Net carbon uptake has increased through warming-induced changes in temperate forest phenology.</w:t>
      </w:r>
      <w:r>
        <w:t xml:space="preserve"> </w:t>
      </w:r>
      <w:r>
        <w:rPr>
          <w:i/>
        </w:rPr>
        <w:t xml:space="preserve">Nature Climate Change</w:t>
      </w:r>
      <w:r>
        <w:t xml:space="preserve"> </w:t>
      </w:r>
      <w:r>
        <w:rPr>
          <w:b/>
        </w:rPr>
        <w:t xml:space="preserve">4</w:t>
      </w:r>
      <w:r>
        <w:t xml:space="preserve">, 598–604 (2014).</w:t>
      </w:r>
    </w:p>
    <w:bookmarkEnd w:id="56"/>
    <w:bookmarkStart w:id="57" w:name="ref-buermann_widespread_2018"/>
    <w:p>
      <w:pPr>
        <w:pStyle w:val="Bibliography"/>
      </w:pPr>
      <w:r>
        <w:t xml:space="preserve">2. Buermann, W.</w:t>
      </w:r>
      <w:r>
        <w:t xml:space="preserve"> </w:t>
      </w:r>
      <w:r>
        <w:rPr>
          <w:i/>
        </w:rPr>
        <w:t xml:space="preserve">et al.</w:t>
      </w:r>
      <w:r>
        <w:t xml:space="preserve"> </w:t>
      </w:r>
      <w:r>
        <w:t xml:space="preserve">Widespread seasonal compensation effects of spring warming on northern plant productivity.</w:t>
      </w:r>
      <w:r>
        <w:t xml:space="preserve"> </w:t>
      </w:r>
      <w:r>
        <w:rPr>
          <w:i/>
        </w:rPr>
        <w:t xml:space="preserve">Nature</w:t>
      </w:r>
      <w:r>
        <w:t xml:space="preserve"> </w:t>
      </w:r>
      <w:r>
        <w:rPr>
          <w:b/>
        </w:rPr>
        <w:t xml:space="preserve">562</w:t>
      </w:r>
      <w:r>
        <w:t xml:space="preserve">, 110–114 (2018).</w:t>
      </w:r>
    </w:p>
    <w:bookmarkEnd w:id="57"/>
    <w:bookmarkStart w:id="58" w:name="ref-finzi_carbon_2020"/>
    <w:p>
      <w:pPr>
        <w:pStyle w:val="Bibliography"/>
      </w:pPr>
      <w:r>
        <w:t xml:space="preserve">3. Finzi, A. C.</w:t>
      </w:r>
      <w:r>
        <w:t xml:space="preserve"> </w:t>
      </w:r>
      <w:r>
        <w:rPr>
          <w:i/>
        </w:rPr>
        <w:t xml:space="preserve">et al.</w:t>
      </w:r>
      <w:r>
        <w:t xml:space="preserve"> </w:t>
      </w:r>
      <w:r>
        <w:t xml:space="preserve">Carbon budget of the Harvard Forest Long-Term Ecological Research site: Pattern, process, and response to global change.</w:t>
      </w:r>
      <w:r>
        <w:t xml:space="preserve"> </w:t>
      </w:r>
      <w:r>
        <w:rPr>
          <w:i/>
        </w:rPr>
        <w:t xml:space="preserve">Ecological Monographs</w:t>
      </w:r>
      <w:r>
        <w:t xml:space="preserve"> </w:t>
      </w:r>
      <w:r>
        <w:rPr>
          <w:b/>
        </w:rPr>
        <w:t xml:space="preserve">90</w:t>
      </w:r>
      <w:r>
        <w:t xml:space="preserve">, e01423 (2020).</w:t>
      </w:r>
    </w:p>
    <w:bookmarkEnd w:id="58"/>
    <w:bookmarkStart w:id="59" w:name="ref-keeling_increased_1996"/>
    <w:p>
      <w:pPr>
        <w:pStyle w:val="Bibliography"/>
      </w:pPr>
      <w:r>
        <w:t xml:space="preserve">4. Keeling, C. D., Chin, J. F. S. &amp; Whorf, T. P. Increased activity of northern vegetation inferred from atmospheric CO 2 measurements.</w:t>
      </w:r>
      <w:r>
        <w:t xml:space="preserve"> </w:t>
      </w:r>
      <w:r>
        <w:rPr>
          <w:i/>
        </w:rPr>
        <w:t xml:space="preserve">Nature</w:t>
      </w:r>
      <w:r>
        <w:t xml:space="preserve"> </w:t>
      </w:r>
      <w:r>
        <w:rPr>
          <w:b/>
        </w:rPr>
        <w:t xml:space="preserve">382</w:t>
      </w:r>
      <w:r>
        <w:t xml:space="preserve">, 146–149 (1996).</w:t>
      </w:r>
    </w:p>
    <w:bookmarkEnd w:id="59"/>
    <w:bookmarkStart w:id="60" w:name="ref-dragoni_evidence_2011"/>
    <w:p>
      <w:pPr>
        <w:pStyle w:val="Bibliography"/>
      </w:pPr>
      <w:r>
        <w:t xml:space="preserve">5. Dragoni, D.</w:t>
      </w:r>
      <w:r>
        <w:t xml:space="preserve"> </w:t>
      </w:r>
      <w:r>
        <w:rPr>
          <w:i/>
        </w:rPr>
        <w:t xml:space="preserve">et al.</w:t>
      </w:r>
      <w:r>
        <w:t xml:space="preserve"> </w:t>
      </w:r>
      <w:r>
        <w:t xml:space="preserve">Evidence of increased net ecosystem productivity associated with a longer vegetated season in a deciduous forest in south-central Indiana, USA.</w:t>
      </w:r>
      <w:r>
        <w:t xml:space="preserve"> </w:t>
      </w:r>
      <w:r>
        <w:rPr>
          <w:i/>
        </w:rPr>
        <w:t xml:space="preserve">Global Change Biology</w:t>
      </w:r>
      <w:r>
        <w:t xml:space="preserve"> </w:t>
      </w:r>
      <w:r>
        <w:rPr>
          <w:b/>
        </w:rPr>
        <w:t xml:space="preserve">17</w:t>
      </w:r>
      <w:r>
        <w:t xml:space="preserve">, 886–897 (2011).</w:t>
      </w:r>
    </w:p>
    <w:bookmarkEnd w:id="60"/>
    <w:bookmarkStart w:id="61" w:name="ref-crabbe_extreme_2016"/>
    <w:p>
      <w:pPr>
        <w:pStyle w:val="Bibliography"/>
      </w:pPr>
      <w:r>
        <w:t xml:space="preserve">6. Crabbe, R. A.</w:t>
      </w:r>
      <w:r>
        <w:t xml:space="preserve"> </w:t>
      </w:r>
      <w:r>
        <w:rPr>
          <w:i/>
        </w:rPr>
        <w:t xml:space="preserve">et al.</w:t>
      </w:r>
      <w:r>
        <w:t xml:space="preserve"> </w:t>
      </w:r>
      <w:r>
        <w:t xml:space="preserve">Extreme warm temperatures alter forest phenology and productivity in Europe.</w:t>
      </w:r>
      <w:r>
        <w:t xml:space="preserve"> </w:t>
      </w:r>
      <w:r>
        <w:rPr>
          <w:i/>
        </w:rPr>
        <w:t xml:space="preserve">Science of The Total Environment</w:t>
      </w:r>
      <w:r>
        <w:t xml:space="preserve"> </w:t>
      </w:r>
      <w:r>
        <w:rPr>
          <w:b/>
        </w:rPr>
        <w:t xml:space="preserve">563–564</w:t>
      </w:r>
      <w:r>
        <w:t xml:space="preserve">, 486–495 (2016).</w:t>
      </w:r>
    </w:p>
    <w:bookmarkEnd w:id="61"/>
    <w:bookmarkStart w:id="62" w:name="ref-zhou_explaining_2016"/>
    <w:p>
      <w:pPr>
        <w:pStyle w:val="Bibliography"/>
      </w:pPr>
      <w:r>
        <w:t xml:space="preserve">7. Zhou, S.</w:t>
      </w:r>
      <w:r>
        <w:t xml:space="preserve"> </w:t>
      </w:r>
      <w:r>
        <w:rPr>
          <w:i/>
        </w:rPr>
        <w:t xml:space="preserve">et al.</w:t>
      </w:r>
      <w:r>
        <w:t xml:space="preserve"> </w:t>
      </w:r>
      <w:r>
        <w:t xml:space="preserve">Explaining inter-annual variability of gross primary productivity from plant phenology and physiology.</w:t>
      </w:r>
      <w:r>
        <w:t xml:space="preserve"> </w:t>
      </w:r>
      <w:r>
        <w:rPr>
          <w:i/>
        </w:rPr>
        <w:t xml:space="preserve">Agricultural and Forest Meteorology</w:t>
      </w:r>
      <w:r>
        <w:t xml:space="preserve"> </w:t>
      </w:r>
      <w:r>
        <w:rPr>
          <w:b/>
        </w:rPr>
        <w:t xml:space="preserve">226–227</w:t>
      </w:r>
      <w:r>
        <w:t xml:space="preserve">, 246–256 (2016).</w:t>
      </w:r>
    </w:p>
    <w:bookmarkEnd w:id="62"/>
    <w:bookmarkStart w:id="63" w:name="ref-fu_maximum_2019"/>
    <w:p>
      <w:pPr>
        <w:pStyle w:val="Bibliography"/>
      </w:pPr>
      <w:r>
        <w:t xml:space="preserve">8. Fu, Z.</w:t>
      </w:r>
      <w:r>
        <w:t xml:space="preserve"> </w:t>
      </w:r>
      <w:r>
        <w:rPr>
          <w:i/>
        </w:rPr>
        <w:t xml:space="preserve">et al.</w:t>
      </w:r>
      <w:r>
        <w:t xml:space="preserve"> </w:t>
      </w:r>
      <w:r>
        <w:t xml:space="preserve">Maximum carbon uptake rate dominates the interannual variability of global net ecosystem exchange.</w:t>
      </w:r>
      <w:r>
        <w:t xml:space="preserve"> </w:t>
      </w:r>
      <w:r>
        <w:rPr>
          <w:i/>
        </w:rPr>
        <w:t xml:space="preserve">Global Change Biology</w:t>
      </w:r>
      <w:r>
        <w:t xml:space="preserve"> </w:t>
      </w:r>
      <w:r>
        <w:rPr>
          <w:b/>
        </w:rPr>
        <w:t xml:space="preserve">25</w:t>
      </w:r>
      <w:r>
        <w:t xml:space="preserve">, 3381–3394 (2019).</w:t>
      </w:r>
    </w:p>
    <w:bookmarkEnd w:id="63"/>
    <w:bookmarkStart w:id="64" w:name="ref-savage_coordination_2021"/>
    <w:p>
      <w:pPr>
        <w:pStyle w:val="Bibliography"/>
      </w:pPr>
      <w:r>
        <w:t xml:space="preserve">9. Savage, J. A. &amp; Chuine, I. Coordination of spring vascular and organ phenology in deciduous angiosperms growing in seasonally cold climates.</w:t>
      </w:r>
      <w:r>
        <w:t xml:space="preserve"> </w:t>
      </w:r>
      <w:r>
        <w:rPr>
          <w:i/>
        </w:rPr>
        <w:t xml:space="preserve">New Phytologist</w:t>
      </w:r>
      <w:r>
        <w:t xml:space="preserve"> </w:t>
      </w:r>
      <w:r>
        <w:rPr>
          <w:b/>
        </w:rPr>
        <w:t xml:space="preserve">230</w:t>
      </w:r>
      <w:r>
        <w:t xml:space="preserve">, 1700–1715 (2021).</w:t>
      </w:r>
    </w:p>
    <w:bookmarkEnd w:id="64"/>
    <w:bookmarkStart w:id="65" w:name="ref-delpierre_temperate_2016"/>
    <w:p>
      <w:pPr>
        <w:pStyle w:val="Bibliography"/>
      </w:pPr>
      <w:r>
        <w:t xml:space="preserve">10. Delpierre, N.</w:t>
      </w:r>
      <w:r>
        <w:t xml:space="preserve"> </w:t>
      </w:r>
      <w:r>
        <w:rPr>
          <w:i/>
        </w:rPr>
        <w:t xml:space="preserve">et al.</w:t>
      </w:r>
      <w:r>
        <w:t xml:space="preserve"> </w:t>
      </w:r>
      <w:r>
        <w:t xml:space="preserve">Temperate and boreal forest tree phenology: From organ-scale processes to terrestrial ecosystem models.</w:t>
      </w:r>
      <w:r>
        <w:t xml:space="preserve"> </w:t>
      </w:r>
      <w:r>
        <w:rPr>
          <w:i/>
        </w:rPr>
        <w:t xml:space="preserve">Annals of Forest Science</w:t>
      </w:r>
      <w:r>
        <w:t xml:space="preserve"> </w:t>
      </w:r>
      <w:r>
        <w:rPr>
          <w:b/>
        </w:rPr>
        <w:t xml:space="preserve">73</w:t>
      </w:r>
      <w:r>
        <w:t xml:space="preserve">, 5–25 (2016).</w:t>
      </w:r>
    </w:p>
    <w:bookmarkEnd w:id="65"/>
    <w:bookmarkStart w:id="66" w:name="ref-xue_global_2017"/>
    <w:p>
      <w:pPr>
        <w:pStyle w:val="Bibliography"/>
      </w:pPr>
      <w:r>
        <w:t xml:space="preserve">11. Xue, B.-L.</w:t>
      </w:r>
      <w:r>
        <w:t xml:space="preserve"> </w:t>
      </w:r>
      <w:r>
        <w:rPr>
          <w:i/>
        </w:rPr>
        <w:t xml:space="preserve">et al.</w:t>
      </w:r>
      <w:r>
        <w:t xml:space="preserve"> </w:t>
      </w:r>
      <w:r>
        <w:t xml:space="preserve">Global patterns of woody residence time and its influence on model simulation of aboveground biomass.</w:t>
      </w:r>
      <w:r>
        <w:t xml:space="preserve"> </w:t>
      </w:r>
      <w:r>
        <w:rPr>
          <w:i/>
        </w:rPr>
        <w:t xml:space="preserve">Global Biogeochemical Cycles</w:t>
      </w:r>
      <w:r>
        <w:t xml:space="preserve"> </w:t>
      </w:r>
      <w:r>
        <w:rPr>
          <w:b/>
        </w:rPr>
        <w:t xml:space="preserve">31</w:t>
      </w:r>
      <w:r>
        <w:t xml:space="preserve">, 821–835 (2017).</w:t>
      </w:r>
    </w:p>
    <w:bookmarkEnd w:id="66"/>
    <w:bookmarkStart w:id="67" w:name="ref-russell_residence_2014"/>
    <w:p>
      <w:pPr>
        <w:pStyle w:val="Bibliography"/>
      </w:pPr>
      <w:r>
        <w:t xml:space="preserve">12. Russell, M. B.</w:t>
      </w:r>
      <w:r>
        <w:t xml:space="preserve"> </w:t>
      </w:r>
      <w:r>
        <w:rPr>
          <w:i/>
        </w:rPr>
        <w:t xml:space="preserve">et al.</w:t>
      </w:r>
      <w:r>
        <w:t xml:space="preserve"> </w:t>
      </w:r>
      <w:r>
        <w:t xml:space="preserve">Residence times and decay rates of downed woody debris biomass/carbon in eastern US forests.</w:t>
      </w:r>
      <w:r>
        <w:t xml:space="preserve"> </w:t>
      </w:r>
      <w:r>
        <w:rPr>
          <w:i/>
        </w:rPr>
        <w:t xml:space="preserve">Ecosystems</w:t>
      </w:r>
      <w:r>
        <w:t xml:space="preserve"> </w:t>
      </w:r>
      <w:r>
        <w:rPr>
          <w:b/>
        </w:rPr>
        <w:t xml:space="preserve">17</w:t>
      </w:r>
      <w:r>
        <w:t xml:space="preserve">, 765–777 (2014).</w:t>
      </w:r>
    </w:p>
    <w:bookmarkEnd w:id="67"/>
    <w:bookmarkStart w:id="68" w:name="ref-richardson_terrestrial_2012"/>
    <w:p>
      <w:pPr>
        <w:pStyle w:val="Bibliography"/>
      </w:pPr>
      <w:r>
        <w:t xml:space="preserve">13. Richardson, A. D.</w:t>
      </w:r>
      <w:r>
        <w:t xml:space="preserve"> </w:t>
      </w:r>
      <w:r>
        <w:rPr>
          <w:i/>
        </w:rPr>
        <w:t xml:space="preserve">et al.</w:t>
      </w:r>
      <w:r>
        <w:t xml:space="preserve"> </w:t>
      </w:r>
      <w:r>
        <w:t xml:space="preserve">Terrestrial biosphere models need better representation of vegetation phenology: Results from the North American Carbon Program Site Synthesis.</w:t>
      </w:r>
      <w:r>
        <w:t xml:space="preserve"> </w:t>
      </w:r>
      <w:r>
        <w:rPr>
          <w:i/>
        </w:rPr>
        <w:t xml:space="preserve">Global Change Biology</w:t>
      </w:r>
      <w:r>
        <w:t xml:space="preserve"> </w:t>
      </w:r>
      <w:r>
        <w:rPr>
          <w:b/>
        </w:rPr>
        <w:t xml:space="preserve">18</w:t>
      </w:r>
      <w:r>
        <w:t xml:space="preserve">, 566–584 (2012).</w:t>
      </w:r>
    </w:p>
    <w:bookmarkEnd w:id="68"/>
    <w:bookmarkStart w:id="70" w:name="ref-harris_global_2021"/>
    <w:p>
      <w:pPr>
        <w:pStyle w:val="Bibliography"/>
      </w:pPr>
      <w:r>
        <w:t xml:space="preserve">14. Harris, N. L.</w:t>
      </w:r>
      <w:r>
        <w:t xml:space="preserve"> </w:t>
      </w:r>
      <w:r>
        <w:rPr>
          <w:i/>
        </w:rPr>
        <w:t xml:space="preserve">et al.</w:t>
      </w:r>
      <w:r>
        <w:t xml:space="preserve"> </w:t>
      </w:r>
      <w:r>
        <w:t xml:space="preserve">Global maps of twenty-first century forest carbon fluxes.</w:t>
      </w:r>
      <w:r>
        <w:t xml:space="preserve"> </w:t>
      </w:r>
      <w:r>
        <w:rPr>
          <w:i/>
        </w:rPr>
        <w:t xml:space="preserve">Nature Climate Change</w:t>
      </w:r>
      <w:r>
        <w:t xml:space="preserve"> </w:t>
      </w:r>
      <w:r>
        <w:t xml:space="preserve">1–7 (2021) doi:</w:t>
      </w:r>
      <w:hyperlink r:id="rId69">
        <w:r>
          <w:rPr>
            <w:rStyle w:val="Hyperlink"/>
          </w:rPr>
          <w:t xml:space="preserve">10.1038/s41558-020-00976-6</w:t>
        </w:r>
      </w:hyperlink>
      <w:r>
        <w:t xml:space="preserve">.</w:t>
      </w:r>
    </w:p>
    <w:bookmarkEnd w:id="70"/>
    <w:bookmarkStart w:id="71" w:name="ref-pugh_role_2019"/>
    <w:p>
      <w:pPr>
        <w:pStyle w:val="Bibliography"/>
      </w:pPr>
      <w:r>
        <w:t xml:space="preserve">15. Pugh, T. A. M.</w:t>
      </w:r>
      <w:r>
        <w:t xml:space="preserve"> </w:t>
      </w:r>
      <w:r>
        <w:rPr>
          <w:i/>
        </w:rPr>
        <w:t xml:space="preserve">et al.</w:t>
      </w:r>
      <w:r>
        <w:t xml:space="preserve"> </w:t>
      </w:r>
      <w:r>
        <w:t xml:space="preserve">Role of forest regrowth in global carbon sink dynamics.</w:t>
      </w:r>
      <w:r>
        <w:t xml:space="preserve"> </w:t>
      </w:r>
      <w:r>
        <w:rPr>
          <w:i/>
        </w:rPr>
        <w:t xml:space="preserve">Proceedings of the National Academy of Sciences</w:t>
      </w:r>
      <w:r>
        <w:t xml:space="preserve"> </w:t>
      </w:r>
      <w:r>
        <w:rPr>
          <w:b/>
        </w:rPr>
        <w:t xml:space="preserve">116</w:t>
      </w:r>
      <w:r>
        <w:t xml:space="preserve">, 4382–4387 (2019).</w:t>
      </w:r>
    </w:p>
    <w:bookmarkEnd w:id="71"/>
    <w:bookmarkStart w:id="72" w:name="ref-ahlstrom_robustness_2012"/>
    <w:p>
      <w:pPr>
        <w:pStyle w:val="Bibliography"/>
      </w:pPr>
      <w:r>
        <w:t xml:space="preserve">16. Ahlström, A., Schurgers, G., Arneth, A. &amp; Smith, B. Robustness and uncertainty in terrestrial ecosystem carbon response to CMIP5 climate change projections.</w:t>
      </w:r>
      <w:r>
        <w:t xml:space="preserve"> </w:t>
      </w:r>
      <w:r>
        <w:rPr>
          <w:i/>
        </w:rPr>
        <w:t xml:space="preserve">Environmental Research Letters</w:t>
      </w:r>
      <w:r>
        <w:t xml:space="preserve"> </w:t>
      </w:r>
      <w:r>
        <w:rPr>
          <w:b/>
        </w:rPr>
        <w:t xml:space="preserve">7</w:t>
      </w:r>
      <w:r>
        <w:t xml:space="preserve">, 044008 (2012).</w:t>
      </w:r>
    </w:p>
    <w:bookmarkEnd w:id="72"/>
    <w:bookmarkStart w:id="73" w:name="ref-friedlingstein_global_2020"/>
    <w:p>
      <w:pPr>
        <w:pStyle w:val="Bibliography"/>
      </w:pPr>
      <w:r>
        <w:t xml:space="preserve">17. Friedlingstein, P.</w:t>
      </w:r>
      <w:r>
        <w:t xml:space="preserve"> </w:t>
      </w:r>
      <w:r>
        <w:rPr>
          <w:i/>
        </w:rPr>
        <w:t xml:space="preserve">et al.</w:t>
      </w:r>
      <w:r>
        <w:t xml:space="preserve"> </w:t>
      </w:r>
      <w:r>
        <w:t xml:space="preserve">Global Carbon Budget 2020.</w:t>
      </w:r>
      <w:r>
        <w:t xml:space="preserve"> </w:t>
      </w:r>
      <w:r>
        <w:rPr>
          <w:i/>
        </w:rPr>
        <w:t xml:space="preserve">Earth System Science Data</w:t>
      </w:r>
      <w:r>
        <w:t xml:space="preserve"> </w:t>
      </w:r>
      <w:r>
        <w:rPr>
          <w:b/>
        </w:rPr>
        <w:t xml:space="preserve">12</w:t>
      </w:r>
      <w:r>
        <w:t xml:space="preserve">, 3269–3340 (2020).</w:t>
      </w:r>
    </w:p>
    <w:bookmarkEnd w:id="73"/>
    <w:bookmarkStart w:id="74" w:name="ref-fatichi_moving_2014"/>
    <w:p>
      <w:pPr>
        <w:pStyle w:val="Bibliography"/>
      </w:pPr>
      <w:r>
        <w:t xml:space="preserve">18. Fatichi, S., Leuzinger, S. &amp; Körner, C. Moving beyond photosynthesis: From carbon source to sink-driven vegetation modeling.</w:t>
      </w:r>
      <w:r>
        <w:t xml:space="preserve"> </w:t>
      </w:r>
      <w:r>
        <w:rPr>
          <w:i/>
        </w:rPr>
        <w:t xml:space="preserve">The New Phytologist</w:t>
      </w:r>
      <w:r>
        <w:t xml:space="preserve"> </w:t>
      </w:r>
      <w:r>
        <w:rPr>
          <w:b/>
        </w:rPr>
        <w:t xml:space="preserve">201</w:t>
      </w:r>
      <w:r>
        <w:t xml:space="preserve">, 1086–1095 (2014).</w:t>
      </w:r>
    </w:p>
    <w:bookmarkEnd w:id="74"/>
    <w:bookmarkStart w:id="75" w:name="ref-lu_no_2022"/>
    <w:p>
      <w:pPr>
        <w:pStyle w:val="Bibliography"/>
      </w:pPr>
      <w:r>
        <w:t xml:space="preserve">19. Lu, X. &amp; Keenan, T. F. No evidence for a negative effect of growing season photosynthesis on leaf senescence timing.</w:t>
      </w:r>
      <w:r>
        <w:t xml:space="preserve"> </w:t>
      </w:r>
      <w:r>
        <w:rPr>
          <w:i/>
        </w:rPr>
        <w:t xml:space="preserve">Global Change Biology</w:t>
      </w:r>
      <w:r>
        <w:t xml:space="preserve"> </w:t>
      </w:r>
      <w:r>
        <w:rPr>
          <w:b/>
        </w:rPr>
        <w:t xml:space="preserve">28</w:t>
      </w:r>
      <w:r>
        <w:t xml:space="preserve">, 3083–3093 (2022).</w:t>
      </w:r>
    </w:p>
    <w:bookmarkEnd w:id="75"/>
    <w:bookmarkStart w:id="76" w:name="ref-jiang_fate_2020"/>
    <w:p>
      <w:pPr>
        <w:pStyle w:val="Bibliography"/>
      </w:pPr>
      <w:r>
        <w:t xml:space="preserve">20. Jiang, M.</w:t>
      </w:r>
      <w:r>
        <w:t xml:space="preserve"> </w:t>
      </w:r>
      <w:r>
        <w:rPr>
          <w:i/>
        </w:rPr>
        <w:t xml:space="preserve">et al.</w:t>
      </w:r>
      <w:r>
        <w:t xml:space="preserve"> </w:t>
      </w:r>
      <w:r>
        <w:t xml:space="preserve">The fate of carbon in a mature forest under carbon dioxide enrichment.</w:t>
      </w:r>
      <w:r>
        <w:t xml:space="preserve"> </w:t>
      </w:r>
      <w:r>
        <w:rPr>
          <w:i/>
        </w:rPr>
        <w:t xml:space="preserve">Nature</w:t>
      </w:r>
      <w:r>
        <w:t xml:space="preserve"> </w:t>
      </w:r>
      <w:r>
        <w:rPr>
          <w:b/>
        </w:rPr>
        <w:t xml:space="preserve">580</w:t>
      </w:r>
      <w:r>
        <w:t xml:space="preserve">, 227–231 (2020).</w:t>
      </w:r>
    </w:p>
    <w:bookmarkEnd w:id="76"/>
    <w:bookmarkStart w:id="77" w:name="ref-oishi_warmer_2018"/>
    <w:p>
      <w:pPr>
        <w:pStyle w:val="Bibliography"/>
      </w:pPr>
      <w:r>
        <w:t xml:space="preserve">21. Oishi, A. C.</w:t>
      </w:r>
      <w:r>
        <w:t xml:space="preserve"> </w:t>
      </w:r>
      <w:r>
        <w:rPr>
          <w:i/>
        </w:rPr>
        <w:t xml:space="preserve">et al.</w:t>
      </w:r>
      <w:r>
        <w:t xml:space="preserve"> </w:t>
      </w:r>
      <w:r>
        <w:t xml:space="preserve">Warmer temperatures reduce net carbon uptake, but do not affect water use, in a mature southern Appalachian forest.</w:t>
      </w:r>
      <w:r>
        <w:t xml:space="preserve"> </w:t>
      </w:r>
      <w:r>
        <w:rPr>
          <w:i/>
        </w:rPr>
        <w:t xml:space="preserve">Agricultural and Forest Meteorology</w:t>
      </w:r>
      <w:r>
        <w:t xml:space="preserve"> </w:t>
      </w:r>
      <w:r>
        <w:rPr>
          <w:b/>
        </w:rPr>
        <w:t xml:space="preserve">252</w:t>
      </w:r>
      <w:r>
        <w:t xml:space="preserve">, 269–282 (2018).</w:t>
      </w:r>
    </w:p>
    <w:bookmarkEnd w:id="77"/>
    <w:bookmarkStart w:id="78" w:name="ref-delpierre_wood_2016"/>
    <w:p>
      <w:pPr>
        <w:pStyle w:val="Bibliography"/>
      </w:pPr>
      <w:r>
        <w:t xml:space="preserve">22. Delpierre, N., Berveiller, D., Granda, E. &amp; Dufrêne, E. Wood phenology, not carbon input, controls the interannual variability of wood growth in a temperate oak forest.</w:t>
      </w:r>
      <w:r>
        <w:t xml:space="preserve"> </w:t>
      </w:r>
      <w:r>
        <w:rPr>
          <w:i/>
        </w:rPr>
        <w:t xml:space="preserve">New Phytologist</w:t>
      </w:r>
      <w:r>
        <w:t xml:space="preserve"> </w:t>
      </w:r>
      <w:r>
        <w:rPr>
          <w:b/>
        </w:rPr>
        <w:t xml:space="preserve">210</w:t>
      </w:r>
      <w:r>
        <w:t xml:space="preserve">, 459–470 (2016).</w:t>
      </w:r>
    </w:p>
    <w:bookmarkEnd w:id="78"/>
    <w:bookmarkStart w:id="79" w:name="ref-huang_photoperiod_2020"/>
    <w:p>
      <w:pPr>
        <w:pStyle w:val="Bibliography"/>
      </w:pPr>
      <w:r>
        <w:t xml:space="preserve">23. Huang, J.-G.</w:t>
      </w:r>
      <w:r>
        <w:t xml:space="preserve"> </w:t>
      </w:r>
      <w:r>
        <w:rPr>
          <w:i/>
        </w:rPr>
        <w:t xml:space="preserve">et al.</w:t>
      </w:r>
      <w:r>
        <w:t xml:space="preserve"> </w:t>
      </w:r>
      <w:r>
        <w:t xml:space="preserve">Photoperiod and temperature as dominant environmental drivers triggering secondary growth resumption in Northern Hemisphere conifers.</w:t>
      </w:r>
      <w:r>
        <w:t xml:space="preserve"> </w:t>
      </w:r>
      <w:r>
        <w:rPr>
          <w:i/>
        </w:rPr>
        <w:t xml:space="preserve">Proceedings of the National Academy of Sciences</w:t>
      </w:r>
      <w:r>
        <w:t xml:space="preserve"> </w:t>
      </w:r>
      <w:r>
        <w:rPr>
          <w:b/>
        </w:rPr>
        <w:t xml:space="preserve">117</w:t>
      </w:r>
      <w:r>
        <w:t xml:space="preserve">, 20645–20652 (2020).</w:t>
      </w:r>
    </w:p>
    <w:bookmarkEnd w:id="79"/>
    <w:bookmarkStart w:id="80" w:name="ref-rossi_critical_2008"/>
    <w:p>
      <w:pPr>
        <w:pStyle w:val="Bibliography"/>
      </w:pPr>
      <w:r>
        <w:t xml:space="preserve">24. Rossi, S.</w:t>
      </w:r>
      <w:r>
        <w:t xml:space="preserve"> </w:t>
      </w:r>
      <w:r>
        <w:rPr>
          <w:i/>
        </w:rPr>
        <w:t xml:space="preserve">et al.</w:t>
      </w:r>
      <w:r>
        <w:t xml:space="preserve"> </w:t>
      </w:r>
      <w:r>
        <w:t xml:space="preserve">Critical temperatures for xylogenesis in conifers of cold climates.</w:t>
      </w:r>
      <w:r>
        <w:t xml:space="preserve"> </w:t>
      </w:r>
      <w:r>
        <w:rPr>
          <w:i/>
        </w:rPr>
        <w:t xml:space="preserve">Global Ecology and Biogeography</w:t>
      </w:r>
      <w:r>
        <w:t xml:space="preserve"> </w:t>
      </w:r>
      <w:r>
        <w:rPr>
          <w:b/>
        </w:rPr>
        <w:t xml:space="preserve">17</w:t>
      </w:r>
      <w:r>
        <w:t xml:space="preserve">, 696–707 (2008).</w:t>
      </w:r>
    </w:p>
    <w:bookmarkEnd w:id="80"/>
    <w:bookmarkStart w:id="81" w:name="ref-babst_twentieth_2019"/>
    <w:p>
      <w:pPr>
        <w:pStyle w:val="Bibliography"/>
      </w:pPr>
      <w:r>
        <w:t xml:space="preserve">25. Babst, F.</w:t>
      </w:r>
      <w:r>
        <w:t xml:space="preserve"> </w:t>
      </w:r>
      <w:r>
        <w:rPr>
          <w:i/>
        </w:rPr>
        <w:t xml:space="preserve">et al.</w:t>
      </w:r>
      <w:r>
        <w:t xml:space="preserve"> </w:t>
      </w:r>
      <w:r>
        <w:t xml:space="preserve">Twentieth century redistribution in climatic drivers of global tree growth.</w:t>
      </w:r>
      <w:r>
        <w:t xml:space="preserve"> </w:t>
      </w:r>
      <w:r>
        <w:rPr>
          <w:i/>
        </w:rPr>
        <w:t xml:space="preserve">Science Advances</w:t>
      </w:r>
      <w:r>
        <w:t xml:space="preserve"> </w:t>
      </w:r>
      <w:r>
        <w:rPr>
          <w:b/>
        </w:rPr>
        <w:t xml:space="preserve">5</w:t>
      </w:r>
      <w:r>
        <w:t xml:space="preserve">, eaat4313 (2019).</w:t>
      </w:r>
    </w:p>
    <w:bookmarkEnd w:id="81"/>
    <w:bookmarkStart w:id="83" w:name="ref-gao_earlier_2022"/>
    <w:p>
      <w:pPr>
        <w:pStyle w:val="Bibliography"/>
      </w:pPr>
      <w:r>
        <w:t xml:space="preserve">26. Gao, S.</w:t>
      </w:r>
      <w:r>
        <w:t xml:space="preserve"> </w:t>
      </w:r>
      <w:r>
        <w:rPr>
          <w:i/>
        </w:rPr>
        <w:t xml:space="preserve">et al.</w:t>
      </w:r>
      <w:r>
        <w:t xml:space="preserve"> </w:t>
      </w:r>
      <w:r>
        <w:t xml:space="preserve">An earlier start of the thermal growing season enhances tree growth in cold humid areas but not in dry areas.</w:t>
      </w:r>
      <w:r>
        <w:t xml:space="preserve"> </w:t>
      </w:r>
      <w:r>
        <w:rPr>
          <w:i/>
        </w:rPr>
        <w:t xml:space="preserve">Nature Ecology &amp; Evolution</w:t>
      </w:r>
      <w:r>
        <w:t xml:space="preserve"> </w:t>
      </w:r>
      <w:r>
        <w:t xml:space="preserve">1–8 (2022) doi:</w:t>
      </w:r>
      <w:hyperlink r:id="rId82">
        <w:r>
          <w:rPr>
            <w:rStyle w:val="Hyperlink"/>
          </w:rPr>
          <w:t xml:space="preserve">10.1038/s41559-022-01668-4</w:t>
        </w:r>
      </w:hyperlink>
      <w:r>
        <w:t xml:space="preserve">.</w:t>
      </w:r>
    </w:p>
    <w:bookmarkEnd w:id="83"/>
    <w:bookmarkStart w:id="84" w:name="ref-zweifel_why_2021"/>
    <w:p>
      <w:pPr>
        <w:pStyle w:val="Bibliography"/>
      </w:pPr>
      <w:r>
        <w:t xml:space="preserve">27. Zweifel, R.</w:t>
      </w:r>
      <w:r>
        <w:t xml:space="preserve"> </w:t>
      </w:r>
      <w:r>
        <w:rPr>
          <w:i/>
        </w:rPr>
        <w:t xml:space="preserve">et al.</w:t>
      </w:r>
      <w:r>
        <w:t xml:space="preserve"> </w:t>
      </w:r>
      <w:r>
        <w:t xml:space="preserve">Why trees grow at night.</w:t>
      </w:r>
      <w:r>
        <w:t xml:space="preserve"> </w:t>
      </w:r>
      <w:r>
        <w:rPr>
          <w:i/>
        </w:rPr>
        <w:t xml:space="preserve">New Phytologist</w:t>
      </w:r>
      <w:r>
        <w:t xml:space="preserve"> </w:t>
      </w:r>
      <w:r>
        <w:rPr>
          <w:b/>
        </w:rPr>
        <w:t xml:space="preserve">231</w:t>
      </w:r>
      <w:r>
        <w:t xml:space="preserve">, 2174–2185 (2021).</w:t>
      </w:r>
    </w:p>
    <w:bookmarkEnd w:id="84"/>
    <w:bookmarkStart w:id="85" w:name="ref-tumajer_limitation_2022"/>
    <w:p>
      <w:pPr>
        <w:pStyle w:val="Bibliography"/>
      </w:pPr>
      <w:r>
        <w:t xml:space="preserve">28. Tumajer, J., Scharnweber, T., Smiljanic, M. &amp; Wilmking, M. Limitation by vapour pressure deficit shapes different intra-annual growth patterns of diffuse- and ring-porous temperate broadleaves.</w:t>
      </w:r>
      <w:r>
        <w:t xml:space="preserve"> </w:t>
      </w:r>
      <w:r>
        <w:rPr>
          <w:i/>
        </w:rPr>
        <w:t xml:space="preserve">New Phytologist</w:t>
      </w:r>
      <w:r>
        <w:t xml:space="preserve"> </w:t>
      </w:r>
      <w:r>
        <w:rPr>
          <w:b/>
        </w:rPr>
        <w:t xml:space="preserve">233</w:t>
      </w:r>
      <w:r>
        <w:t xml:space="preserve">, 2429–2441 (2022).</w:t>
      </w:r>
    </w:p>
    <w:bookmarkEnd w:id="85"/>
    <w:bookmarkStart w:id="86" w:name="ref-etzold_number_2022"/>
    <w:p>
      <w:pPr>
        <w:pStyle w:val="Bibliography"/>
      </w:pPr>
      <w:r>
        <w:t xml:space="preserve">29. Etzold, S.</w:t>
      </w:r>
      <w:r>
        <w:t xml:space="preserve"> </w:t>
      </w:r>
      <w:r>
        <w:rPr>
          <w:i/>
        </w:rPr>
        <w:t xml:space="preserve">et al.</w:t>
      </w:r>
      <w:r>
        <w:t xml:space="preserve"> </w:t>
      </w:r>
      <w:r>
        <w:t xml:space="preserve">Number of growth days and not length of the growth period determines radial stem growth of temperate trees.</w:t>
      </w:r>
      <w:r>
        <w:t xml:space="preserve"> </w:t>
      </w:r>
      <w:r>
        <w:rPr>
          <w:i/>
        </w:rPr>
        <w:t xml:space="preserve">Ecology Letters</w:t>
      </w:r>
      <w:r>
        <w:t xml:space="preserve"> </w:t>
      </w:r>
      <w:r>
        <w:rPr>
          <w:b/>
        </w:rPr>
        <w:t xml:space="preserve">25</w:t>
      </w:r>
      <w:r>
        <w:t xml:space="preserve">, 427–439 (2022).</w:t>
      </w:r>
    </w:p>
    <w:bookmarkEnd w:id="86"/>
    <w:bookmarkStart w:id="87" w:name="ref-zani_increased_2020"/>
    <w:p>
      <w:pPr>
        <w:pStyle w:val="Bibliography"/>
      </w:pPr>
      <w:r>
        <w:t xml:space="preserve">30. Zani, D., Crowther, T. W., Mo, L., Renner, S. S. &amp; Zohner, C. M. Increased growing-season productivity drives earlier autumn leaf senescence in temperate trees.</w:t>
      </w:r>
      <w:r>
        <w:t xml:space="preserve"> </w:t>
      </w:r>
      <w:r>
        <w:rPr>
          <w:i/>
        </w:rPr>
        <w:t xml:space="preserve">Science</w:t>
      </w:r>
      <w:r>
        <w:t xml:space="preserve"> </w:t>
      </w:r>
      <w:r>
        <w:rPr>
          <w:b/>
        </w:rPr>
        <w:t xml:space="preserve">370</w:t>
      </w:r>
      <w:r>
        <w:t xml:space="preserve">, 1066–1071 (2020).</w:t>
      </w:r>
    </w:p>
    <w:bookmarkEnd w:id="87"/>
    <w:bookmarkStart w:id="88" w:name="ref-zohner_how_2021"/>
    <w:p>
      <w:pPr>
        <w:pStyle w:val="Bibliography"/>
      </w:pPr>
      <w:r>
        <w:t xml:space="preserve">31. Zohner, C. M., Renner, S. S., Sebald, V. &amp; Crowther, T. W. How changes in spring and autumn phenology translate into growth-experimental evidence of asymmetric effects.</w:t>
      </w:r>
      <w:r>
        <w:t xml:space="preserve"> </w:t>
      </w:r>
      <w:r>
        <w:rPr>
          <w:i/>
        </w:rPr>
        <w:t xml:space="preserve">Journal of Ecology</w:t>
      </w:r>
      <w:r>
        <w:t xml:space="preserve"> </w:t>
      </w:r>
      <w:r>
        <w:rPr>
          <w:b/>
        </w:rPr>
        <w:t xml:space="preserve">109</w:t>
      </w:r>
      <w:r>
        <w:t xml:space="preserve">, 2717–2728 (2021).</w:t>
      </w:r>
    </w:p>
    <w:bookmarkEnd w:id="88"/>
    <w:bookmarkStart w:id="89" w:name="ref-dorangeville_drought_2018"/>
    <w:p>
      <w:pPr>
        <w:pStyle w:val="Bibliography"/>
      </w:pPr>
      <w:r>
        <w:t xml:space="preserve">32. D’Orangeville, L.</w:t>
      </w:r>
      <w:r>
        <w:t xml:space="preserve"> </w:t>
      </w:r>
      <w:r>
        <w:rPr>
          <w:i/>
        </w:rPr>
        <w:t xml:space="preserve">et al.</w:t>
      </w:r>
      <w:r>
        <w:t xml:space="preserve"> </w:t>
      </w:r>
      <w:r>
        <w:t xml:space="preserve">Drought timing and local climate determine the sensitivity of eastern temperate forests to drought.</w:t>
      </w:r>
      <w:r>
        <w:t xml:space="preserve"> </w:t>
      </w:r>
      <w:r>
        <w:rPr>
          <w:i/>
        </w:rPr>
        <w:t xml:space="preserve">Global Change Biology</w:t>
      </w:r>
      <w:r>
        <w:t xml:space="preserve"> </w:t>
      </w:r>
      <w:r>
        <w:rPr>
          <w:b/>
        </w:rPr>
        <w:t xml:space="preserve">24</w:t>
      </w:r>
      <w:r>
        <w:t xml:space="preserve">, 2339–2351 (2018).</w:t>
      </w:r>
    </w:p>
    <w:bookmarkEnd w:id="89"/>
    <w:bookmarkStart w:id="90" w:name="ref-helcoski_growing_2019"/>
    <w:p>
      <w:pPr>
        <w:pStyle w:val="Bibliography"/>
      </w:pPr>
      <w:r>
        <w:t xml:space="preserve">33. Helcoski, R.</w:t>
      </w:r>
      <w:r>
        <w:t xml:space="preserve"> </w:t>
      </w:r>
      <w:r>
        <w:rPr>
          <w:i/>
        </w:rPr>
        <w:t xml:space="preserve">et al.</w:t>
      </w:r>
      <w:r>
        <w:t xml:space="preserve"> </w:t>
      </w:r>
      <w:r>
        <w:t xml:space="preserve">Growing season moisture drives interannual variation in woody productivity of a temperate deciduous forest.</w:t>
      </w:r>
      <w:r>
        <w:t xml:space="preserve"> </w:t>
      </w:r>
      <w:r>
        <w:rPr>
          <w:i/>
        </w:rPr>
        <w:t xml:space="preserve">New Phytologist</w:t>
      </w:r>
      <w:r>
        <w:t xml:space="preserve"> </w:t>
      </w:r>
      <w:r>
        <w:rPr>
          <w:b/>
        </w:rPr>
        <w:t xml:space="preserve">223</w:t>
      </w:r>
      <w:r>
        <w:t xml:space="preserve">, 1204–1216 (2019).</w:t>
      </w:r>
    </w:p>
    <w:bookmarkEnd w:id="90"/>
    <w:bookmarkStart w:id="91" w:name="ref-mcmahon_general_2015"/>
    <w:p>
      <w:pPr>
        <w:pStyle w:val="Bibliography"/>
      </w:pPr>
      <w:r>
        <w:t xml:space="preserve">34. McMahon, S. M. &amp; Parker, G. G. A general model of intra-annual tree growth using dendrometer bands.</w:t>
      </w:r>
      <w:r>
        <w:t xml:space="preserve"> </w:t>
      </w:r>
      <w:r>
        <w:rPr>
          <w:i/>
        </w:rPr>
        <w:t xml:space="preserve">Ecology and Evolution</w:t>
      </w:r>
      <w:r>
        <w:t xml:space="preserve"> </w:t>
      </w:r>
      <w:r>
        <w:rPr>
          <w:b/>
        </w:rPr>
        <w:t xml:space="preserve">5</w:t>
      </w:r>
      <w:r>
        <w:t xml:space="preserve">, 243–254 (2015).</w:t>
      </w:r>
    </w:p>
    <w:bookmarkEnd w:id="91"/>
    <w:bookmarkStart w:id="92" w:name="ref-dorangeville_peak_2022"/>
    <w:p>
      <w:pPr>
        <w:pStyle w:val="Bibliography"/>
      </w:pPr>
      <w:r>
        <w:t xml:space="preserve">35. D’Orangeville, L.</w:t>
      </w:r>
      <w:r>
        <w:t xml:space="preserve"> </w:t>
      </w:r>
      <w:r>
        <w:rPr>
          <w:i/>
        </w:rPr>
        <w:t xml:space="preserve">et al.</w:t>
      </w:r>
      <w:r>
        <w:t xml:space="preserve"> </w:t>
      </w:r>
      <w:r>
        <w:t xml:space="preserve">Peak radial growth of diffuse-porous species occurs during periods of lower water availability than for ring-porous and coniferous trees.</w:t>
      </w:r>
      <w:r>
        <w:t xml:space="preserve"> </w:t>
      </w:r>
      <w:r>
        <w:rPr>
          <w:i/>
        </w:rPr>
        <w:t xml:space="preserve">Tree Physiology</w:t>
      </w:r>
      <w:r>
        <w:t xml:space="preserve"> </w:t>
      </w:r>
      <w:r>
        <w:rPr>
          <w:b/>
        </w:rPr>
        <w:t xml:space="preserve">42</w:t>
      </w:r>
      <w:r>
        <w:t xml:space="preserve">, 304–316 (2022).</w:t>
      </w:r>
    </w:p>
    <w:bookmarkEnd w:id="92"/>
    <w:bookmarkStart w:id="93" w:name="ref-richardson_seasonal_2013"/>
    <w:p>
      <w:pPr>
        <w:pStyle w:val="Bibliography"/>
      </w:pPr>
      <w:r>
        <w:t xml:space="preserve">36. Richardson, A. D.</w:t>
      </w:r>
      <w:r>
        <w:t xml:space="preserve"> </w:t>
      </w:r>
      <w:r>
        <w:rPr>
          <w:i/>
        </w:rPr>
        <w:t xml:space="preserve">et al.</w:t>
      </w:r>
      <w:r>
        <w:t xml:space="preserve"> </w:t>
      </w:r>
      <w:r>
        <w:t xml:space="preserve">Seasonal dynamics and age of stemwood nonstructural carbohydrates in temperate forest trees.</w:t>
      </w:r>
      <w:r>
        <w:t xml:space="preserve"> </w:t>
      </w:r>
      <w:r>
        <w:rPr>
          <w:i/>
        </w:rPr>
        <w:t xml:space="preserve">New Phytologist</w:t>
      </w:r>
      <w:r>
        <w:t xml:space="preserve"> </w:t>
      </w:r>
      <w:r>
        <w:rPr>
          <w:b/>
        </w:rPr>
        <w:t xml:space="preserve">197</w:t>
      </w:r>
      <w:r>
        <w:t xml:space="preserve">, 850–861 (2013).</w:t>
      </w:r>
    </w:p>
    <w:bookmarkEnd w:id="93"/>
    <w:bookmarkStart w:id="94" w:name="ref-elmore_earlier_2016"/>
    <w:p>
      <w:pPr>
        <w:pStyle w:val="Bibliography"/>
      </w:pPr>
      <w:r>
        <w:t xml:space="preserve">37. Elmore, A. J., Nelson, D. M. &amp; Craine, J. M. Earlier springs are causing reduced nitrogen availability in North American eastern deciduous forests.</w:t>
      </w:r>
      <w:r>
        <w:t xml:space="preserve"> </w:t>
      </w:r>
      <w:r>
        <w:rPr>
          <w:i/>
        </w:rPr>
        <w:t xml:space="preserve">Nature Plants</w:t>
      </w:r>
      <w:r>
        <w:t xml:space="preserve"> </w:t>
      </w:r>
      <w:r>
        <w:rPr>
          <w:b/>
        </w:rPr>
        <w:t xml:space="preserve">2</w:t>
      </w:r>
      <w:r>
        <w:t xml:space="preserve">, 16133 (2016).</w:t>
      </w:r>
    </w:p>
    <w:bookmarkEnd w:id="94"/>
    <w:bookmarkStart w:id="95" w:name="ref-cuny_woody_2015"/>
    <w:p>
      <w:pPr>
        <w:pStyle w:val="Bibliography"/>
      </w:pPr>
      <w:r>
        <w:t xml:space="preserve">38. Cuny, H. E.</w:t>
      </w:r>
      <w:r>
        <w:t xml:space="preserve"> </w:t>
      </w:r>
      <w:r>
        <w:rPr>
          <w:i/>
        </w:rPr>
        <w:t xml:space="preserve">et al.</w:t>
      </w:r>
      <w:r>
        <w:t xml:space="preserve"> </w:t>
      </w:r>
      <w:r>
        <w:t xml:space="preserve">Woody biomass production lags stem-girth increase by over one month in coniferous forests.</w:t>
      </w:r>
      <w:r>
        <w:t xml:space="preserve"> </w:t>
      </w:r>
      <w:r>
        <w:rPr>
          <w:i/>
        </w:rPr>
        <w:t xml:space="preserve">Nature Plants</w:t>
      </w:r>
      <w:r>
        <w:t xml:space="preserve"> </w:t>
      </w:r>
      <w:r>
        <w:rPr>
          <w:b/>
        </w:rPr>
        <w:t xml:space="preserve">1</w:t>
      </w:r>
      <w:r>
        <w:t xml:space="preserve">, 15160 (2015).</w:t>
      </w:r>
    </w:p>
    <w:bookmarkEnd w:id="95"/>
    <w:bookmarkStart w:id="96" w:name="ref-tardif_influence_2006"/>
    <w:p>
      <w:pPr>
        <w:pStyle w:val="Bibliography"/>
      </w:pPr>
      <w:r>
        <w:t xml:space="preserve">39. Tardif, J. C. &amp; Conciatori, F. Influence of climate on tree rings and vessel features in red oak and white oak growing near their northern distribution limit, southwestern Quebec, Canada.</w:t>
      </w:r>
      <w:r>
        <w:t xml:space="preserve"> </w:t>
      </w:r>
      <w:r>
        <w:rPr>
          <w:i/>
        </w:rPr>
        <w:t xml:space="preserve">Canadian Journal of Forest Research</w:t>
      </w:r>
      <w:r>
        <w:t xml:space="preserve"> </w:t>
      </w:r>
      <w:r>
        <w:rPr>
          <w:b/>
        </w:rPr>
        <w:t xml:space="preserve">36</w:t>
      </w:r>
      <w:r>
        <w:t xml:space="preserve">, 2317–2330 (2006).</w:t>
      </w:r>
    </w:p>
    <w:bookmarkEnd w:id="96"/>
    <w:bookmarkStart w:id="97" w:name="ref-roibu_climatic_2020"/>
    <w:p>
      <w:pPr>
        <w:pStyle w:val="Bibliography"/>
      </w:pPr>
      <w:r>
        <w:t xml:space="preserve">40. Roibu, C.-C.</w:t>
      </w:r>
      <w:r>
        <w:t xml:space="preserve"> </w:t>
      </w:r>
      <w:r>
        <w:rPr>
          <w:i/>
        </w:rPr>
        <w:t xml:space="preserve">et al.</w:t>
      </w:r>
      <w:r>
        <w:t xml:space="preserve"> </w:t>
      </w:r>
      <w:r>
        <w:t xml:space="preserve">The climatic response of tree ring width components of ash (Fraxinus excelsior L.) And common oak (Quercus robur L.) From eastern Europe.</w:t>
      </w:r>
      <w:r>
        <w:t xml:space="preserve"> </w:t>
      </w:r>
      <w:r>
        <w:rPr>
          <w:i/>
        </w:rPr>
        <w:t xml:space="preserve">Forests</w:t>
      </w:r>
      <w:r>
        <w:t xml:space="preserve"> </w:t>
      </w:r>
      <w:r>
        <w:rPr>
          <w:b/>
        </w:rPr>
        <w:t xml:space="preserve">11</w:t>
      </w:r>
      <w:r>
        <w:t xml:space="preserve">, 600 (2020).</w:t>
      </w:r>
    </w:p>
    <w:bookmarkEnd w:id="97"/>
    <w:bookmarkStart w:id="98" w:name="ref-kern_multiple_2013"/>
    <w:p>
      <w:pPr>
        <w:pStyle w:val="Bibliography"/>
      </w:pPr>
      <w:r>
        <w:t xml:space="preserve">41. Kern, Z.</w:t>
      </w:r>
      <w:r>
        <w:t xml:space="preserve"> </w:t>
      </w:r>
      <w:r>
        <w:rPr>
          <w:i/>
        </w:rPr>
        <w:t xml:space="preserve">et al.</w:t>
      </w:r>
      <w:r>
        <w:t xml:space="preserve"> </w:t>
      </w:r>
      <w:r>
        <w:t xml:space="preserve">Multiple tree-ring proxies (earlywood width, latewood width and</w:t>
      </w:r>
      <w:r>
        <w:t xml:space="preserve"> </w:t>
      </w:r>
      <m:oMath>
        <m:r>
          <m:t>δ</m:t>
        </m:r>
      </m:oMath>
      <w:r>
        <w:t xml:space="preserve">13C) from pedunculate oak (Quercus robur L.), Hungary.</w:t>
      </w:r>
      <w:r>
        <w:t xml:space="preserve"> </w:t>
      </w:r>
      <w:r>
        <w:rPr>
          <w:i/>
        </w:rPr>
        <w:t xml:space="preserve">Quaternary International</w:t>
      </w:r>
      <w:r>
        <w:t xml:space="preserve"> </w:t>
      </w:r>
      <w:r>
        <w:rPr>
          <w:b/>
        </w:rPr>
        <w:t xml:space="preserve">293</w:t>
      </w:r>
      <w:r>
        <w:t xml:space="preserve">, 257–267 (2013).</w:t>
      </w:r>
    </w:p>
    <w:bookmarkEnd w:id="98"/>
    <w:bookmarkStart w:id="99" w:name="ref-trumbore_quantifying_2002"/>
    <w:p>
      <w:pPr>
        <w:pStyle w:val="Bibliography"/>
      </w:pPr>
      <w:r>
        <w:t xml:space="preserve">42. Trumbore, S., Gaudinski, J. B., Hanson, P. J. &amp; Southon, J. R. Quantifying ecosystem-atmosphere carbon exchange with a 14C label.</w:t>
      </w:r>
      <w:r>
        <w:t xml:space="preserve"> </w:t>
      </w:r>
      <w:r>
        <w:rPr>
          <w:i/>
        </w:rPr>
        <w:t xml:space="preserve">Eos, Transactions American Geophysical Union</w:t>
      </w:r>
      <w:r>
        <w:t xml:space="preserve"> </w:t>
      </w:r>
      <w:r>
        <w:rPr>
          <w:b/>
        </w:rPr>
        <w:t xml:space="preserve">83</w:t>
      </w:r>
      <w:r>
        <w:t xml:space="preserve">, 265–268 (2002).</w:t>
      </w:r>
    </w:p>
    <w:bookmarkEnd w:id="99"/>
    <w:bookmarkStart w:id="101" w:name="ref-delgado_differences_2020"/>
    <w:p>
      <w:pPr>
        <w:pStyle w:val="Bibliography"/>
      </w:pPr>
      <w:r>
        <w:t xml:space="preserve">43. Delgado, M. del M.</w:t>
      </w:r>
      <w:r>
        <w:t xml:space="preserve"> </w:t>
      </w:r>
      <w:r>
        <w:rPr>
          <w:i/>
        </w:rPr>
        <w:t xml:space="preserve">et al.</w:t>
      </w:r>
      <w:r>
        <w:t xml:space="preserve"> </w:t>
      </w:r>
      <w:r>
        <w:t xml:space="preserve">Differences in spatial versus temporal reaction norms for spring and autumn phenological events.</w:t>
      </w:r>
      <w:r>
        <w:t xml:space="preserve"> </w:t>
      </w:r>
      <w:r>
        <w:rPr>
          <w:i/>
        </w:rPr>
        <w:t xml:space="preserve">Proceedings of the National Academy of Sciences</w:t>
      </w:r>
      <w:r>
        <w:t xml:space="preserve"> </w:t>
      </w:r>
      <w:r>
        <w:t xml:space="preserve">202002713 (2020) doi:</w:t>
      </w:r>
      <w:hyperlink r:id="rId100">
        <w:r>
          <w:rPr>
            <w:rStyle w:val="Hyperlink"/>
          </w:rPr>
          <w:t xml:space="preserve">10.1073/pnas.2002713117</w:t>
        </w:r>
      </w:hyperlink>
      <w:r>
        <w:t xml:space="preserve">.</w:t>
      </w:r>
    </w:p>
    <w:bookmarkEnd w:id="101"/>
    <w:bookmarkStart w:id="102" w:name="ref-anderson-teixeira_joint_2022"/>
    <w:p>
      <w:pPr>
        <w:pStyle w:val="Bibliography"/>
      </w:pPr>
      <w:r>
        <w:t xml:space="preserve">44. Anderson-Teixeira, K. J.</w:t>
      </w:r>
      <w:r>
        <w:t xml:space="preserve"> </w:t>
      </w:r>
      <w:r>
        <w:rPr>
          <w:i/>
        </w:rPr>
        <w:t xml:space="preserve">et al.</w:t>
      </w:r>
      <w:r>
        <w:t xml:space="preserve"> </w:t>
      </w:r>
      <w:r>
        <w:t xml:space="preserve">Joint effects of climate, tree size, and year on annual tree growth derived from tree-ring records of ten globally distributed forests.</w:t>
      </w:r>
      <w:r>
        <w:t xml:space="preserve"> </w:t>
      </w:r>
      <w:r>
        <w:rPr>
          <w:i/>
        </w:rPr>
        <w:t xml:space="preserve">Global Change Biology</w:t>
      </w:r>
      <w:r>
        <w:t xml:space="preserve"> </w:t>
      </w:r>
      <w:r>
        <w:rPr>
          <w:b/>
        </w:rPr>
        <w:t xml:space="preserve">28</w:t>
      </w:r>
      <w:r>
        <w:t xml:space="preserve">, 245–266 (2022).</w:t>
      </w:r>
    </w:p>
    <w:bookmarkEnd w:id="102"/>
    <w:bookmarkStart w:id="103" w:name="ref-banburymorgan_global_2021"/>
    <w:p>
      <w:pPr>
        <w:pStyle w:val="Bibliography"/>
      </w:pPr>
      <w:r>
        <w:t xml:space="preserve">45. Banbury Morgan, R.</w:t>
      </w:r>
      <w:r>
        <w:t xml:space="preserve"> </w:t>
      </w:r>
      <w:r>
        <w:rPr>
          <w:i/>
        </w:rPr>
        <w:t xml:space="preserve">et al.</w:t>
      </w:r>
      <w:r>
        <w:t xml:space="preserve"> </w:t>
      </w:r>
      <w:r>
        <w:t xml:space="preserve">Global patterns of forest autotrophic carbon fluxes.</w:t>
      </w:r>
      <w:r>
        <w:t xml:space="preserve"> </w:t>
      </w:r>
      <w:r>
        <w:rPr>
          <w:i/>
        </w:rPr>
        <w:t xml:space="preserve">Global Change Biology</w:t>
      </w:r>
      <w:r>
        <w:t xml:space="preserve"> </w:t>
      </w:r>
      <w:r>
        <w:rPr>
          <w:b/>
        </w:rPr>
        <w:t xml:space="preserve">27</w:t>
      </w:r>
      <w:r>
        <w:t xml:space="preserve">, 2840–2855 (2021).</w:t>
      </w:r>
    </w:p>
    <w:bookmarkEnd w:id="103"/>
    <w:bookmarkStart w:id="104" w:name="ref-churkina_spatial_2005"/>
    <w:p>
      <w:pPr>
        <w:pStyle w:val="Bibliography"/>
      </w:pPr>
      <w:r>
        <w:t xml:space="preserve">46. Churkina, G., Schimel, D., Braswell, B. H. &amp; Xiao, X. Spatial analysis of growing season length control over net ecosystem exchange.</w:t>
      </w:r>
      <w:r>
        <w:t xml:space="preserve"> </w:t>
      </w:r>
      <w:r>
        <w:rPr>
          <w:i/>
        </w:rPr>
        <w:t xml:space="preserve">Global Change Biology</w:t>
      </w:r>
      <w:r>
        <w:t xml:space="preserve"> </w:t>
      </w:r>
      <w:r>
        <w:rPr>
          <w:b/>
        </w:rPr>
        <w:t xml:space="preserve">11</w:t>
      </w:r>
      <w:r>
        <w:t xml:space="preserve">, 1777–1787 (2005).</w:t>
      </w:r>
    </w:p>
    <w:bookmarkEnd w:id="104"/>
    <w:bookmarkStart w:id="105" w:name="ref-liu_phenological_2022"/>
    <w:p>
      <w:pPr>
        <w:pStyle w:val="Bibliography"/>
      </w:pPr>
      <w:r>
        <w:t xml:space="preserve">47. Liu, H.</w:t>
      </w:r>
      <w:r>
        <w:t xml:space="preserve"> </w:t>
      </w:r>
      <w:r>
        <w:rPr>
          <w:i/>
        </w:rPr>
        <w:t xml:space="preserve">et al.</w:t>
      </w:r>
      <w:r>
        <w:t xml:space="preserve"> </w:t>
      </w:r>
      <w:r>
        <w:t xml:space="preserve">Phenological mismatches between above- and belowground plant responses to climate warming.</w:t>
      </w:r>
      <w:r>
        <w:t xml:space="preserve"> </w:t>
      </w:r>
      <w:r>
        <w:rPr>
          <w:i/>
        </w:rPr>
        <w:t xml:space="preserve">Nature Climate Change</w:t>
      </w:r>
      <w:r>
        <w:t xml:space="preserve"> </w:t>
      </w:r>
      <w:r>
        <w:rPr>
          <w:b/>
        </w:rPr>
        <w:t xml:space="preserve">12</w:t>
      </w:r>
      <w:r>
        <w:t xml:space="preserve">, 97–102 (2022).</w:t>
      </w:r>
    </w:p>
    <w:bookmarkEnd w:id="105"/>
    <w:bookmarkStart w:id="106" w:name="ref-novick_increasing_2016"/>
    <w:p>
      <w:pPr>
        <w:pStyle w:val="Bibliography"/>
      </w:pPr>
      <w:r>
        <w:t xml:space="preserve">48. Novick, K. A.</w:t>
      </w:r>
      <w:r>
        <w:t xml:space="preserve"> </w:t>
      </w:r>
      <w:r>
        <w:rPr>
          <w:i/>
        </w:rPr>
        <w:t xml:space="preserve">et al.</w:t>
      </w:r>
      <w:r>
        <w:t xml:space="preserve"> </w:t>
      </w:r>
      <w:r>
        <w:t xml:space="preserve">The increasing importance of atmospheric demand for ecosystem water and carbon fluxes.</w:t>
      </w:r>
      <w:r>
        <w:t xml:space="preserve"> </w:t>
      </w:r>
      <w:r>
        <w:rPr>
          <w:i/>
        </w:rPr>
        <w:t xml:space="preserve">Nature Climate Change</w:t>
      </w:r>
      <w:r>
        <w:t xml:space="preserve"> </w:t>
      </w:r>
      <w:r>
        <w:rPr>
          <w:b/>
        </w:rPr>
        <w:t xml:space="preserve">6</w:t>
      </w:r>
      <w:r>
        <w:t xml:space="preserve">, 1023–1027 (2016).</w:t>
      </w:r>
    </w:p>
    <w:bookmarkEnd w:id="106"/>
    <w:bookmarkStart w:id="107" w:name="ref-zhang_drought_2021"/>
    <w:p>
      <w:pPr>
        <w:pStyle w:val="Bibliography"/>
      </w:pPr>
      <w:r>
        <w:t xml:space="preserve">49. Zhang, J.</w:t>
      </w:r>
      <w:r>
        <w:t xml:space="preserve"> </w:t>
      </w:r>
      <w:r>
        <w:rPr>
          <w:i/>
        </w:rPr>
        <w:t xml:space="preserve">et al.</w:t>
      </w:r>
      <w:r>
        <w:t xml:space="preserve"> </w:t>
      </w:r>
      <w:r>
        <w:t xml:space="preserve">Drought limits wood production of Juniperus przewalskii even as growing seasons lengthens in a cold and arid environment.</w:t>
      </w:r>
      <w:r>
        <w:t xml:space="preserve"> </w:t>
      </w:r>
      <w:r>
        <w:rPr>
          <w:i/>
        </w:rPr>
        <w:t xml:space="preserve">CATENA</w:t>
      </w:r>
      <w:r>
        <w:t xml:space="preserve"> </w:t>
      </w:r>
      <w:r>
        <w:rPr>
          <w:b/>
        </w:rPr>
        <w:t xml:space="preserve">196</w:t>
      </w:r>
      <w:r>
        <w:t xml:space="preserve">, 104936 (2021).</w:t>
      </w:r>
    </w:p>
    <w:bookmarkEnd w:id="107"/>
    <w:bookmarkStart w:id="108" w:name="ref-lian_summer_2022"/>
    <w:p>
      <w:pPr>
        <w:pStyle w:val="Bibliography"/>
      </w:pPr>
      <w:r>
        <w:t xml:space="preserve">50. Lian, X.</w:t>
      </w:r>
      <w:r>
        <w:t xml:space="preserve"> </w:t>
      </w:r>
      <w:r>
        <w:rPr>
          <w:i/>
        </w:rPr>
        <w:t xml:space="preserve">et al.</w:t>
      </w:r>
      <w:r>
        <w:t xml:space="preserve"> </w:t>
      </w:r>
      <w:r>
        <w:t xml:space="preserve">Summer soil drying exacerbated by earlier spring greening of northern vegetation.</w:t>
      </w:r>
      <w:r>
        <w:t xml:space="preserve"> </w:t>
      </w:r>
      <w:r>
        <w:rPr>
          <w:i/>
        </w:rPr>
        <w:t xml:space="preserve">Science Advances</w:t>
      </w:r>
      <w:r>
        <w:t xml:space="preserve"> </w:t>
      </w:r>
      <w:r>
        <w:rPr>
          <w:b/>
        </w:rPr>
        <w:t xml:space="preserve">6</w:t>
      </w:r>
      <w:r>
        <w:t xml:space="preserve">, eaax0255 (2022).</w:t>
      </w:r>
    </w:p>
    <w:bookmarkEnd w:id="108"/>
    <w:bookmarkStart w:id="109" w:name="ref-bourg_initial_2013"/>
    <w:p>
      <w:pPr>
        <w:pStyle w:val="Bibliography"/>
      </w:pPr>
      <w:r>
        <w:t xml:space="preserve">51. Bourg, N. A., McShea, W. J., Thompson, J. R., McGarvey, J. C. &amp; Shen, X. Initial census, woody seedling, seed rain, and stand structure data for the SCBI SIGEO Large Forest Dynamics Plot:</w:t>
      </w:r>
      <w:r>
        <w:t xml:space="preserve"> </w:t>
      </w:r>
      <w:r>
        <w:rPr>
          <w:i/>
        </w:rPr>
        <w:t xml:space="preserve">Ecological Archives</w:t>
      </w:r>
      <w:r>
        <w:t xml:space="preserve"> </w:t>
      </w:r>
      <w:r>
        <w:t xml:space="preserve">E094-195.</w:t>
      </w:r>
      <w:r>
        <w:t xml:space="preserve"> </w:t>
      </w:r>
      <w:r>
        <w:rPr>
          <w:i/>
        </w:rPr>
        <w:t xml:space="preserve">Ecology</w:t>
      </w:r>
      <w:r>
        <w:t xml:space="preserve"> </w:t>
      </w:r>
      <w:r>
        <w:rPr>
          <w:b/>
        </w:rPr>
        <w:t xml:space="preserve">94</w:t>
      </w:r>
      <w:r>
        <w:t xml:space="preserve">, 2111–2112 (2013).</w:t>
      </w:r>
    </w:p>
    <w:bookmarkEnd w:id="109"/>
    <w:bookmarkStart w:id="110" w:name="ref-anderson-teixeira_ctfsforestgeo_2015"/>
    <w:p>
      <w:pPr>
        <w:pStyle w:val="Bibliography"/>
      </w:pPr>
      <w:r>
        <w:t xml:space="preserve">52. Anderson-Teixeira, K. J.</w:t>
      </w:r>
      <w:r>
        <w:t xml:space="preserve"> </w:t>
      </w:r>
      <w:r>
        <w:rPr>
          <w:i/>
        </w:rPr>
        <w:t xml:space="preserve">et al.</w:t>
      </w:r>
      <w:r>
        <w:t xml:space="preserve"> </w:t>
      </w:r>
      <w:r>
        <w:t xml:space="preserve">CTFS-ForestGEO : A worldwide network monitoring forests in an era of global change.</w:t>
      </w:r>
      <w:r>
        <w:t xml:space="preserve"> </w:t>
      </w:r>
      <w:r>
        <w:rPr>
          <w:i/>
        </w:rPr>
        <w:t xml:space="preserve">Global Change Biology</w:t>
      </w:r>
      <w:r>
        <w:t xml:space="preserve"> </w:t>
      </w:r>
      <w:r>
        <w:rPr>
          <w:b/>
        </w:rPr>
        <w:t xml:space="preserve">21</w:t>
      </w:r>
      <w:r>
        <w:t xml:space="preserve">, 528–549 (2015).</w:t>
      </w:r>
    </w:p>
    <w:bookmarkEnd w:id="110"/>
    <w:bookmarkStart w:id="111" w:name="ref-davies_forestgeo_2021"/>
    <w:p>
      <w:pPr>
        <w:pStyle w:val="Bibliography"/>
      </w:pPr>
      <w:r>
        <w:t xml:space="preserve">53. Davies, S. J.</w:t>
      </w:r>
      <w:r>
        <w:t xml:space="preserve"> </w:t>
      </w:r>
      <w:r>
        <w:rPr>
          <w:i/>
        </w:rPr>
        <w:t xml:space="preserve">et al.</w:t>
      </w:r>
      <w:r>
        <w:t xml:space="preserve"> </w:t>
      </w:r>
      <w:r>
        <w:t xml:space="preserve">ForestGEO: Understanding forest diversity and dynamics through a global observatory network.</w:t>
      </w:r>
      <w:r>
        <w:t xml:space="preserve"> </w:t>
      </w:r>
      <w:r>
        <w:rPr>
          <w:i/>
        </w:rPr>
        <w:t xml:space="preserve">Biological Conservation</w:t>
      </w:r>
      <w:r>
        <w:t xml:space="preserve"> </w:t>
      </w:r>
      <w:r>
        <w:rPr>
          <w:b/>
        </w:rPr>
        <w:t xml:space="preserve">253</w:t>
      </w:r>
      <w:r>
        <w:t xml:space="preserve">, 108907 (2021).</w:t>
      </w:r>
    </w:p>
    <w:bookmarkEnd w:id="111"/>
    <w:bookmarkStart w:id="112" w:name="ref-harris_version_2020"/>
    <w:p>
      <w:pPr>
        <w:pStyle w:val="Bibliography"/>
      </w:pPr>
      <w:r>
        <w:t xml:space="preserve">54. Harris, I., Osborn, T. J., Jones, P. &amp; Lister, D. Version 4 of the CRU TS monthly high-resolution gridded multivariate climate dataset.</w:t>
      </w:r>
      <w:r>
        <w:t xml:space="preserve"> </w:t>
      </w:r>
      <w:r>
        <w:rPr>
          <w:i/>
        </w:rPr>
        <w:t xml:space="preserve">Scientific Data</w:t>
      </w:r>
      <w:r>
        <w:t xml:space="preserve"> </w:t>
      </w:r>
      <w:r>
        <w:rPr>
          <w:b/>
        </w:rPr>
        <w:t xml:space="preserve">7</w:t>
      </w:r>
      <w:r>
        <w:t xml:space="preserve">, (2020).</w:t>
      </w:r>
    </w:p>
    <w:bookmarkEnd w:id="112"/>
    <w:bookmarkStart w:id="113" w:name="ref-vicente-serrano_multiscalar_2010"/>
    <w:p>
      <w:pPr>
        <w:pStyle w:val="Bibliography"/>
      </w:pPr>
      <w:r>
        <w:t xml:space="preserve">55. Vicente-Serrano, S. M., Beguería, S. &amp; López-Moreno, J. I. A Multiscalar Drought Index Sensitive to Global Warming: The Standardized Precipitation Evapotranspiration Index.</w:t>
      </w:r>
      <w:r>
        <w:t xml:space="preserve"> </w:t>
      </w:r>
      <w:r>
        <w:rPr>
          <w:i/>
        </w:rPr>
        <w:t xml:space="preserve">Journal of Climate</w:t>
      </w:r>
      <w:r>
        <w:t xml:space="preserve"> </w:t>
      </w:r>
      <w:r>
        <w:rPr>
          <w:b/>
        </w:rPr>
        <w:t xml:space="preserve">23</w:t>
      </w:r>
      <w:r>
        <w:t xml:space="preserve">, 1696–1718 (2010).</w:t>
      </w:r>
    </w:p>
    <w:bookmarkEnd w:id="113"/>
    <w:bookmarkStart w:id="114" w:name="ref-herrmann_tree_2016"/>
    <w:p>
      <w:pPr>
        <w:pStyle w:val="Bibliography"/>
      </w:pPr>
      <w:r>
        <w:t xml:space="preserve">56. Herrmann, V.</w:t>
      </w:r>
      <w:r>
        <w:t xml:space="preserve"> </w:t>
      </w:r>
      <w:r>
        <w:rPr>
          <w:i/>
        </w:rPr>
        <w:t xml:space="preserve">et al.</w:t>
      </w:r>
      <w:r>
        <w:t xml:space="preserve"> </w:t>
      </w:r>
      <w:r>
        <w:t xml:space="preserve">Tree Circumference Dynamics in Four Forests Characterized Using Automated Dendrometer Bands.</w:t>
      </w:r>
      <w:r>
        <w:t xml:space="preserve"> </w:t>
      </w:r>
      <w:r>
        <w:rPr>
          <w:i/>
        </w:rPr>
        <w:t xml:space="preserve">PloS one</w:t>
      </w:r>
      <w:r>
        <w:t xml:space="preserve"> </w:t>
      </w:r>
      <w:r>
        <w:rPr>
          <w:b/>
        </w:rPr>
        <w:t xml:space="preserve">11</w:t>
      </w:r>
      <w:r>
        <w:t xml:space="preserve">, e0169020 (2016).</w:t>
      </w:r>
    </w:p>
    <w:bookmarkEnd w:id="114"/>
    <w:bookmarkStart w:id="116" w:name="ref-friedl_mcd12q2_2019"/>
    <w:p>
      <w:pPr>
        <w:pStyle w:val="Bibliography"/>
      </w:pPr>
      <w:r>
        <w:t xml:space="preserve">57. Friedl, M., Gray, J. &amp; Sulla-Menashe, D. MCD12Q2 MODIS/Terra+Aqua Land Cover Dynamics Yearly L3 Global 500m SIN Grid V006. (2019) doi:</w:t>
      </w:r>
      <w:hyperlink r:id="rId115">
        <w:r>
          <w:rPr>
            <w:rStyle w:val="Hyperlink"/>
          </w:rPr>
          <w:t xml:space="preserve">10.5067/MODIS/MCD12Q2.006</w:t>
        </w:r>
      </w:hyperlink>
      <w:r>
        <w:t xml:space="preserve">.</w:t>
      </w:r>
    </w:p>
    <w:bookmarkEnd w:id="116"/>
    <w:bookmarkStart w:id="118" w:name="ref-anderson-teixeira_forestgeo_2020"/>
    <w:p>
      <w:pPr>
        <w:pStyle w:val="Bibliography"/>
      </w:pPr>
      <w:r>
        <w:t xml:space="preserve">58. Anderson-Teixeira, K.</w:t>
      </w:r>
      <w:r>
        <w:t xml:space="preserve"> </w:t>
      </w:r>
      <w:r>
        <w:rPr>
          <w:i/>
        </w:rPr>
        <w:t xml:space="preserve">et al.</w:t>
      </w:r>
      <w:r>
        <w:t xml:space="preserve"> </w:t>
      </w:r>
      <w:r>
        <w:t xml:space="preserve">Forestgeo/Climate: Initial release. (2020) doi:</w:t>
      </w:r>
      <w:hyperlink r:id="rId117">
        <w:r>
          <w:rPr>
            <w:rStyle w:val="Hyperlink"/>
          </w:rPr>
          <w:t xml:space="preserve">10.5281/ZENODO.4041609</w:t>
        </w:r>
      </w:hyperlink>
      <w:r>
        <w:t xml:space="preserve">.</w:t>
      </w:r>
    </w:p>
    <w:bookmarkEnd w:id="118"/>
    <w:bookmarkStart w:id="119" w:name="ref-benestad_empiricalstatistical_2008"/>
    <w:p>
      <w:pPr>
        <w:pStyle w:val="Bibliography"/>
      </w:pPr>
      <w:r>
        <w:t xml:space="preserve">59. Benestad, R. E., Hanssen-Bauer, I. &amp; Chen, D.</w:t>
      </w:r>
      <w:r>
        <w:t xml:space="preserve"> </w:t>
      </w:r>
      <w:r>
        <w:rPr>
          <w:i/>
        </w:rPr>
        <w:t xml:space="preserve">Empirical-statistical downscaling</w:t>
      </w:r>
      <w:r>
        <w:t xml:space="preserve">. (World Scientific Pub Co Inc, 2008).</w:t>
      </w:r>
    </w:p>
    <w:bookmarkEnd w:id="119"/>
    <w:bookmarkStart w:id="121" w:name="ref-boose_shaler_2021"/>
    <w:p>
      <w:pPr>
        <w:pStyle w:val="Bibliography"/>
      </w:pPr>
      <w:r>
        <w:t xml:space="preserve">60. Boose, E. &amp; Gould, E. Shaler Meteorological Station at Harvard Forest 1964-2002. (2021) doi:</w:t>
      </w:r>
      <w:hyperlink r:id="rId120">
        <w:r>
          <w:rPr>
            <w:rStyle w:val="Hyperlink"/>
          </w:rPr>
          <w:t xml:space="preserve">10.6073/PASTA/213335F5DAA17222A738C105B9FA60C4</w:t>
        </w:r>
      </w:hyperlink>
      <w:r>
        <w:t xml:space="preserve">.</w:t>
      </w:r>
    </w:p>
    <w:bookmarkEnd w:id="121"/>
    <w:bookmarkStart w:id="123" w:name="ref-boose_fisher_2021"/>
    <w:p>
      <w:pPr>
        <w:pStyle w:val="Bibliography"/>
      </w:pPr>
      <w:r>
        <w:t xml:space="preserve">61. Boose, E. Fisher Meteorological Station at Harvard Forest since 2001. (2021) doi:</w:t>
      </w:r>
      <w:hyperlink r:id="rId122">
        <w:r>
          <w:rPr>
            <w:rStyle w:val="Hyperlink"/>
          </w:rPr>
          <w:t xml:space="preserve">10.6073/PASTA/69E92642B512897032446CFE795CFFB8</w:t>
        </w:r>
      </w:hyperlink>
      <w:r>
        <w:t xml:space="preserve">.</w:t>
      </w:r>
    </w:p>
    <w:bookmarkEnd w:id="123"/>
    <w:bookmarkStart w:id="124" w:name="ref-begueria_standardized_2014"/>
    <w:p>
      <w:pPr>
        <w:pStyle w:val="Bibliography"/>
      </w:pPr>
      <w:r>
        <w:t xml:space="preserve">62. Beguería, S., Vicente-Serrano, S. M., Reig, F. &amp; Latorre, B. Standardized precipitation evapotranspiration index (SPEI) revisited: Parameter fitting, evapotranspiration models, tools, datasets and drought monitoring.</w:t>
      </w:r>
      <w:r>
        <w:t xml:space="preserve"> </w:t>
      </w:r>
      <w:r>
        <w:rPr>
          <w:i/>
        </w:rPr>
        <w:t xml:space="preserve">International Journal of Climatology</w:t>
      </w:r>
      <w:r>
        <w:t xml:space="preserve"> </w:t>
      </w:r>
      <w:r>
        <w:rPr>
          <w:b/>
        </w:rPr>
        <w:t xml:space="preserve">34</w:t>
      </w:r>
      <w:r>
        <w:t xml:space="preserve">, 3001–3023 (2014).</w:t>
      </w:r>
    </w:p>
    <w:bookmarkEnd w:id="124"/>
    <w:bookmarkStart w:id="125" w:name="ref-vicente-serrano_multiscalar_2010a"/>
    <w:p>
      <w:pPr>
        <w:pStyle w:val="Bibliography"/>
      </w:pPr>
      <w:r>
        <w:t xml:space="preserve">63. Vicente-Serrano, S. M., Beguería, S. &amp; López-Moreno, J. I. A Multiscalar Drought Index Sensitive to Global Warming: The Standardized Precipitation Evapotranspiration Index.</w:t>
      </w:r>
      <w:r>
        <w:t xml:space="preserve"> </w:t>
      </w:r>
      <w:r>
        <w:rPr>
          <w:i/>
        </w:rPr>
        <w:t xml:space="preserve">Journal of Climate</w:t>
      </w:r>
      <w:r>
        <w:t xml:space="preserve"> </w:t>
      </w:r>
      <w:r>
        <w:rPr>
          <w:b/>
        </w:rPr>
        <w:t xml:space="preserve">23</w:t>
      </w:r>
      <w:r>
        <w:t xml:space="preserve">, 1696–1718 (2010).</w:t>
      </w:r>
    </w:p>
    <w:bookmarkEnd w:id="125"/>
    <w:bookmarkStart w:id="126" w:name="ref-vandepol_identifying_2016"/>
    <w:p>
      <w:pPr>
        <w:pStyle w:val="Bibliography"/>
      </w:pPr>
      <w:r>
        <w:t xml:space="preserve">64. van de Pol, M.</w:t>
      </w:r>
      <w:r>
        <w:t xml:space="preserve"> </w:t>
      </w:r>
      <w:r>
        <w:rPr>
          <w:i/>
        </w:rPr>
        <w:t xml:space="preserve">et al.</w:t>
      </w:r>
      <w:r>
        <w:t xml:space="preserve"> </w:t>
      </w:r>
      <w:r>
        <w:t xml:space="preserve">Identifying the best climatic predictors in ecology and evolution.</w:t>
      </w:r>
      <w:r>
        <w:t xml:space="preserve"> </w:t>
      </w:r>
      <w:r>
        <w:rPr>
          <w:i/>
        </w:rPr>
        <w:t xml:space="preserve">Methods in Ecology and Evolution</w:t>
      </w:r>
      <w:r>
        <w:t xml:space="preserve"> </w:t>
      </w:r>
      <w:r>
        <w:rPr>
          <w:b/>
        </w:rPr>
        <w:t xml:space="preserve">7</w:t>
      </w:r>
      <w:r>
        <w:t xml:space="preserve">, 1246–1257 (2016).</w:t>
      </w:r>
    </w:p>
    <w:bookmarkEnd w:id="126"/>
    <w:bookmarkStart w:id="127" w:name="ref-gabry_rstanarm_2020"/>
    <w:p>
      <w:pPr>
        <w:pStyle w:val="Bibliography"/>
      </w:pPr>
      <w:r>
        <w:t xml:space="preserve">65. Gabry, J.</w:t>
      </w:r>
      <w:r>
        <w:t xml:space="preserve"> </w:t>
      </w:r>
      <w:r>
        <w:rPr>
          <w:i/>
        </w:rPr>
        <w:t xml:space="preserve">et al.</w:t>
      </w:r>
      <w:r>
        <w:t xml:space="preserve"> </w:t>
      </w:r>
      <w:r>
        <w:t xml:space="preserve">Rstanarm: Bayesian Applied Regression Modeling via Stan. (2020).</w:t>
      </w:r>
    </w:p>
    <w:bookmarkEnd w:id="127"/>
    <w:bookmarkStart w:id="128" w:name="ref-standevelopmentteam_stan_2019"/>
    <w:p>
      <w:pPr>
        <w:pStyle w:val="Bibliography"/>
      </w:pPr>
      <w:r>
        <w:t xml:space="preserve">66. Stan Development Team,.. Stan Modeling Language Users Guide and Reference Manual, 2.28. (2019).</w:t>
      </w:r>
    </w:p>
    <w:bookmarkEnd w:id="128"/>
    <w:bookmarkStart w:id="129" w:name="ref-stokes_introduction_1968"/>
    <w:p>
      <w:pPr>
        <w:pStyle w:val="Bibliography"/>
      </w:pPr>
      <w:r>
        <w:t xml:space="preserve">67. Stokes, M. A. &amp; Smiley, T. L.</w:t>
      </w:r>
      <w:r>
        <w:t xml:space="preserve"> </w:t>
      </w:r>
      <w:r>
        <w:rPr>
          <w:i/>
        </w:rPr>
        <w:t xml:space="preserve">An Introduction to Tree-ring Dating</w:t>
      </w:r>
      <w:r>
        <w:t xml:space="preserve">. (University of Arizona Press, 1968).</w:t>
      </w:r>
    </w:p>
    <w:bookmarkEnd w:id="129"/>
    <w:bookmarkStart w:id="130" w:name="ref-speer_fundamentals_2010"/>
    <w:p>
      <w:pPr>
        <w:pStyle w:val="Bibliography"/>
      </w:pPr>
      <w:r>
        <w:t xml:space="preserve">68. Speer, J. H.</w:t>
      </w:r>
      <w:r>
        <w:t xml:space="preserve"> </w:t>
      </w:r>
      <w:r>
        <w:rPr>
          <w:i/>
        </w:rPr>
        <w:t xml:space="preserve">Fundamentals of tree-ring research</w:t>
      </w:r>
      <w:r>
        <w:t xml:space="preserve">. (Univ. of Arizona Press, 2010).</w:t>
      </w:r>
    </w:p>
    <w:bookmarkEnd w:id="130"/>
    <w:bookmarkStart w:id="131" w:name="ref-alexander_potential_2019"/>
    <w:p>
      <w:pPr>
        <w:pStyle w:val="Bibliography"/>
      </w:pPr>
      <w:r>
        <w:t xml:space="preserve">69. Alexander, M. R.</w:t>
      </w:r>
      <w:r>
        <w:t xml:space="preserve"> </w:t>
      </w:r>
      <w:r>
        <w:rPr>
          <w:i/>
        </w:rPr>
        <w:t xml:space="preserve">et al.</w:t>
      </w:r>
      <w:r>
        <w:t xml:space="preserve"> </w:t>
      </w:r>
      <w:r>
        <w:t xml:space="preserve">The potential to strengthen temperature reconstructions in ecoregions with limited tree line using a multispecies approach.</w:t>
      </w:r>
      <w:r>
        <w:t xml:space="preserve"> </w:t>
      </w:r>
      <w:r>
        <w:rPr>
          <w:i/>
        </w:rPr>
        <w:t xml:space="preserve">Quaternary Research</w:t>
      </w:r>
      <w:r>
        <w:t xml:space="preserve"> </w:t>
      </w:r>
      <w:r>
        <w:rPr>
          <w:b/>
        </w:rPr>
        <w:t xml:space="preserve">92</w:t>
      </w:r>
      <w:r>
        <w:t xml:space="preserve">, 583–597 (2019).</w:t>
      </w:r>
    </w:p>
    <w:bookmarkEnd w:id="131"/>
    <w:bookmarkStart w:id="132" w:name="ref-dye_comparing_2016"/>
    <w:p>
      <w:pPr>
        <w:pStyle w:val="Bibliography"/>
      </w:pPr>
      <w:r>
        <w:t xml:space="preserve">70. Dye, A.</w:t>
      </w:r>
      <w:r>
        <w:t xml:space="preserve"> </w:t>
      </w:r>
      <w:r>
        <w:rPr>
          <w:i/>
        </w:rPr>
        <w:t xml:space="preserve">et al.</w:t>
      </w:r>
      <w:r>
        <w:t xml:space="preserve"> </w:t>
      </w:r>
      <w:r>
        <w:t xml:space="preserve">Comparing tree-ring and permanent plot estimates of aboveground net primary production in three eastern U.S. Forests.</w:t>
      </w:r>
      <w:r>
        <w:t xml:space="preserve"> </w:t>
      </w:r>
      <w:r>
        <w:rPr>
          <w:i/>
        </w:rPr>
        <w:t xml:space="preserve">Ecosphere</w:t>
      </w:r>
      <w:r>
        <w:t xml:space="preserve"> </w:t>
      </w:r>
      <w:r>
        <w:rPr>
          <w:b/>
        </w:rPr>
        <w:t xml:space="preserve">7</w:t>
      </w:r>
      <w:r>
        <w:t xml:space="preserve">, e01454 (2016).</w:t>
      </w:r>
    </w:p>
    <w:bookmarkEnd w:id="132"/>
    <w:bookmarkStart w:id="133" w:name="ref-pederson_climatic_2005"/>
    <w:p>
      <w:pPr>
        <w:pStyle w:val="Bibliography"/>
      </w:pPr>
      <w:r>
        <w:t xml:space="preserve">71. Pederson, N. Climatic sensitivity and growth of southern temperate trees in the eastern United States: Implications for the carbon cycle - ProQuest. (Columbia University, 2005).</w:t>
      </w:r>
    </w:p>
    <w:bookmarkEnd w:id="133"/>
    <w:bookmarkStart w:id="134" w:name="ref-maxwell_sampling_2020"/>
    <w:p>
      <w:pPr>
        <w:pStyle w:val="Bibliography"/>
      </w:pPr>
      <w:r>
        <w:t xml:space="preserve">72. Maxwell, J. T.</w:t>
      </w:r>
      <w:r>
        <w:t xml:space="preserve"> </w:t>
      </w:r>
      <w:r>
        <w:rPr>
          <w:i/>
        </w:rPr>
        <w:t xml:space="preserve">et al.</w:t>
      </w:r>
      <w:r>
        <w:t xml:space="preserve"> </w:t>
      </w:r>
      <w:r>
        <w:t xml:space="preserve">Sampling density and date along with species selection influence spatial representation of tree-ring reconstructions.</w:t>
      </w:r>
      <w:r>
        <w:t xml:space="preserve"> </w:t>
      </w:r>
      <w:r>
        <w:rPr>
          <w:i/>
        </w:rPr>
        <w:t xml:space="preserve">Climate of the Past</w:t>
      </w:r>
      <w:r>
        <w:t xml:space="preserve"> </w:t>
      </w:r>
      <w:r>
        <w:rPr>
          <w:b/>
        </w:rPr>
        <w:t xml:space="preserve">16</w:t>
      </w:r>
      <w:r>
        <w:t xml:space="preserve">, 1901–1916 (2020).</w:t>
      </w:r>
    </w:p>
    <w:bookmarkEnd w:id="134"/>
    <w:bookmarkStart w:id="136" w:name="ref-cook_methods_1990"/>
    <w:p>
      <w:pPr>
        <w:pStyle w:val="Bibliography"/>
      </w:pPr>
      <w:r>
        <w:t xml:space="preserve">73. Cook, E. R. &amp; Kairiukstis, L. A.</w:t>
      </w:r>
      <w:r>
        <w:t xml:space="preserve"> </w:t>
      </w:r>
      <w:r>
        <w:rPr>
          <w:i/>
        </w:rPr>
        <w:t xml:space="preserve">Methods of Dendrochronology: Applications in the Environmental Sciences</w:t>
      </w:r>
      <w:r>
        <w:t xml:space="preserve">. (Springer Netherlands, 1990). doi:</w:t>
      </w:r>
      <w:hyperlink r:id="rId135">
        <w:r>
          <w:rPr>
            <w:rStyle w:val="Hyperlink"/>
          </w:rPr>
          <w:t xml:space="preserve">10.1007/978-94-015-7879-0</w:t>
        </w:r>
      </w:hyperlink>
      <w:r>
        <w:t xml:space="preserve">.</w:t>
      </w:r>
    </w:p>
    <w:bookmarkEnd w:id="136"/>
    <w:bookmarkStart w:id="137" w:name="ref-cook_time_1985"/>
    <w:p>
      <w:pPr>
        <w:pStyle w:val="Bibliography"/>
      </w:pPr>
      <w:r>
        <w:t xml:space="preserve">74. Cook, E. R. A Time Series Analysis Approach to Tree Ring Standardization. (University of Arizona, 1985).</w:t>
      </w:r>
    </w:p>
    <w:bookmarkEnd w:id="137"/>
    <w:bookmarkStart w:id="138" w:name="ref-cook_calculating_1997"/>
    <w:p>
      <w:pPr>
        <w:pStyle w:val="Bibliography"/>
      </w:pPr>
      <w:r>
        <w:t xml:space="preserve">75. Cook, E. R. &amp; Peters, K. Calculating unbiased tree-ring indices for the study of climatic and environmental change.</w:t>
      </w:r>
      <w:r>
        <w:t xml:space="preserve"> </w:t>
      </w:r>
      <w:r>
        <w:rPr>
          <w:i/>
        </w:rPr>
        <w:t xml:space="preserve">The Holocene</w:t>
      </w:r>
      <w:r>
        <w:t xml:space="preserve"> </w:t>
      </w:r>
      <w:r>
        <w:rPr>
          <w:b/>
        </w:rPr>
        <w:t xml:space="preserve">7</w:t>
      </w:r>
      <w:r>
        <w:t xml:space="preserve">, 361–370 (1997).</w:t>
      </w:r>
    </w:p>
    <w:bookmarkEnd w:id="138"/>
    <w:bookmarkStart w:id="139" w:name="ref-jones_estimating_1997"/>
    <w:p>
      <w:pPr>
        <w:pStyle w:val="Bibliography"/>
      </w:pPr>
      <w:r>
        <w:t xml:space="preserve">76. Jones, P. D., Osborn, T. J. &amp; Briffa, K. R. Estimating sampling errors in large-scale temperature averages.</w:t>
      </w:r>
      <w:r>
        <w:t xml:space="preserve"> </w:t>
      </w:r>
      <w:r>
        <w:rPr>
          <w:i/>
        </w:rPr>
        <w:t xml:space="preserve">Journal of Climate</w:t>
      </w:r>
      <w:r>
        <w:t xml:space="preserve"> </w:t>
      </w:r>
      <w:r>
        <w:rPr>
          <w:b/>
        </w:rPr>
        <w:t xml:space="preserve">10</w:t>
      </w:r>
      <w:r>
        <w:t xml:space="preserve">, 2548–2568 (1997).</w:t>
      </w:r>
    </w:p>
    <w:bookmarkEnd w:id="139"/>
    <w:bookmarkStart w:id="140" w:name="ref-rcoreteam_language_2020"/>
    <w:p>
      <w:pPr>
        <w:pStyle w:val="Bibliography"/>
      </w:pPr>
      <w:r>
        <w:t xml:space="preserve">77. R Core Team,.. R : A language and environment for statistical computing. R Foundation for Statistical Computing, Vienna, Austria. URL http://www.R-project.org/. (2020).</w:t>
      </w:r>
    </w:p>
    <w:bookmarkEnd w:id="140"/>
    <w:bookmarkStart w:id="141" w:name="ref-bunn_dendrochronology_2008"/>
    <w:p>
      <w:pPr>
        <w:pStyle w:val="Bibliography"/>
      </w:pPr>
      <w:r>
        <w:t xml:space="preserve">78. Bunn, A. G. A dendrochronology program library in R (dplR).</w:t>
      </w:r>
      <w:r>
        <w:t xml:space="preserve"> </w:t>
      </w:r>
      <w:r>
        <w:rPr>
          <w:i/>
        </w:rPr>
        <w:t xml:space="preserve">Dendrochronologia</w:t>
      </w:r>
      <w:r>
        <w:t xml:space="preserve"> </w:t>
      </w:r>
      <w:r>
        <w:rPr>
          <w:b/>
        </w:rPr>
        <w:t xml:space="preserve">26</w:t>
      </w:r>
      <w:r>
        <w:t xml:space="preserve">, 115–124 (2008).</w:t>
      </w:r>
    </w:p>
    <w:bookmarkEnd w:id="141"/>
    <w:bookmarkStart w:id="142" w:name="ref-zang_dendroclimatic_2013"/>
    <w:p>
      <w:pPr>
        <w:pStyle w:val="Bibliography"/>
      </w:pPr>
      <w:r>
        <w:t xml:space="preserve">79. Zang, C. &amp; Biondi, F. Dendroclimatic calibration in R: The bootRes package for response and correlation function analysis.</w:t>
      </w:r>
      <w:r>
        <w:t xml:space="preserve"> </w:t>
      </w:r>
      <w:r>
        <w:rPr>
          <w:i/>
        </w:rPr>
        <w:t xml:space="preserve">Dendrochronologia</w:t>
      </w:r>
      <w:r>
        <w:t xml:space="preserve"> </w:t>
      </w:r>
      <w:r>
        <w:rPr>
          <w:b/>
        </w:rPr>
        <w:t xml:space="preserve">31</w:t>
      </w:r>
      <w:r>
        <w:t xml:space="preserve">, 68–74 (2013).</w:t>
      </w:r>
    </w:p>
    <w:bookmarkEnd w:id="142"/>
    <w:bookmarkEnd w:id="143"/>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cran.r-project.org/web/packages/climwin/index.html" TargetMode="External" /><Relationship Type="http://schemas.openxmlformats.org/officeDocument/2006/relationships/hyperlink" Id="rId47" Target="https://developers.google.com/earth-engine/datasets/catalog/MODIS_006_MCD12Q2#description" TargetMode="External" /><Relationship Type="http://schemas.openxmlformats.org/officeDocument/2006/relationships/hyperlink" Id="rId135" Target="https://doi.org/10.1007/978-94-015-7879-0" TargetMode="External" /><Relationship Type="http://schemas.openxmlformats.org/officeDocument/2006/relationships/hyperlink" Id="rId69" Target="https://doi.org/10.1038/s41558-020-00976-6" TargetMode="External" /><Relationship Type="http://schemas.openxmlformats.org/officeDocument/2006/relationships/hyperlink" Id="rId82" Target="https://doi.org/10.1038/s41559-022-01668-4" TargetMode="External" /><Relationship Type="http://schemas.openxmlformats.org/officeDocument/2006/relationships/hyperlink" Id="rId100" Target="https://doi.org/10.1073/pnas.2002713117" TargetMode="External" /><Relationship Type="http://schemas.openxmlformats.org/officeDocument/2006/relationships/hyperlink" Id="rId115" Target="https://doi.org/10.5067/MODIS/MCD12Q2.006" TargetMode="External" /><Relationship Type="http://schemas.openxmlformats.org/officeDocument/2006/relationships/hyperlink" Id="rId117" Target="https://doi.org/10.5281/ZENODO.4041609" TargetMode="External" /><Relationship Type="http://schemas.openxmlformats.org/officeDocument/2006/relationships/hyperlink" Id="rId120" Target="https://doi.org/10.6073/PASTA/213335F5DAA17222A738C105B9FA60C4" TargetMode="External" /><Relationship Type="http://schemas.openxmlformats.org/officeDocument/2006/relationships/hyperlink" Id="rId122" Target="https://doi.org/10.6073/PASTA/69E92642B512897032446CFE795CFFB8" TargetMode="External" /><Relationship Type="http://schemas.openxmlformats.org/officeDocument/2006/relationships/hyperlink" Id="rId27" Target="https://forestgeo.github.io/Climate/" TargetMode="External" /><Relationship Type="http://schemas.openxmlformats.org/officeDocument/2006/relationships/hyperlink" Id="rId39" Target="https://github.com/EcoClimLab/growth_phenology" TargetMode="External" /><Relationship Type="http://schemas.openxmlformats.org/officeDocument/2006/relationships/hyperlink" Id="rId40" Target="https://github.com/SCBI-ForestGEO/Dendrobands" TargetMode="External" /><Relationship Type="http://schemas.openxmlformats.org/officeDocument/2006/relationships/hyperlink" Id="rId45" Target="https://github.com/forestgeo/Climate/tree/master/Climate_Data/CRU" TargetMode="External" /><Relationship Type="http://schemas.openxmlformats.org/officeDocument/2006/relationships/hyperlink" Id="rId42" Target="https://github.com/forestgeo/Climate/tree/master/Climate_Data/Met_Stations/SCBI" TargetMode="External" /><Relationship Type="http://schemas.openxmlformats.org/officeDocument/2006/relationships/hyperlink" Id="rId46" Target="https://github.com/forestgeo/Climate/tree/master/Climate_Data/SPEI" TargetMode="External" /><Relationship Type="http://schemas.openxmlformats.org/officeDocument/2006/relationships/hyperlink" Id="rId53" Target="https://github.com/seanmcm/RDendrom/" TargetMode="External" /><Relationship Type="http://schemas.openxmlformats.org/officeDocument/2006/relationships/hyperlink" Id="rId50" Target="https://harvardforest.fas.harvard.edu/harvard-forest-data-archive" TargetMode="External" /><Relationship Type="http://schemas.openxmlformats.org/officeDocument/2006/relationships/hyperlink" Id="rId44" Target="https://harvardforest1.fas.harvard.edu/exist/apps/datasets/showData.html?id=HF000" TargetMode="External" /><Relationship Type="http://schemas.openxmlformats.org/officeDocument/2006/relationships/hyperlink" Id="rId43" Target="https://harvardforest1.fas.harvard.edu/exist/apps/datasets/showData.html?id=HF001" TargetMode="External" /><Relationship Type="http://schemas.openxmlformats.org/officeDocument/2006/relationships/hyperlink" Id="rId41" Target="https://harvardforest1.fas.harvard.edu/exist/apps/datasets/showData.html?id=HF149" TargetMode="External" /><Relationship Type="http://schemas.openxmlformats.org/officeDocument/2006/relationships/hyperlink" Id="rId28" Target="https://www.ncdc.noaa.gov/cdo-web/datasets/GHCND/stations/GHCND:USC00443229/detail" TargetMode="External" /><Relationship Type="http://schemas.openxmlformats.org/officeDocument/2006/relationships/hyperlink" Id="rId48" Target="https://www.ncei.noaa.gov/products/paleoclimatology/tree-ring" TargetMode="External" /><Relationship Type="http://schemas.openxmlformats.org/officeDocument/2006/relationships/hyperlink" Id="rId49"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5"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2" Target="https://cran.r-project.org/web/packages/climwin/index.html" TargetMode="External" /><Relationship Type="http://schemas.openxmlformats.org/officeDocument/2006/relationships/hyperlink" Id="rId47" Target="https://developers.google.com/earth-engine/datasets/catalog/MODIS_006_MCD12Q2#description" TargetMode="External" /><Relationship Type="http://schemas.openxmlformats.org/officeDocument/2006/relationships/hyperlink" Id="rId135" Target="https://doi.org/10.1007/978-94-015-7879-0" TargetMode="External" /><Relationship Type="http://schemas.openxmlformats.org/officeDocument/2006/relationships/hyperlink" Id="rId69" Target="https://doi.org/10.1038/s41558-020-00976-6" TargetMode="External" /><Relationship Type="http://schemas.openxmlformats.org/officeDocument/2006/relationships/hyperlink" Id="rId82" Target="https://doi.org/10.1038/s41559-022-01668-4" TargetMode="External" /><Relationship Type="http://schemas.openxmlformats.org/officeDocument/2006/relationships/hyperlink" Id="rId100" Target="https://doi.org/10.1073/pnas.2002713117" TargetMode="External" /><Relationship Type="http://schemas.openxmlformats.org/officeDocument/2006/relationships/hyperlink" Id="rId115" Target="https://doi.org/10.5067/MODIS/MCD12Q2.006" TargetMode="External" /><Relationship Type="http://schemas.openxmlformats.org/officeDocument/2006/relationships/hyperlink" Id="rId117" Target="https://doi.org/10.5281/ZENODO.4041609" TargetMode="External" /><Relationship Type="http://schemas.openxmlformats.org/officeDocument/2006/relationships/hyperlink" Id="rId120" Target="https://doi.org/10.6073/PASTA/213335F5DAA17222A738C105B9FA60C4" TargetMode="External" /><Relationship Type="http://schemas.openxmlformats.org/officeDocument/2006/relationships/hyperlink" Id="rId122" Target="https://doi.org/10.6073/PASTA/69E92642B512897032446CFE795CFFB8" TargetMode="External" /><Relationship Type="http://schemas.openxmlformats.org/officeDocument/2006/relationships/hyperlink" Id="rId27" Target="https://forestgeo.github.io/Climate/" TargetMode="External" /><Relationship Type="http://schemas.openxmlformats.org/officeDocument/2006/relationships/hyperlink" Id="rId39" Target="https://github.com/EcoClimLab/growth_phenology" TargetMode="External" /><Relationship Type="http://schemas.openxmlformats.org/officeDocument/2006/relationships/hyperlink" Id="rId40" Target="https://github.com/SCBI-ForestGEO/Dendrobands" TargetMode="External" /><Relationship Type="http://schemas.openxmlformats.org/officeDocument/2006/relationships/hyperlink" Id="rId45" Target="https://github.com/forestgeo/Climate/tree/master/Climate_Data/CRU" TargetMode="External" /><Relationship Type="http://schemas.openxmlformats.org/officeDocument/2006/relationships/hyperlink" Id="rId42" Target="https://github.com/forestgeo/Climate/tree/master/Climate_Data/Met_Stations/SCBI" TargetMode="External" /><Relationship Type="http://schemas.openxmlformats.org/officeDocument/2006/relationships/hyperlink" Id="rId46" Target="https://github.com/forestgeo/Climate/tree/master/Climate_Data/SPEI" TargetMode="External" /><Relationship Type="http://schemas.openxmlformats.org/officeDocument/2006/relationships/hyperlink" Id="rId53" Target="https://github.com/seanmcm/RDendrom/" TargetMode="External" /><Relationship Type="http://schemas.openxmlformats.org/officeDocument/2006/relationships/hyperlink" Id="rId50" Target="https://harvardforest.fas.harvard.edu/harvard-forest-data-archive" TargetMode="External" /><Relationship Type="http://schemas.openxmlformats.org/officeDocument/2006/relationships/hyperlink" Id="rId44" Target="https://harvardforest1.fas.harvard.edu/exist/apps/datasets/showData.html?id=HF000" TargetMode="External" /><Relationship Type="http://schemas.openxmlformats.org/officeDocument/2006/relationships/hyperlink" Id="rId43" Target="https://harvardforest1.fas.harvard.edu/exist/apps/datasets/showData.html?id=HF001" TargetMode="External" /><Relationship Type="http://schemas.openxmlformats.org/officeDocument/2006/relationships/hyperlink" Id="rId41" Target="https://harvardforest1.fas.harvard.edu/exist/apps/datasets/showData.html?id=HF149" TargetMode="External" /><Relationship Type="http://schemas.openxmlformats.org/officeDocument/2006/relationships/hyperlink" Id="rId28" Target="https://www.ncdc.noaa.gov/cdo-web/datasets/GHCND/stations/GHCND:USC00443229/detail" TargetMode="External" /><Relationship Type="http://schemas.openxmlformats.org/officeDocument/2006/relationships/hyperlink" Id="rId48" Target="https://www.ncei.noaa.gov/products/paleoclimatology/tree-ring" TargetMode="External" /><Relationship Type="http://schemas.openxmlformats.org/officeDocument/2006/relationships/hyperlink" Id="rId49"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5"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2022-05-11T01:01:49Z</dcterms:created>
  <dcterms:modified xsi:type="dcterms:W3CDTF">2022-05-11T01:01:49Z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