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 Orcid ID : 0000-0002-8365-598X)</w:t>
      </w:r>
    </w:p>
    <w:p>
      <w:pPr>
        <w:pStyle w:val="BodyText"/>
      </w:pPr>
      <w:r>
        <w:t xml:space="preserve">Albert Y. Kim</w:t>
      </w:r>
      <w:r>
        <w:rPr>
          <w:vertAlign w:val="superscript"/>
        </w:rPr>
        <w:t xml:space="preserve">1,3</w:t>
      </w:r>
      <w:r>
        <w:t xml:space="preserve"> </w:t>
      </w:r>
      <w:r>
        <w:t xml:space="preserve">( Orcid ID : 0000-0001-7824-306X)</w:t>
      </w:r>
    </w:p>
    <w:p>
      <w:pPr>
        <w:pStyle w:val="BodyText"/>
      </w:pPr>
      <w:r>
        <w:t xml:space="preserve">Loïc D’Orangeville</w:t>
      </w:r>
      <w:r>
        <w:rPr>
          <w:vertAlign w:val="superscript"/>
        </w:rPr>
        <w:t xml:space="preserve">4,5</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6</w:t>
      </w:r>
      <w:r>
        <w:t xml:space="preserve"> </w:t>
      </w:r>
      <w:r>
        <w:t xml:space="preserve">( 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 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1,4,5,7–9</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2,4,10–14</w:t>
      </w:r>
      <w:r>
        <w:rPr>
          <w:bCs/>
          <w:b/>
        </w:rPr>
        <w:t xml:space="preserve">.</w:t>
      </w:r>
      <w:r>
        <w:t xml:space="preserve"> </w:t>
      </w:r>
      <w:r>
        <w:rPr>
          <w:bCs/>
          <w:b/>
        </w:rPr>
        <w:t xml:space="preserve">However, less is known about how spring temperatures affect tree stem growth, which sequesters carbon (C) in wood that has a long residence time in the ecosystem</w:t>
      </w:r>
      <w:r>
        <w:rPr>
          <w:vertAlign w:val="superscript"/>
          <w:bCs/>
          <w:b/>
        </w:rPr>
        <w:t xml:space="preserve">15,16</w:t>
      </w:r>
      <w:r>
        <w:rPr>
          <w:bCs/>
          <w:b/>
        </w:rPr>
        <w:t xml:space="preserve">.</w:t>
      </w:r>
      <w:r>
        <w:t xml:space="preserve"> </w:t>
      </w:r>
      <w:r>
        <w:rPr>
          <w:bCs/>
          <w:b/>
        </w:rPr>
        <w:t xml:space="preserve">Using dendrometer band measurements from 463 trees across two forests, we show that warmer spring temperatures shifted the woody growth of deciduous trees earlier but had no consistent effect on peak growing season length, maximum daily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10–12</w:t>
      </w:r>
      <w:r>
        <w:rPr>
          <w:bCs/>
          <w:b/>
        </w:rPr>
        <w:t xml:space="preserve"> </w:t>
      </w:r>
      <w:r>
        <w:rPr>
          <w:bCs/>
          <w:b/>
        </w:rPr>
        <w:t xml:space="preserve">is not allocated to long-lived woody biomass, where it could have a substantial and lasting impact on the forest C balance.</w:t>
      </w:r>
      <w:r>
        <w:rPr>
          <w:bCs/>
          <w:b/>
        </w:rPr>
        <w:t xml:space="preserve"> </w:t>
      </w:r>
      <w:r>
        <w:t xml:space="preserve"> </w:t>
      </w:r>
      <w:r>
        <w:rPr>
          <w:bCs/>
          <w:b/>
        </w:rPr>
        <w:t xml:space="preserve">Rather, contradicting current projections from global C cycle models</w:t>
      </w:r>
      <w:r>
        <w:rPr>
          <w:vertAlign w:val="superscript"/>
          <w:bCs/>
          <w:b/>
        </w:rPr>
        <w:t xml:space="preserve">2,3,17,18</w:t>
      </w:r>
      <w:r>
        <w:rPr>
          <w:bCs/>
          <w:b/>
        </w:rPr>
        <w:t xml:space="preserve">, our empirical results imply that warming spring temperatures are unlikely to increase the woody productivity or strengthen the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Earth’s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19,20</w:t>
      </w:r>
      <w:r>
        <w:t xml:space="preserve">.</w:t>
      </w:r>
      <w:r>
        <w:t xml:space="preserve"> </w:t>
      </w:r>
      <w:r>
        <w:t xml:space="preserve">A substantive portion of this CO</w:t>
      </w:r>
      <w:r>
        <w:rPr>
          <w:vertAlign w:val="subscript"/>
        </w:rPr>
        <w:t xml:space="preserve">2</w:t>
      </w:r>
      <w:r>
        <w:t xml:space="preserve"> </w:t>
      </w:r>
      <w:r>
        <w:t xml:space="preserve">sink occurs in temperate deciduous forests, which sequester &gt;300 Tg C yr</w:t>
      </w:r>
      <w:r>
        <w:rPr>
          <w:vertAlign w:val="superscript"/>
        </w:rPr>
        <w:t xml:space="preserve">-1</w:t>
      </w:r>
      <w:r>
        <w:t xml:space="preserve">.</w:t>
      </w:r>
      <w:r>
        <w:rPr>
          <w:vertAlign w:val="superscript"/>
        </w:rPr>
        <w:t xml:space="preserve">21</w:t>
      </w:r>
      <w:r>
        <w:t xml:space="preserve"> </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22,23</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1,7–9</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Current models assume that longer growing seasons lead to increasing annual net CO</w:t>
      </w:r>
      <w:r>
        <w:rPr>
          <w:vertAlign w:val="subscript"/>
        </w:rPr>
        <w:t xml:space="preserve">2</w:t>
      </w:r>
      <w:r>
        <w:t xml:space="preserve"> </w:t>
      </w:r>
      <w:r>
        <w:t xml:space="preserve">uptake (i.e., net ecosystem exchange,</w:t>
      </w:r>
      <w:r>
        <w:t xml:space="preserve"> </w:t>
      </w:r>
      <w:r>
        <w:rPr>
          <w:iCs/>
          <w:i/>
        </w:rPr>
        <w:t xml:space="preserve">NEE</w:t>
      </w:r>
      <w:r>
        <w:t xml:space="preserve">)</w:t>
      </w:r>
      <w:r>
        <w:rPr>
          <w:vertAlign w:val="superscript"/>
        </w:rPr>
        <w:t xml:space="preserve">2,3,17</w:t>
      </w:r>
      <w:r>
        <w:t xml:space="preserve">.</w:t>
      </w:r>
      <w:r>
        <w:t xml:space="preserve"> </w:t>
      </w:r>
      <w:r>
        <w:t xml:space="preserve">However, recent experimental and observational findings show that annual productivity can be limited by sink factors</w:t>
      </w:r>
      <w:r>
        <w:rPr>
          <w:vertAlign w:val="superscript"/>
        </w:rPr>
        <w:t xml:space="preserve">17,24,25</w:t>
      </w:r>
      <w:r>
        <w:t xml:space="preserve">, and that positive effects of warm springs are compensated by negative effects of accumulation of seasonal water deficits</w:t>
      </w:r>
      <w:r>
        <w:rPr>
          <w:vertAlign w:val="superscript"/>
        </w:rPr>
        <w:t xml:space="preserve">3</w:t>
      </w:r>
      <w:r>
        <w:t xml:space="preserve">. These studies suggest that warmer spring temperatures may not have the expected positive effect on forest CO</w:t>
      </w:r>
      <w:r>
        <w:rPr>
          <w:vertAlign w:val="subscript"/>
        </w:rPr>
        <w:t xml:space="preserve">2</w:t>
      </w:r>
      <w:r>
        <w:t xml:space="preserve"> </w:t>
      </w:r>
      <w:r>
        <w:t xml:space="preserve">sequestration.</w:t>
      </w:r>
    </w:p>
    <w:p>
      <w:pPr>
        <w:pStyle w:val="BodyText"/>
      </w:pPr>
      <w:r>
        <w:t xml:space="preserve">While responses of leaf phenology and seasonal</w:t>
      </w:r>
      <w:r>
        <w:t xml:space="preserve"> </w:t>
      </w:r>
      <w:r>
        <w:rPr>
          <w:iCs/>
          <w:i/>
        </w:rPr>
        <w:t xml:space="preserve">NEE</w:t>
      </w:r>
      <w:r>
        <w:t xml:space="preserve"> </w:t>
      </w:r>
      <w:r>
        <w:t xml:space="preserve">to warming spring temperatures have been documented</w:t>
      </w:r>
      <w:r>
        <w:rPr>
          <w:vertAlign w:val="superscript"/>
        </w:rPr>
        <w:t xml:space="preserve">1–4,7–9</w:t>
      </w:r>
      <w:r>
        <w:t xml:space="preserve">, little is known about how the longest-lived component of fixed C in trees, the woody growth, is responding to warming spring temperatures.</w:t>
      </w:r>
      <w:r>
        <w:t xml:space="preserve"> </w:t>
      </w:r>
      <w:r>
        <w:t xml:space="preserve">In fact, we are aware of only two studies that have documented stem-growth phenology of temperate deciduous forests over multiple years</w:t>
      </w:r>
      <w:r>
        <w:rPr>
          <w:vertAlign w:val="superscript"/>
        </w:rPr>
        <w:t xml:space="preserve">26,27</w:t>
      </w:r>
      <w:r>
        <w:t xml:space="preserve">.</w:t>
      </w:r>
      <w:r>
        <w:t xml:space="preserve"> </w:t>
      </w:r>
      <w:r>
        <w:t xml:space="preserve"> </w:t>
      </w:r>
      <w:r>
        <w:t xml:space="preserve">The climate sensitivity of woody growth phenology in temperate deciduous trees and its link to annual growth has never been studied</w:t>
      </w:r>
      <w:r>
        <w:t xml:space="preserve"> </w:t>
      </w:r>
      <w:r>
        <w:rPr>
          <w:iCs/>
          <w:i/>
        </w:rPr>
        <w:t xml:space="preserve">in-situ</w:t>
      </w:r>
      <w:r>
        <w:t xml:space="preserve"> </w:t>
      </w:r>
      <w:r>
        <w:t xml:space="preserve">(but see Ref.</w:t>
      </w:r>
      <w:r>
        <w:rPr>
          <w:vertAlign w:val="superscript"/>
        </w:rPr>
        <w:t xml:space="preserve">25</w:t>
      </w:r>
      <w:r>
        <w:t xml:space="preserve"> </w:t>
      </w:r>
      <w:r>
        <w:t xml:space="preserve">for a controlled sapling experiment).</w:t>
      </w:r>
    </w:p>
    <w:p>
      <w:pPr>
        <w:pStyle w:val="BodyText"/>
      </w:pPr>
      <w:r>
        <w:t xml:space="preserve">Tree-ring records, which can be used to examine relationships of annual growth to temperature but not to understand growth phenology, reveal that growth of temperate deciduous trees tends to be most sensitive to temperature or potential evapotranspiration between late spring and early summer</w:t>
      </w:r>
      <w:r>
        <w:rPr>
          <w:vertAlign w:val="superscript"/>
        </w:rPr>
        <w:t xml:space="preserve">28,29</w:t>
      </w:r>
      <w:r>
        <w:t xml:space="preserve">,</w:t>
      </w:r>
      <w:r>
        <w:t xml:space="preserve"> </w:t>
      </w:r>
      <w:r>
        <w:t xml:space="preserve"> </w:t>
      </w:r>
      <w:r>
        <w:t xml:space="preserve">with some hints that warmer springs may have a modest positive effect on growth</w:t>
      </w:r>
      <w:r>
        <w:rPr>
          <w:vertAlign w:val="superscript"/>
        </w:rPr>
        <w:t xml:space="preserve">29</w:t>
      </w:r>
      <w:r>
        <w:t xml:space="preserve">.</w:t>
      </w:r>
      <w:r>
        <w:t xml:space="preserve"> </w:t>
      </w:r>
      <w:r>
        <w:t xml:space="preserve"> </w:t>
      </w:r>
      <w:r>
        <w:t xml:space="preserve">Thus, tree-ring evidence does not necessarily align with the finding that warming spring temperatures increase annual forest CO</w:t>
      </w:r>
      <w:r>
        <w:rPr>
          <w:vertAlign w:val="subscript"/>
        </w:rPr>
        <w:t xml:space="preserve">2</w:t>
      </w:r>
      <w:r>
        <w:t xml:space="preserve"> </w:t>
      </w:r>
      <w:r>
        <w:t xml:space="preserve">uptake</w:t>
      </w:r>
      <w:r>
        <w:rPr>
          <w:vertAlign w:val="superscript"/>
        </w:rPr>
        <w:t xml:space="preserve">2</w:t>
      </w:r>
      <w:r>
        <w:t xml:space="preserve">.</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t xml:space="preserve">Here, we evaluate how early spring temperatures affect stem growth phenology, growth rates, and annual growth of temperate deciduous trees across eastern North America.</w:t>
      </w:r>
      <w:r>
        <w:t xml:space="preserve"> </w:t>
      </w:r>
      <w:r>
        <w:t xml:space="preserve">To test whether warmer springs extend the period of stem growth, we used dendrometer band measurements on 463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123 trees from 2011-2020) and Harvard Forest (Massachusetts, USA; n = 340 trees from 1998-2003), we fit a logistic growth model</w:t>
      </w:r>
      <w:r>
        <w:rPr>
          <w:vertAlign w:val="superscript"/>
        </w:rPr>
        <w:t xml:space="preserve">30</w:t>
      </w:r>
      <w:r>
        <w:t xml:space="preserve"> </w:t>
      </w:r>
      <w:r>
        <w:t xml:space="preserve">to determine the days of year (DOY)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daily growth rates (</w:t>
      </w:r>
      <m:oMath>
        <m:sSub>
          <m:e>
            <m:r>
              <m:t>g</m:t>
            </m:r>
          </m:e>
          <m:sub>
            <m:r>
              <m:t>m</m:t>
            </m:r>
            <m:r>
              <m:t>a</m:t>
            </m:r>
            <m:r>
              <m:t>x</m:t>
            </m:r>
          </m:sub>
        </m:sSub>
      </m:oMath>
      <w:r>
        <w:t xml:space="preserve">) and the DOY on which it occurred (</w:t>
      </w:r>
      <m:oMath>
        <m:r>
          <m:t>D</m:t>
        </m:r>
        <m:r>
          <m:t>O</m:t>
        </m:r>
        <m:sSub>
          <m:e>
            <m:r>
              <m:t>Y</m:t>
            </m:r>
          </m:e>
          <m:sub>
            <m:sSub>
              <m:e>
                <m:r>
                  <m:t>g</m:t>
                </m:r>
              </m:e>
              <m:sub>
                <m:r>
                  <m:t>m</m:t>
                </m:r>
                <m:r>
                  <m:t>a</m:t>
                </m:r>
                <m:r>
                  <m:t>x</m:t>
                </m:r>
              </m:sub>
            </m:sSub>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(69 trees at SCBI and 138 trees at Harvard Forest) and diffuse-porous (54 trees at SCBI and 202 trees at Harvard Forest) species, which differ in growth phenology</w:t>
      </w:r>
      <w:r>
        <w:rPr>
          <w:vertAlign w:val="superscript"/>
        </w:rPr>
        <w:t xml:space="preserve">26</w:t>
      </w:r>
      <w:r>
        <w:t xml:space="preserve">. These stem-growth milestones were compared to canopy foliage phenology (measured at ecosystem level via remote sensing).</w:t>
      </w:r>
    </w:p>
    <w:p>
      <w:pPr>
        <w:pStyle w:val="CaptionedFigure"/>
      </w:pPr>
      <w:r>
        <w:drawing>
          <wp:inline>
            <wp:extent cx="5943600" cy="6964679"/>
            <wp:effectExtent b="0" l="0" r="0" t="0"/>
            <wp:docPr descr="Figure 1 | Summary of temperate deciduous tree growth responses to warmer spring temperatures. (a) Schematic illustrating parameters of interest and summarizing how each responds to warmer maximum temperatures during a ‘critical temperature window’, defined as the period with the strongest control over DOY_{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significant increases and decreases, respectively,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964679"/>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significant increases and decreases, respectively,</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Growth milestones for both canopy foliage phenology and stem growth occurred 6-10 days earlier, on average, at SCBI than at Harvard Forest (Fig. 2, Extended Data Table 2).</w:t>
      </w:r>
      <w:r>
        <w:t xml:space="preserve"> </w:t>
      </w:r>
      <w:r>
        <w:t xml:space="preserve">Consistent with the results of Ref</w:t>
      </w:r>
      <w:r>
        <w:rPr>
          <w:vertAlign w:val="superscript"/>
        </w:rPr>
        <w:t xml:space="preserve">26</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Peak 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Foliage (a,b) and stem growth (c,d) phenology at the Smithsonian Conservation Biology Institute (a,c) and Harvard Forest (b,d). Panels (a-b) show ecosystem-level canopy foliage phenology from 2001-2018, obtained from the MODIS Global Vegetation Phenology product (MCD12Q2.006), where G = Greenup, M=Mid-greenup, P=peak, and S=Senescence (i.e., beginning of green-down). Panels (c-d) show the dates at which stem growth milestones were achie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Foliage (a,b) and stem growth (c,d) phenology at the Smithsonian Conservation Biology Institute (a,c) and Harvard Forest (b,d).</w:t>
      </w:r>
      <w:r>
        <w:t xml:space="preserve"> </w:t>
      </w:r>
      <w:r>
        <w:t xml:space="preserve">Panels (a-b) show ecosystem-level canopy foliage phenology from 2001-2018, obtained from the MODIS Global Vegetation Phenology product (MCD12Q2.006), where G = Greenup, M=Mid-greenup, P=peak, and S=Senescence (i.e., beginning of green-down). Panels (c-d) show the dates at which stem growth milestones were achieved,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w:t>
      </w:r>
    </w:p>
    <w:p>
      <w:pPr>
        <w:pStyle w:val="BodyText"/>
      </w:pPr>
      <w:r>
        <w:t xml:space="preserve">Both MODIS-derived canopy foliage phenology and dendrometer band measurements of stem growth phenology generally shifted backwards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stem-growth phenology were found using</w:t>
      </w:r>
      <w:r>
        <w:t xml:space="preserve"> </w:t>
      </w:r>
      <m:oMath>
        <m:sSub>
          <m:e>
            <m:r>
              <m:t>T</m:t>
            </m:r>
          </m:e>
          <m:sub>
            <m:r>
              <m:t>m</m:t>
            </m:r>
            <m:r>
              <m:t>a</m:t>
            </m:r>
            <m:r>
              <m:t>x</m:t>
            </m:r>
          </m:sub>
        </m:sSub>
      </m:oMath>
      <w:r>
        <w:t xml:space="preserve"> </w:t>
      </w:r>
      <w:r>
        <w:t xml:space="preserve">during a critical temperatrue window (CTW).</w:t>
      </w:r>
      <w:r>
        <w:t xml:space="preserve"> </w:t>
      </w:r>
      <w:r>
        <w:t xml:space="preserve">CTW was identified by measuring the correlation between all combinations of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from January 1 to mean</w:t>
      </w:r>
      <w:r>
        <w:t xml:space="preserve"> </w:t>
      </w:r>
      <m:oMath>
        <m:r>
          <m:t>D</m:t>
        </m:r>
        <m:r>
          <m:t>O</m:t>
        </m:r>
        <m:sSub>
          <m:e>
            <m:r>
              <m:t>Y</m:t>
            </m:r>
          </m:e>
          <m:sub>
            <m:r>
              <m:t>25</m:t>
            </m:r>
          </m:sub>
        </m:sSub>
      </m:oMath>
      <w:r>
        <w:t xml:space="preserve"> </w:t>
      </w:r>
      <w:r>
        <w:t xml:space="preserve">for each xylem porosity-site combination (Extended Data Figure 3).</w:t>
      </w:r>
      <w:r>
        <w:t xml:space="preserve"> </w:t>
      </w:r>
      <w:r>
        <w:t xml:space="preserve">The CTW was defined as the week(s) which had the strongest correlation with</w:t>
      </w:r>
      <w:r>
        <w:t xml:space="preserve"> </w:t>
      </w:r>
      <m:oMath>
        <m:r>
          <m:t>D</m:t>
        </m:r>
        <m:r>
          <m:t>O</m:t>
        </m:r>
        <m:sSub>
          <m:e>
            <m:r>
              <m:t>Y</m:t>
            </m:r>
          </m:e>
          <m:sub>
            <m:r>
              <m:t>25</m:t>
            </m:r>
          </m:sub>
        </m:sSub>
      </m:oMath>
      <w:r>
        <w:t xml:space="preserve">.</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CTW resulted in earlier achievement of phenological milestones.</w:t>
      </w:r>
      <w:r>
        <w:t xml:space="preserve"> </w:t>
      </w:r>
      <w:r>
        <w:t xml:space="preserve">Consistent with findings from previous studies</w:t>
      </w:r>
      <w:r>
        <w:rPr>
          <w:vertAlign w:val="superscript"/>
        </w:rPr>
        <w:t xml:space="preserve">32</w:t>
      </w:r>
      <w:r>
        <w:t xml:space="preserve">, leaf phenological milestones advanced at both sites (Fig. 2a-b, Extended Data Table 2), with greenup (DOY when EVI2 first crossed 15% of the segment EVI2 amplitude) advancing 4.5 days/</w:t>
      </w:r>
      <m:oMath>
        <m:sSup>
          <m:e>
            <m:r>
              <m:t>​</m:t>
            </m:r>
          </m:e>
          <m:sup>
            <m:r>
              <m:rPr>
                <m:sty m:val="p"/>
              </m:rPr>
              <m:t>∘</m:t>
            </m:r>
          </m:sup>
        </m:sSup>
      </m:oMath>
      <w:r>
        <w:t xml:space="preserve">C at SCBI (p=0.001) and 2.4 days/</w:t>
      </w:r>
      <w:r>
        <w:t xml:space="preserve"> </w:t>
      </w:r>
      <m:oMath>
        <m:sSup>
          <m:e>
            <m:r>
              <m:t>​</m:t>
            </m:r>
          </m:e>
          <m:sup>
            <m:r>
              <m:rPr>
                <m:sty m:val="p"/>
              </m:rPr>
              <m:t>∘</m:t>
            </m:r>
          </m:sup>
        </m:sSup>
      </m:oMath>
      <w:r>
        <w:t xml:space="preserve">C at Harvard Forest (p=0.1).</w:t>
      </w:r>
      <w:r>
        <w:t xml:space="preserve"> </w:t>
      </w:r>
      <w:r>
        <w:t xml:space="preserve">Similarly, at both sites,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1.1-1.9 days/</w:t>
      </w:r>
      <w:r>
        <w:t xml:space="preserve"> </w:t>
      </w:r>
      <m:oMath>
        <m:sSup>
          <m:e>
            <m:r>
              <m:t>​</m:t>
            </m:r>
          </m:e>
          <m:sup>
            <m:r>
              <m:rPr>
                <m:sty m:val="p"/>
              </m:rPr>
              <m:t>∘</m:t>
            </m:r>
          </m:sup>
        </m:sSup>
      </m:oMath>
      <w:r>
        <w:t xml:space="preserve">C for ring-porous species and 3.5-3.6 days/</w:t>
      </w:r>
      <w:r>
        <w:t xml:space="preserve"> </w:t>
      </w:r>
      <m:oMath>
        <m:sSup>
          <m:e>
            <m:r>
              <m:t>​</m:t>
            </m:r>
          </m:e>
          <m:sup>
            <m:r>
              <m:rPr>
                <m:sty m:val="p"/>
              </m:rPr>
              <m:t>∘</m:t>
            </m:r>
          </m:sup>
        </m:sSup>
      </m:oMath>
      <w:r>
        <w:t xml:space="preserve">C for diffuse-porous species at SCBI, and 2.8-7.2 days/</w:t>
      </w:r>
      <w:r>
        <w:t xml:space="preserve"> </w:t>
      </w:r>
      <m:oMath>
        <m:sSup>
          <m:e>
            <m:r>
              <m:t>​</m:t>
            </m:r>
          </m:e>
          <m:sup>
            <m:r>
              <m:rPr>
                <m:sty m:val="p"/>
              </m:rPr>
              <m:t>∘</m:t>
            </m:r>
          </m:sup>
        </m:sSup>
      </m:oMath>
      <w:r>
        <w:t xml:space="preserve">C for ring-porous species and 6.6-7.9 days/</w:t>
      </w:r>
      <w:r>
        <w:t xml:space="preserve"> </w:t>
      </w:r>
      <m:oMath>
        <m:sSup>
          <m:e>
            <m:r>
              <m:t>​</m:t>
            </m:r>
          </m:e>
          <m:sup>
            <m:r>
              <m:rPr>
                <m:sty m:val="p"/>
              </m:rPr>
              <m:t>∘</m:t>
            </m:r>
          </m:sup>
        </m:sSup>
      </m:oMath>
      <w:r>
        <w:t xml:space="preserve">C for diffuse-porous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29</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28</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the standardized ring-width index (RWI) was significantly (at p</w:t>
      </w:r>
      <w:r>
        <w:t xml:space="preserve"> </w:t>
      </w:r>
      <m:oMath>
        <m:r>
          <m:rPr>
            <m:sty m:val="p"/>
          </m:rP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ring-porous and 4 of 66 diffuse-porous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ring-porous and diffuse-porous species, respectively.</w:t>
      </w:r>
      <w:r>
        <w:t xml:space="preserve"> </w:t>
      </w:r>
      <m:oMath>
        <m:sSub>
          <m:e>
            <m:r>
              <m:t>T</m:t>
            </m:r>
          </m:e>
          <m:sub>
            <m:r>
              <m:t>m</m:t>
            </m:r>
            <m:r>
              <m:t>i</m:t>
            </m:r>
            <m:r>
              <m:t>n</m:t>
            </m:r>
          </m:sub>
        </m:sSub>
      </m:oMath>
      <w:r>
        <w:t xml:space="preserve"> </w:t>
      </w:r>
      <w:r>
        <w:t xml:space="preserve">generally exibited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supporting that summer temperatures were the more important driver of annual stem growth (Extended Data Table 3).</w:t>
      </w:r>
    </w:p>
    <w:p>
      <w:pPr>
        <w:pStyle w:val="CaptionedFigure"/>
      </w:pPr>
      <w:r>
        <w:drawing>
          <wp:inline>
            <wp:extent cx="5943600" cy="5751078"/>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m:oMath>
        <m:sSub>
          <m:e>
            <m:r>
              <m:t>T</m:t>
            </m:r>
          </m:e>
          <m:sub>
            <m:r>
              <m:t>m</m:t>
            </m:r>
            <m:r>
              <m:t>a</m:t>
            </m:r>
            <m:r>
              <m:t>x</m:t>
            </m:r>
          </m:sub>
        </m:sSub>
      </m:oMath>
      <w:r>
        <w:rPr>
          <w:bCs/>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phenological advance in the start of stem growth under warmer springs parallels phenological advances observed for canopy foliage (Fig. 2a-b)</w:t>
      </w:r>
      <w:r>
        <w:rPr>
          <w:vertAlign w:val="superscript"/>
        </w:rPr>
        <w:t xml:space="preserve">2,4,5</w:t>
      </w:r>
      <w:r>
        <w:t xml:space="preserve"> </w:t>
      </w:r>
      <w:r>
        <w:t xml:space="preserve">and</w:t>
      </w:r>
      <w:r>
        <w:t xml:space="preserve"> </w:t>
      </w:r>
      <w:r>
        <w:rPr>
          <w:iCs/>
          <w:i/>
        </w:rPr>
        <w:t xml:space="preserve">NEE</w:t>
      </w:r>
      <w:r>
        <w:rPr>
          <w:vertAlign w:val="superscript"/>
        </w:rPr>
        <w:t xml:space="preserve">2,4</w:t>
      </w:r>
      <w:r>
        <w:t xml:space="preserve">.</w:t>
      </w:r>
      <w:r>
        <w:t xml:space="preserve"> </w:t>
      </w:r>
      <w:r>
        <w:t xml:space="preserve">However, inconsistent with the concept that an earlier start to growth would increase annual woody productivity, we demonstrate that warmer springs hasten the cessation of stem expansion and thereby have negligible effect on total annual growth for most species and locations (Fig. 3).</w:t>
      </w:r>
      <w:r>
        <w:t xml:space="preserve"> </w:t>
      </w:r>
      <w:r>
        <w:t xml:space="preserve">Our observations suggest that the cessation of rapid stem expansion, which occurs mid-summer near the time of peak canopy greenness (Extended Data Figure 2)</w:t>
      </w:r>
      <w:r>
        <w:rPr>
          <w:vertAlign w:val="superscript"/>
        </w:rPr>
        <w:t xml:space="preserve">4</w:t>
      </w:r>
      <w:r>
        <w:t xml:space="preserve">, is likely driven by cues other than photosynthate limitation, such as daylength or sink limitation, which also play an important role in autumn leaf senescence</w:t>
      </w:r>
      <w:r>
        <w:rPr>
          <w:vertAlign w:val="superscript"/>
        </w:rPr>
        <w:t xml:space="preserve">17,24,33</w:t>
      </w:r>
      <w:r>
        <w:t xml:space="preserve">.</w:t>
      </w:r>
      <w:r>
        <w:t xml:space="preserve"> </w:t>
      </w:r>
      <w:r>
        <w:t xml:space="preserve">Our tree-ring analysis (Fig. 3) demonstrates that the primary effect of warming temperatures on annual tree growth is not an augmentation through an earlier start to growth, but rather a reduction associated to drought stress during the peak growing season</w:t>
      </w:r>
      <w:r>
        <w:rPr>
          <w:vertAlign w:val="superscript"/>
        </w:rPr>
        <w:t xml:space="preserve">28</w:t>
      </w:r>
      <w:r>
        <w:t xml:space="preserve">.</w:t>
      </w:r>
      <w:r>
        <w:t xml:space="preserve"> </w:t>
      </w:r>
      <w:r>
        <w:t xml:space="preserve">Warm springs may also amplify summer drought stress in some times and places, effectively canceling out any positive effects of an extended growing period</w:t>
      </w:r>
      <w:r>
        <w:rPr>
          <w:vertAlign w:val="superscript"/>
        </w:rPr>
        <w:t xml:space="preserve">3,34</w:t>
      </w:r>
      <w:r>
        <w:t xml:space="preserve">; however, spring temperatures and summer Standardized Precipitation Evapotranspiration Index</w:t>
      </w:r>
      <w:r>
        <w:rPr>
          <w:vertAlign w:val="superscript"/>
        </w:rPr>
        <w:t xml:space="preserve">35</w:t>
      </w:r>
      <w:r>
        <w:t xml:space="preserve"> </w:t>
      </w:r>
      <w:r>
        <w:t xml:space="preserve">were uncorrelated within our dendrometer band analysis, implying that the effects of warm spring temperatures on growth phenology elucidated here (Fig. 1) were not attributable to summer drought.</w:t>
      </w:r>
    </w:p>
    <w:p>
      <w:pPr>
        <w:pStyle w:val="BodyText"/>
      </w:pPr>
      <w:r>
        <w:t xml:space="preserve">Our finding that interannual variation in woody growth is more strongly linked to conditions during the peak growing season than to growing season length aligns with parallel findings for</w:t>
      </w:r>
      <w:r>
        <w:t xml:space="preserve"> </w:t>
      </w:r>
      <w:r>
        <w:rPr>
          <w:iCs/>
          <w:i/>
        </w:rPr>
        <w:t xml:space="preserve">NEE</w:t>
      </w:r>
      <w:r>
        <w:rPr>
          <w:vertAlign w:val="superscript"/>
        </w:rPr>
        <w:t xml:space="preserve">13,14</w:t>
      </w:r>
      <w:r>
        <w:t xml:space="preserve">.</w:t>
      </w:r>
      <w:r>
        <w:t xml:space="preserve"> </w:t>
      </w:r>
      <w:r>
        <w:t xml:space="preserve">However, there is also a disconnect with findings that</w:t>
      </w:r>
      <w:r>
        <w:t xml:space="preserve"> </w:t>
      </w:r>
      <w:r>
        <w:rPr>
          <w:iCs/>
          <w:i/>
        </w:rPr>
        <w:t xml:space="preserve">NEE</w:t>
      </w:r>
      <w:r>
        <w:t xml:space="preserve"> </w:t>
      </w:r>
      <w:r>
        <w:t xml:space="preserve">is at least modestly greater in years with warm springs</w:t>
      </w:r>
      <w:r>
        <w:rPr>
          <w:vertAlign w:val="superscript"/>
        </w:rPr>
        <w:t xml:space="preserve">2</w:t>
      </w:r>
      <w:r>
        <w:t xml:space="preserve"> </w:t>
      </w:r>
      <w:r>
        <w:t xml:space="preserve">or long growing seasons</w:t>
      </w:r>
      <w:r>
        <w:rPr>
          <w:vertAlign w:val="superscript"/>
        </w:rPr>
        <w:t xml:space="preserve">4,13,14</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12,36,37</w:t>
      </w:r>
      <w:r>
        <w:t xml:space="preserve">, with delays more common across eastern North America,</w:t>
      </w:r>
      <w:r>
        <w:rPr>
          <w:vertAlign w:val="superscript"/>
        </w:rPr>
        <w:t xml:space="preserve">2–4</w:t>
      </w:r>
      <w:r>
        <w:t xml:space="preserve"> implying that warming temperatures are lengthening the period from peak stem growth to the cessation of CO</w:t>
      </w:r>
      <w:r>
        <w:rPr>
          <w:vertAlign w:val="subscript"/>
        </w:rPr>
        <w:t xml:space="preserve">2</w:t>
      </w:r>
      <w:r>
        <w:t xml:space="preserve"> </w:t>
      </w:r>
      <w:r>
        <w:t xml:space="preserve">uptake by the ecosystem.</w:t>
      </w:r>
      <w:r>
        <w:t xml:space="preserve"> </w:t>
      </w:r>
      <w:r>
        <w:t xml:space="preserve">We show that the extra C fixation in years with warm springs does not substantially augment woody growth, but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One possibility is that extra photosynthate in years with warm springs may be allocated to woody growth without affecting diameter growth in the current year.</w:t>
      </w:r>
      <w:r>
        <w:t xml:space="preserve"> </w:t>
      </w:r>
      <w:r>
        <w:t xml:space="preserve">It is theoretically possible that extra C is allocated to cell wall thickening, a process that lags behind stem expansion</w:t>
      </w:r>
      <w:r>
        <w:rPr>
          <w:vertAlign w:val="superscript"/>
        </w:rPr>
        <w:t xml:space="preserve">38</w:t>
      </w:r>
      <w:r>
        <w:t xml:space="preserve">, or to a thicker layer of higher-density latewood, resulting in formation of more C-dense wood in years with warm springs.</w:t>
      </w:r>
      <w:r>
        <w:t xml:space="preserve"> </w:t>
      </w:r>
      <w:r>
        <w:t xml:space="preserve">However, existing evidence indicates that warm springs have a neutral or negative effect on latewood width</w:t>
      </w:r>
      <w:r>
        <w:rPr>
          <w:vertAlign w:val="superscript"/>
        </w:rPr>
        <w:t xml:space="preserve">39–41</w:t>
      </w:r>
      <w:r>
        <w:t xml:space="preserve">, which is more strongly controlled by summer drought stress</w:t>
      </w:r>
      <w:r>
        <w:rPr>
          <w:vertAlign w:val="superscript"/>
        </w:rPr>
        <w:t xml:space="preserve">39,40</w:t>
      </w:r>
      <w:r>
        <w:t xml:space="preserve">, suggesting that a positive effect of warm springs on the total C content of annual rings is unlikely.</w:t>
      </w:r>
      <w:r>
        <w:t xml:space="preserve"> </w:t>
      </w:r>
      <w:r>
        <w:t xml:space="preserve">Extra C could also be saved within trees as non-structural carbohydrates and used towards growth the following year</w:t>
      </w:r>
      <w:r>
        <w:rPr>
          <w:vertAlign w:val="superscript"/>
        </w:rPr>
        <w:t xml:space="preserve">42,43</w:t>
      </w:r>
      <w:r>
        <w:t xml:space="preserve">, potentially including an earlier start to growth</w:t>
      </w:r>
      <w:r>
        <w:rPr>
          <w:vertAlign w:val="superscript"/>
        </w:rPr>
        <w:t xml:space="preserve">33</w:t>
      </w:r>
      <w:r>
        <w:t xml:space="preserve">.</w:t>
      </w:r>
      <w:r>
        <w:t xml:space="preserve"> </w:t>
      </w:r>
      <w:r>
        <w:t xml:space="preserve">Extension of our tree-ring analysis revealed weak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Thus, warm springs are unlikely to provide substantial, sustained C sinks under warming spring temperatures.</w:t>
      </w:r>
    </w:p>
    <w:p>
      <w:pPr>
        <w:pStyle w:val="BodyText"/>
      </w:pPr>
      <w:r>
        <w:t xml:space="preserve">A second possibility is that any additional C fixed during years with warm springs may be allocated to plant functions other than stem growth, including respiration, reproduction, and production of foliage, roots</w:t>
      </w:r>
      <w:r>
        <w:rPr>
          <w:vertAlign w:val="superscript"/>
        </w:rPr>
        <w:t xml:space="preserve">25</w:t>
      </w:r>
      <w:r>
        <w:t xml:space="preserve">, or root exudates.</w:t>
      </w:r>
      <w:r>
        <w:t xml:space="preserve"> </w:t>
      </w:r>
      <w:r>
        <w:t xml:space="preserve">Much of this C would have a relatively short residence time within the ecosystem, and C loss through fall or winter respiration may offset gains from an earlier spring</w:t>
      </w:r>
      <w:r>
        <w:rPr>
          <w:vertAlign w:val="superscript"/>
        </w:rPr>
        <w:t xml:space="preserve">3,44</w:t>
      </w:r>
      <w:r>
        <w:t xml:space="preserve">.</w:t>
      </w:r>
      <w:r>
        <w:t xml:space="preserve"> </w:t>
      </w:r>
      <w:r>
        <w:t xml:space="preserve">However, C allocated to nonstructural carbohydrates or relatively short-lived plant tissues would typically remain in the ecosystem beyond the end of the year</w:t>
      </w:r>
      <w:r>
        <w:rPr>
          <w:vertAlign w:val="superscript"/>
        </w:rPr>
        <w:t xml:space="preserve">42</w:t>
      </w:r>
      <w:r>
        <w:t xml:space="preserve">, such that the long-term effect of warm springs on the forest C balance would not be captured in analyses of interannual variation</w:t>
      </w:r>
      <w:r>
        <w:rPr>
          <w:vertAlign w:val="superscript"/>
        </w:rPr>
        <w:t xml:space="preserve">2,13,14</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2,4,10,11</w:t>
      </w:r>
      <w:r>
        <w:t xml:space="preserve"> </w:t>
      </w:r>
      <w:r>
        <w:t xml:space="preserve">– as opposed to their interannual variation – showed increasing trends in both variables, suggesting that the C not allocated to woody productivity within the current year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 cycling are unlikely to be apparent in analyses of interannual variation (including this analysis)</w:t>
      </w:r>
      <w:r>
        <w:rPr>
          <w:vertAlign w:val="superscript"/>
        </w:rPr>
        <w:t xml:space="preserve">45</w:t>
      </w:r>
      <w:r>
        <w:t xml:space="preserve">.</w:t>
      </w:r>
      <w:r>
        <w:t xml:space="preserve"> </w:t>
      </w:r>
      <w:r>
        <w:t xml:space="preserve">Moreover, acclimation of trees to warming temperatures</w:t>
      </w:r>
      <w:r>
        <w:rPr>
          <w:vertAlign w:val="superscript"/>
        </w:rPr>
        <w:t xml:space="preserve">46</w:t>
      </w:r>
      <w:r>
        <w:t xml:space="preserve"> </w:t>
      </w:r>
      <w:r>
        <w:t xml:space="preserve">and, on longer time scales, species adaptations and shifts in community composition</w:t>
      </w:r>
      <w:r>
        <w:rPr>
          <w:vertAlign w:val="superscript"/>
        </w:rPr>
        <w:t xml:space="preserve">47</w:t>
      </w:r>
      <w:r>
        <w:t xml:space="preserve"> </w:t>
      </w:r>
      <w:r>
        <w:t xml:space="preserve">are likely to alter the phenology of forest C cycling.</w:t>
      </w:r>
      <w:r>
        <w:t xml:space="preserve"> </w:t>
      </w:r>
      <w:r>
        <w:t xml:space="preserve">If we look across spatial gradients where the latter have had time to play out, we see that warmer spring temperatures are associated with earlier leaf-out</w:t>
      </w:r>
      <w:r>
        <w:rPr>
          <w:vertAlign w:val="superscript"/>
        </w:rPr>
        <w:t xml:space="preserve">6</w:t>
      </w:r>
      <w:r>
        <w:t xml:space="preserve"> </w:t>
      </w:r>
      <w:r>
        <w:t xml:space="preserve">and longer growing seasons, which in turn are are correlated with greater tree growth</w:t>
      </w:r>
      <w:r>
        <w:rPr>
          <w:vertAlign w:val="superscript"/>
        </w:rPr>
        <w:t xml:space="preserve">48</w:t>
      </w:r>
      <w:r>
        <w:t xml:space="preserve">, woody productivity</w:t>
      </w:r>
      <w:r>
        <w:rPr>
          <w:vertAlign w:val="superscript"/>
        </w:rPr>
        <w:t xml:space="preserve">49</w:t>
      </w:r>
      <w:r>
        <w:t xml:space="preserve">, and</w:t>
      </w:r>
      <w:r>
        <w:t xml:space="preserve"> </w:t>
      </w:r>
      <w:r>
        <w:rPr>
          <w:iCs/>
          <w:i/>
        </w:rPr>
        <w:t xml:space="preserve">NEE</w:t>
      </w:r>
      <w:r>
        <w:rPr>
          <w:vertAlign w:val="superscript"/>
        </w:rPr>
        <w:t xml:space="preserve">50</w:t>
      </w:r>
      <w:r>
        <w:t xml:space="preserve">.</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forests to the warming conditions, an earlier onset of growth in the spring is unlikely to provide the sustained increase in CO</w:t>
      </w:r>
      <w:r>
        <w:rPr>
          <w:vertAlign w:val="subscript"/>
        </w:rPr>
        <w:t xml:space="preserve">2</w:t>
      </w:r>
      <w:r>
        <w:t xml:space="preserve"> </w:t>
      </w:r>
      <w:r>
        <w:t xml:space="preserve">sequestration and ensuant negative climate change feedback that is anticipated in most climate forecasting models</w:t>
      </w:r>
      <w:r>
        <w:rPr>
          <w:vertAlign w:val="superscript"/>
        </w:rPr>
        <w:t xml:space="preserve">2,3,17,18</w:t>
      </w:r>
      <w:r>
        <w:t xml:space="preserve">.</w:t>
      </w:r>
      <w:r>
        <w:t xml:space="preserve"> </w:t>
      </w:r>
      <w:r>
        <w:t xml:space="preserve">Rather, the dominant effect of rising temperatures on forest woody productivity will be a negative effect of high summer temperatures,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51</w:t>
      </w:r>
      <w:r>
        <w:t xml:space="preserve"> </w:t>
      </w:r>
      <w:r>
        <w:t xml:space="preserve">and Harvard Forest</w:t>
      </w:r>
      <w:r>
        <w:rPr>
          <w:vertAlign w:val="superscript"/>
        </w:rPr>
        <w:t xml:space="preserve">4,26</w:t>
      </w:r>
      <w:r>
        <w:t xml:space="preserve">, both part of the Forest Global Earth Observatory (ForestGEO)</w:t>
      </w:r>
      <w:r>
        <w:rPr>
          <w:vertAlign w:val="superscript"/>
        </w:rPr>
        <w:t xml:space="preserve">52,53</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51</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29</w:t>
      </w:r>
      <w:r>
        <w:t xml:space="preserve">.</w:t>
      </w:r>
      <w:r>
        <w:t xml:space="preserve"> </w:t>
      </w:r>
      <w:r>
        <w:t xml:space="preserve">The climate is humid temperate, with 1950-2019 mean annual precipitation of 1018 mm and temperatures averaging 1° C in January and 24° C in July</w:t>
      </w:r>
      <w:r>
        <w:rPr>
          <w:vertAlign w:val="superscript"/>
        </w:rPr>
        <w:t xml:space="preserve">48</w:t>
      </w:r>
      <w:r>
        <w:t xml:space="preserv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 C in January and 22° C in July</w:t>
      </w:r>
      <w:r>
        <w:rPr>
          <w:vertAlign w:val="superscript"/>
        </w:rPr>
        <w:t xml:space="preserve">48</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ring-porous species at SCBI and eight diffuse- and three ring-porous species at Harvard Forest (Extended Data Table 1).</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Timing of measurements at Harvard Forest were similar, with the median start date of April 23 and median end date of October 30.</w:t>
      </w:r>
      <w:r>
        <w:t xml:space="preserve"> </w:t>
      </w:r>
      <w:r>
        <w:t xml:space="preserve">1998 was an anomalous year where initial measurements were taken on January 5, but not taken again until April 15.</w:t>
      </w:r>
      <w:r>
        <w:t xml:space="preserve"> </w:t>
      </w:r>
      <w:r>
        <w:t xml:space="preserve">The latest end date was November 11, 2002.</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the datapoint was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 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p>
    <w:p>
      <w:pPr>
        <w:pStyle w:val="BodyText"/>
      </w:pPr>
      <w:r>
        <w:t xml:space="preserve">We fit a five-parameter logistic growth model</w:t>
      </w:r>
      <w:r>
        <w:rPr>
          <w:vertAlign w:val="superscript"/>
        </w:rPr>
        <w:t xml:space="preserve">30</w:t>
      </w:r>
      <w:r>
        <w:t xml:space="preserve"> </w:t>
      </w:r>
      <w:r>
        <w:t xml:space="preserve">to dendrometer band data from each tree-year to define phenological dates and growth rates (Fig. 1). 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 DBH at the beginning and end of the year, respectively.</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The DOY on which maximum growth occurs,</w:t>
      </w:r>
      <w:r>
        <w:t xml:space="preserve"> </w:t>
      </w:r>
      <m:oMath>
        <m:r>
          <m:t>D</m:t>
        </m:r>
        <m:r>
          <m:t>O</m:t>
        </m:r>
        <m:sSub>
          <m:e>
            <m:r>
              <m:t>Y</m:t>
            </m:r>
          </m:e>
          <m:sub>
            <m:sSub>
              <m:e>
                <m:r>
                  <m:t>g</m:t>
                </m:r>
              </m:e>
              <m:sub>
                <m:r>
                  <m:t>m</m:t>
                </m:r>
                <m:r>
                  <m:t>a</m:t>
                </m:r>
                <m:r>
                  <m:t>x</m:t>
                </m:r>
              </m:sub>
            </m:sSub>
          </m:sub>
        </m:sSub>
      </m:oMath>
      <w:r>
        <w:t xml:space="preserve"> </w:t>
      </w:r>
      <w:r>
        <w:t xml:space="preserve">(Fig. 1), occurs on</w:t>
      </w:r>
      <w:r>
        <w:t xml:space="preserve"> </w:t>
      </w:r>
      <m:oMath>
        <m:r>
          <m:t>D</m:t>
        </m:r>
        <m:r>
          <m:t>O</m:t>
        </m:r>
        <m:sSub>
          <m:e>
            <m:r>
              <m:t>Y</m:t>
            </m:r>
          </m:e>
          <m:sub>
            <m:r>
              <m:t>i</m:t>
            </m:r>
            <m:r>
              <m:t>p</m:t>
            </m:r>
          </m:sub>
        </m:sSub>
      </m:oMath>
      <w:r>
        <w:t xml:space="preserve"> </w:t>
      </w:r>
      <w:r>
        <w:t xml:space="preserve">when</w:t>
      </w:r>
      <w:r>
        <w:t xml:space="preserve"> </w:t>
      </w:r>
      <m:oMath>
        <m:r>
          <m:t>θ</m:t>
        </m:r>
        <m:r>
          <m:rPr>
            <m:sty m:val="p"/>
          </m:rPr>
          <m:t>=</m:t>
        </m:r>
        <m:r>
          <m:t>1</m:t>
        </m:r>
      </m:oMath>
      <w:r>
        <w:t xml:space="preserve">.</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30</w:t>
      </w:r>
      <w:r>
        <w:t xml:space="preserve">. These functions take the time-series of manual dendrometer band measurements and return maximum-likelihood optimized values of the above five parameters that best predict DBH for each day of year.</w:t>
      </w:r>
      <w:r>
        <w:t xml:space="preserve"> </w:t>
      </w:r>
      <w:r>
        <w:t xml:space="preserve">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certain modeled growth characteristics fell outside of the logical range.</w:t>
      </w:r>
      <w:r>
        <w:t xml:space="preserve"> </w:t>
      </w:r>
      <w:r>
        <w:t xml:space="preserve">Modeled fits for tree-years were removed under five conditions:</w:t>
      </w:r>
      <w:r>
        <w:t xml:space="preserve"> </w:t>
      </w:r>
      <w:r>
        <w:t xml:space="preserve">(1) single day growth rates were</w:t>
      </w:r>
      <w:r>
        <w:t xml:space="preserve"> </w:t>
      </w:r>
      <m:oMath>
        <m:r>
          <m:rPr>
            <m:sty m:val="p"/>
          </m:rPr>
          <m:t>≥</m:t>
        </m:r>
        <m:r>
          <m:t>2</m:t>
        </m:r>
      </m:oMath>
      <w:r>
        <w:t xml:space="preserve"> </w:t>
      </w:r>
      <w:r>
        <w:t xml:space="preserve">standard deviations away from the mean for each wood-type (SCBI = 2, Harvard Forest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53, Harvard Forest = 106);</w:t>
      </w:r>
      <w:r>
        <w:t xml:space="preserve"> </w:t>
      </w:r>
      <w:r>
        <w:t xml:space="preserve">(3) tree-years with small or negligible total growth (</w:t>
      </w:r>
      <m:oMath>
        <m:r>
          <m:t>Δ</m:t>
        </m:r>
        <m:r>
          <m:t>D</m:t>
        </m:r>
        <m:r>
          <m:t>B</m:t>
        </m:r>
        <m:r>
          <m:t>H</m:t>
        </m:r>
      </m:oMath>
      <w:r>
        <w:t xml:space="preserve"> </w:t>
      </w:r>
      <m:oMath>
        <m:r>
          <m:rPr>
            <m:sty m:val="p"/>
          </m:rPr>
          <m:t>≤</m:t>
        </m:r>
        <m:r>
          <m:t>0.02</m:t>
        </m:r>
      </m:oMath>
      <w:r>
        <w:t xml:space="preserve"> </w:t>
      </w:r>
      <w:r>
        <w:t xml:space="preserve">mm; SCBI = 0, Harvard Forest = 66);</w:t>
      </w:r>
      <w:r>
        <w:t xml:space="preserve"> </w:t>
      </w:r>
      <w:r>
        <w:t xml:space="preserve">(4) model fit predicted total yearly growth to take longer than 365 days, indicating poor model fit (SCBI = 150, Harvard Forest = 199);</w:t>
      </w:r>
      <w:r>
        <w:t xml:space="preserve"> </w:t>
      </w:r>
      <w:r>
        <w:t xml:space="preserve">(5) models with unexplained sharp spikes in growth rate (SCBI = 0, Harvard Forest = 3);</w:t>
      </w:r>
      <w:r>
        <w:t xml:space="preserve"> </w:t>
      </w:r>
      <w:r>
        <w:t xml:space="preserve">and (6) poorly fit models that did not meet any of the above criteria (SCBI = 2, Harvard Forest = 0).</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t xml:space="preserve">At SCBI, a higher proportion of ring-porous trees were removed, the majority falling under condition 4.</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54</w:t>
      </w:r>
      <w:r>
        <w:t xml:space="preserve"> </w:t>
      </w:r>
      <w:r>
        <w:t xml:space="preserve">via Google Earth Engine.</w:t>
      </w:r>
      <w:r>
        <w:t xml:space="preserve"> </w:t>
      </w:r>
      <w:r>
        <w:t xml:space="preserve">Extracted pixels were those containing the NEON tower at each site.</w:t>
      </w:r>
      <w:r>
        <w:t xml:space="preserve"> </w:t>
      </w:r>
      <w:r>
        <w:t xml:space="preserve">Using daily MODIS 2-band Enhanced Vegetation Index data (EVI2) at a spatial resolution of 500m, the product yields the timing of phenometrics (vegetation phenology) over each year, including timing of greenup, midgreenup, and senescence as used in this study.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55</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56</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57,58</w:t>
      </w:r>
      <w:r>
        <w:t xml:space="preserve">.</w:t>
      </w:r>
      <w:r>
        <w:t xml:space="preserve"> </w:t>
      </w:r>
      <w:r>
        <w:t xml:space="preserve">For each site, we used records of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(CTW,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59</w:t>
      </w:r>
      <w:r>
        <w:t xml:space="preserve">.</w:t>
      </w:r>
      <w:r>
        <w:t xml:space="preserve"> </w:t>
      </w:r>
      <w:r>
        <w:t xml:space="preserve">This package tests the correlation between one or more predictor climate variable and a biological outcome variable over all consecutive time windows within a specified time-frame. 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defined CTW for</w:t>
      </w:r>
      <w:r>
        <w:t xml:space="preserve"> </w:t>
      </w:r>
      <m:oMath>
        <m:r>
          <m:t>D</m:t>
        </m:r>
        <m:r>
          <m:t>O</m:t>
        </m:r>
        <m:sSub>
          <m:e>
            <m:r>
              <m:t>Y</m:t>
            </m:r>
          </m:e>
          <m:sub>
            <m:r>
              <m:t>25</m:t>
            </m:r>
          </m:sub>
        </m:sSub>
      </m:oMath>
      <w:r>
        <w:t xml:space="preserve">, as opposed to other growth phenology parameters,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to be the month of April.</w:t>
      </w:r>
      <w:r>
        <w:t xml:space="preserve"> </w:t>
      </w:r>
      <w:r>
        <w:t xml:space="preserve">This was consistent with the periods identified by</w:t>
      </w:r>
      <w:r>
        <w:t xml:space="preserve"> </w:t>
      </w:r>
      <w:r>
        <w:rPr>
          <w:iCs/>
          <w:i/>
        </w:rPr>
        <w:t xml:space="preserve">climwin</w:t>
      </w:r>
      <w:r>
        <w:t xml:space="preserve"> </w:t>
      </w:r>
      <w:r>
        <w:t xml:space="preserve">for ring- and diffuse-porous species groups at both sites, all of which included all or part of April (Extended Data Table 2).</w:t>
      </w:r>
    </w:p>
    <w:p>
      <w:pPr>
        <w:pStyle w:val="BodyText"/>
      </w:pPr>
      <w:r>
        <w:t xml:space="preserve">Correlation between the dendrometer 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r>
                  <m:t>a</m:t>
                </m:r>
                <m:r>
                  <m:t>x</m:t>
                </m:r>
              </m:sub>
            </m:sSub>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phenology variables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CTW, along with random effects of species and of individual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60,61</w:t>
      </w:r>
      <w:r>
        <w:t xml:space="preserve">. 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Standardized Precipitation Evapotranspiration Index</w:t>
      </w:r>
      <w:r>
        <w:rPr>
          <w:vertAlign w:val="superscript"/>
        </w:rPr>
        <w:t xml:space="preserve">35</w:t>
      </w:r>
      <w:r>
        <w:t xml:space="preserve">.</w:t>
      </w:r>
      <w:r>
        <w:t xml:space="preserve"> </w:t>
      </w:r>
      <w:r>
        <w:t xml:space="preserve">The latter was obtained from the ForestGEO Climate Data Portal v1.0 (</w:t>
      </w:r>
      <w:hyperlink r:id="rId27">
        <w:r>
          <w:rPr>
            <w:rStyle w:val="Hyperlink"/>
          </w:rPr>
          <w:t xml:space="preserve">https://forestgeo.github.io/Climate/</w:t>
        </w:r>
      </w:hyperlink>
      <w:r>
        <w:t xml:space="preserve">)</w:t>
      </w:r>
      <w:r>
        <w:rPr>
          <w:vertAlign w:val="superscript"/>
        </w:rPr>
        <w:t xml:space="preserve">55,62,63</w:t>
      </w:r>
      <w:r>
        <w:t xml:space="preserve">.</w:t>
      </w:r>
      <w:r>
        <w:t xml:space="preserve"> </w:t>
      </w:r>
      <w:r>
        <w:t xml:space="preserve">Linear models were run with 4-, 6-, and 12-month SPEI values of June, July, and August vs April</w:t>
      </w:r>
      <w:r>
        <w:t xml:space="preserve"> </w:t>
      </w:r>
      <m:oMath>
        <m:sSub>
          <m:e>
            <m:r>
              <m:t>T</m:t>
            </m:r>
          </m:e>
          <m:sub>
            <m:r>
              <m:t>m</m:t>
            </m:r>
            <m:r>
              <m:t>a</m:t>
            </m:r>
            <m:r>
              <m:t>x</m:t>
            </m:r>
          </m:sub>
        </m:sSub>
      </m:oMath>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64</w:t>
      </w:r>
      <w:r>
        <w:t xml:space="preserve">.</w:t>
      </w:r>
    </w:p>
    <w:p>
      <w:pPr>
        <w:pStyle w:val="BodyText"/>
      </w:pPr>
      <w:r>
        <w:t xml:space="preserve">Dominant tree species were cored at both SCBI</w:t>
      </w:r>
      <w:r>
        <w:rPr>
          <w:vertAlign w:val="superscript"/>
        </w:rPr>
        <w:t xml:space="preserve">29,51</w:t>
      </w:r>
      <w:r>
        <w:t xml:space="preserve"> </w:t>
      </w:r>
      <w:r>
        <w:t xml:space="preserve">and Harvard Forest</w:t>
      </w:r>
      <w:r>
        <w:rPr>
          <w:vertAlign w:val="superscript"/>
        </w:rPr>
        <w:t xml:space="preserve">4,65,66</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28,67</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68</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68,69</w:t>
      </w:r>
      <w:r>
        <w:t xml:space="preserve">.</w:t>
      </w:r>
      <w:r>
        <w:t xml:space="preserve"> </w:t>
      </w:r>
      <w:r>
        <w:t xml:space="preserve">An adaptive power transformation, a process that also stabilises the variance over time</w:t>
      </w:r>
      <w:r>
        <w:rPr>
          <w:vertAlign w:val="superscript"/>
        </w:rPr>
        <w:t xml:space="preserve">70</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71</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69</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72</w:t>
      </w:r>
      <w:r>
        <w:t xml:space="preserve"> </w:t>
      </w:r>
      <w:r>
        <w:t xml:space="preserve">Correlations between monthly climate and</w:t>
      </w:r>
      <w:r>
        <w:t xml:space="preserve"> </w:t>
      </w:r>
      <m:oMath>
        <m:r>
          <m:t>R</m:t>
        </m:r>
        <m:r>
          <m:t>W</m:t>
        </m:r>
        <m:r>
          <m:t>I</m:t>
        </m:r>
      </m:oMath>
      <w:r>
        <w:t xml:space="preserve"> </w:t>
      </w:r>
      <w:r>
        <w:t xml:space="preserve">were assessed using</w:t>
      </w:r>
      <w:r>
        <w:t xml:space="preserve"> </w:t>
      </w:r>
      <w:r>
        <w:rPr>
          <w:iCs/>
          <w:i/>
        </w:rPr>
        <w:t xml:space="preserve">dplR</w:t>
      </w:r>
      <w:r>
        <w:rPr>
          <w:vertAlign w:val="superscript"/>
        </w:rPr>
        <w:t xml:space="preserve">73</w:t>
      </w:r>
      <w:r>
        <w:t xml:space="preserve"> </w:t>
      </w:r>
      <w:r>
        <w:t xml:space="preserve">and</w:t>
      </w:r>
      <w:r>
        <w:t xml:space="preserve"> </w:t>
      </w:r>
      <w:r>
        <w:rPr>
          <w:iCs/>
          <w:i/>
        </w:rPr>
        <w:t xml:space="preserve">bootRes</w:t>
      </w:r>
      <w:r>
        <w:rPr>
          <w:vertAlign w:val="superscript"/>
        </w:rPr>
        <w:t xml:space="preserve">74</w:t>
      </w:r>
      <w:r>
        <w:t xml:space="preserve"> </w:t>
      </w:r>
      <w:r>
        <w:t xml:space="preserve">in R v 4.0 (R Core Team, 2020), which correlated functions and bootstrapped confidence intervals for these relationships</w:t>
      </w:r>
      <w:r>
        <w:rPr>
          <w:vertAlign w:val="superscript"/>
        </w:rPr>
        <w:t xml:space="preserve">75</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April-August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3"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 downloaded on [DATE].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Original tree cores are archived at the institutions of various members of the author team and will be made available upon reasonable request.</w:t>
      </w:r>
      <w:r>
        <w:t xml:space="preserve"> </w:t>
      </w:r>
    </w:p>
    <w:bookmarkEnd w:id="43"/>
    <w:bookmarkStart w:id="46"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4">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5">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34" w:name="References"/>
    <w:p>
      <w:pPr>
        <w:pStyle w:val="Heading1"/>
      </w:pPr>
      <w:r>
        <w:t xml:space="preserve">References</w:t>
      </w:r>
    </w:p>
    <w:bookmarkStart w:id="133"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1"/>
    <w:bookmarkStart w:id="52"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52"/>
    <w:bookmarkStart w:id="54"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53">
        <w:r>
          <w:rPr>
            <w:rStyle w:val="Hyperlink"/>
          </w:rPr>
          <w:t xml:space="preserve">10.1073/pnas.2002713117</w:t>
        </w:r>
      </w:hyperlink>
      <w:r>
        <w:t xml:space="preserve">.</w:t>
      </w:r>
    </w:p>
    <w:bookmarkEnd w:id="54"/>
    <w:bookmarkStart w:id="55" w:name="ref-menzel_growing_1999"/>
    <w:p>
      <w:pPr>
        <w:pStyle w:val="Bibliography"/>
      </w:pPr>
      <w:r>
        <w:t xml:space="preserve">7.</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55"/>
    <w:bookmarkStart w:id="56" w:name="ref-menzel_european_2006"/>
    <w:p>
      <w:pPr>
        <w:pStyle w:val="Bibliography"/>
      </w:pPr>
      <w:r>
        <w:t xml:space="preserve">8.</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6"/>
    <w:bookmarkStart w:id="57" w:name="ref-ibanez_forecasting_2010"/>
    <w:p>
      <w:pPr>
        <w:pStyle w:val="Bibliography"/>
      </w:pPr>
      <w:r>
        <w:t xml:space="preserve">9.</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7"/>
    <w:bookmarkStart w:id="58" w:name="ref-keeling_increased_1996"/>
    <w:p>
      <w:pPr>
        <w:pStyle w:val="Bibliography"/>
      </w:pPr>
      <w:r>
        <w:t xml:space="preserve">10.</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8"/>
    <w:bookmarkStart w:id="59" w:name="ref-dragoni_evidence_2011"/>
    <w:p>
      <w:pPr>
        <w:pStyle w:val="Bibliography"/>
      </w:pPr>
      <w:r>
        <w:t xml:space="preserve">11.</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9"/>
    <w:bookmarkStart w:id="60" w:name="ref-crabbe_extreme_2016"/>
    <w:p>
      <w:pPr>
        <w:pStyle w:val="Bibliography"/>
      </w:pPr>
      <w:r>
        <w:t xml:space="preserve">12.</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60"/>
    <w:bookmarkStart w:id="61" w:name="ref-zhou_explaining_2016"/>
    <w:p>
      <w:pPr>
        <w:pStyle w:val="Bibliography"/>
      </w:pPr>
      <w:r>
        <w:t xml:space="preserve">13.</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61"/>
    <w:bookmarkStart w:id="62" w:name="ref-fu_maximum_2019"/>
    <w:p>
      <w:pPr>
        <w:pStyle w:val="Bibliography"/>
      </w:pPr>
      <w:r>
        <w:t xml:space="preserve">14.</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2"/>
    <w:bookmarkStart w:id="63" w:name="ref-xue_global_2017"/>
    <w:p>
      <w:pPr>
        <w:pStyle w:val="Bibliography"/>
      </w:pPr>
      <w:r>
        <w:t xml:space="preserve">15.</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3"/>
    <w:bookmarkStart w:id="64" w:name="ref-russell_residence_2014"/>
    <w:p>
      <w:pPr>
        <w:pStyle w:val="Bibliography"/>
      </w:pPr>
      <w:r>
        <w:t xml:space="preserve">16.</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4"/>
    <w:bookmarkStart w:id="65" w:name="ref-zani_increased_2020"/>
    <w:p>
      <w:pPr>
        <w:pStyle w:val="Bibliography"/>
      </w:pPr>
      <w:r>
        <w:t xml:space="preserve">17.</w:t>
      </w:r>
      <w:r>
        <w:t xml:space="preserve"> </w:t>
      </w:r>
      <w:r>
        <w:t xml:space="preserve">	</w:t>
      </w:r>
      <w:r>
        <w:t xml:space="preserve">Zani, D., Crowther, T. W., Mo, L., Renner, S. S. &amp; Zohner, C. M. Increased growing-season productivity drives earlier autumn leaf senescence in temperate trees. 7 (2020).</w:t>
      </w:r>
    </w:p>
    <w:bookmarkEnd w:id="65"/>
    <w:bookmarkStart w:id="66" w:name="ref-ahlstrom_robustness_2012"/>
    <w:p>
      <w:pPr>
        <w:pStyle w:val="Bibliography"/>
      </w:pPr>
      <w:r>
        <w:t xml:space="preserve">18.</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6"/>
    <w:bookmarkStart w:id="68" w:name="ref-friedlingstein_global_2021"/>
    <w:p>
      <w:pPr>
        <w:pStyle w:val="Bibliography"/>
      </w:pPr>
      <w:r>
        <w:t xml:space="preserve">19.</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2021.</w:t>
      </w:r>
      <w:r>
        <w:t xml:space="preserve"> </w:t>
      </w:r>
      <w:r>
        <w:rPr>
          <w:iCs/>
          <w:i/>
        </w:rPr>
        <w:t xml:space="preserve">Earth System Science Data Discussions</w:t>
      </w:r>
      <w:r>
        <w:t xml:space="preserve"> </w:t>
      </w:r>
      <w:r>
        <w:t xml:space="preserve">1–191 (2021) doi:</w:t>
      </w:r>
      <w:hyperlink r:id="rId67">
        <w:r>
          <w:rPr>
            <w:rStyle w:val="Hyperlink"/>
          </w:rPr>
          <w:t xml:space="preserve">10.5194/essd-2021-386</w:t>
        </w:r>
      </w:hyperlink>
      <w:r>
        <w:t xml:space="preserve">.</w:t>
      </w:r>
    </w:p>
    <w:bookmarkEnd w:id="68"/>
    <w:bookmarkStart w:id="70" w:name="ref-harris_global_2021"/>
    <w:p>
      <w:pPr>
        <w:pStyle w:val="Bibliography"/>
      </w:pPr>
      <w:r>
        <w:t xml:space="preserve">20.</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9">
        <w:r>
          <w:rPr>
            <w:rStyle w:val="Hyperlink"/>
          </w:rPr>
          <w:t xml:space="preserve">10.1038/s41558-020-00976-6</w:t>
        </w:r>
      </w:hyperlink>
      <w:r>
        <w:t xml:space="preserve">.</w:t>
      </w:r>
    </w:p>
    <w:bookmarkEnd w:id="70"/>
    <w:bookmarkStart w:id="71" w:name="ref-pugh_role_2019"/>
    <w:p>
      <w:pPr>
        <w:pStyle w:val="Bibliography"/>
      </w:pPr>
      <w:r>
        <w:t xml:space="preserve">21.</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71"/>
    <w:bookmarkStart w:id="72" w:name="ref-arora_carbon_2020"/>
    <w:p>
      <w:pPr>
        <w:pStyle w:val="Bibliography"/>
      </w:pPr>
      <w:r>
        <w:t xml:space="preserve">22.</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72"/>
    <w:bookmarkStart w:id="73" w:name="ref-friedlingstein_global_2020"/>
    <w:p>
      <w:pPr>
        <w:pStyle w:val="Bibliography"/>
      </w:pPr>
      <w:r>
        <w:t xml:space="preserve">23.</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3"/>
    <w:bookmarkStart w:id="74" w:name="ref-keenan_timing_2015"/>
    <w:p>
      <w:pPr>
        <w:pStyle w:val="Bibliography"/>
      </w:pPr>
      <w:r>
        <w:t xml:space="preserve">24.</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74"/>
    <w:bookmarkStart w:id="75" w:name="ref-zohner_how_2021"/>
    <w:p>
      <w:pPr>
        <w:pStyle w:val="Bibliography"/>
      </w:pPr>
      <w:r>
        <w:t xml:space="preserve">25.</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75"/>
    <w:bookmarkStart w:id="77" w:name="ref-dorangeville_peak_2021"/>
    <w:p>
      <w:pPr>
        <w:pStyle w:val="Bibliography"/>
      </w:pPr>
      <w:r>
        <w:t xml:space="preserve">26.</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76">
        <w:r>
          <w:rPr>
            <w:rStyle w:val="Hyperlink"/>
          </w:rPr>
          <w:t xml:space="preserve">10.1093/treephys/tpab101</w:t>
        </w:r>
      </w:hyperlink>
      <w:r>
        <w:t xml:space="preserve">.</w:t>
      </w:r>
    </w:p>
    <w:bookmarkEnd w:id="77"/>
    <w:bookmarkStart w:id="78" w:name="ref-etzold_number_2022"/>
    <w:p>
      <w:pPr>
        <w:pStyle w:val="Bibliography"/>
      </w:pPr>
      <w:r>
        <w:t xml:space="preserve">27.</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n/a</w:t>
      </w:r>
      <w:r>
        <w:t xml:space="preserve">, (2022).</w:t>
      </w:r>
    </w:p>
    <w:bookmarkEnd w:id="78"/>
    <w:bookmarkStart w:id="79" w:name="ref-dorangeville_drought_2018"/>
    <w:p>
      <w:pPr>
        <w:pStyle w:val="Bibliography"/>
      </w:pPr>
      <w:r>
        <w:t xml:space="preserve">28.</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79"/>
    <w:bookmarkStart w:id="80" w:name="ref-helcoski_growing_2019"/>
    <w:p>
      <w:pPr>
        <w:pStyle w:val="Bibliography"/>
      </w:pPr>
      <w:r>
        <w:t xml:space="preserve">29.</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0"/>
    <w:bookmarkStart w:id="81" w:name="ref-mcmahon_general_2015"/>
    <w:p>
      <w:pPr>
        <w:pStyle w:val="Bibliography"/>
      </w:pPr>
      <w:r>
        <w:t xml:space="preserve">30.</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81"/>
    <w:bookmarkStart w:id="82" w:name="ref-parmesan_globally_2003"/>
    <w:p>
      <w:pPr>
        <w:pStyle w:val="Bibliography"/>
      </w:pPr>
      <w:r>
        <w:t xml:space="preserve">31.</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82"/>
    <w:bookmarkStart w:id="83" w:name="ref-friedl_tale_2014"/>
    <w:p>
      <w:pPr>
        <w:pStyle w:val="Bibliography"/>
      </w:pPr>
      <w:r>
        <w:t xml:space="preserve">32.</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83"/>
    <w:bookmarkStart w:id="84" w:name="ref-fu_variation_2014"/>
    <w:p>
      <w:pPr>
        <w:pStyle w:val="Bibliography"/>
      </w:pPr>
      <w:r>
        <w:t xml:space="preserve">33.</w:t>
      </w:r>
      <w:r>
        <w:t xml:space="preserve"> </w:t>
      </w:r>
      <w:r>
        <w:t xml:space="preserve">	</w:t>
      </w:r>
      <w:r>
        <w:t xml:space="preserve">Fu, Y. S. H.</w:t>
      </w:r>
      <w:r>
        <w:t xml:space="preserve"> </w:t>
      </w:r>
      <w:r>
        <w:rPr>
          <w:iCs/>
          <w:i/>
        </w:rPr>
        <w:t xml:space="preserve">et al.</w:t>
      </w:r>
      <w:r>
        <w:t xml:space="preserve"> Variation in leaf flushing date influences autumnal senescence and next year’s flushing date in two temperate tree species.</w:t>
      </w:r>
      <w:r>
        <w:t xml:space="preserve"> </w:t>
      </w:r>
      <w:r>
        <w:rPr>
          <w:iCs/>
          <w:i/>
        </w:rPr>
        <w:t xml:space="preserve">Proceedings of the National Academy of Sciences</w:t>
      </w:r>
      <w:r>
        <w:t xml:space="preserve"> </w:t>
      </w:r>
      <w:r>
        <w:rPr>
          <w:bCs/>
          <w:b/>
        </w:rPr>
        <w:t xml:space="preserve">111</w:t>
      </w:r>
      <w:r>
        <w:t xml:space="preserve">, 7355–7360 (2014).</w:t>
      </w:r>
    </w:p>
    <w:bookmarkEnd w:id="84"/>
    <w:bookmarkStart w:id="85" w:name="ref-zhang_drought_2021"/>
    <w:p>
      <w:pPr>
        <w:pStyle w:val="Bibliography"/>
      </w:pPr>
      <w:r>
        <w:t xml:space="preserve">34.</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85"/>
    <w:bookmarkStart w:id="86" w:name="ref-vicente-serrano_multiscalar_2010"/>
    <w:p>
      <w:pPr>
        <w:pStyle w:val="Bibliography"/>
      </w:pPr>
      <w:r>
        <w:t xml:space="preserve">35.</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86"/>
    <w:bookmarkStart w:id="87" w:name="ref-zohner_ongoing_2019"/>
    <w:p>
      <w:pPr>
        <w:pStyle w:val="Bibliography"/>
      </w:pPr>
      <w:r>
        <w:t xml:space="preserve">36.</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87"/>
    <w:bookmarkStart w:id="88" w:name="ref-xie_predicting_2018"/>
    <w:p>
      <w:pPr>
        <w:pStyle w:val="Bibliography"/>
      </w:pPr>
      <w:r>
        <w:t xml:space="preserve">37.</w:t>
      </w:r>
      <w:r>
        <w:t xml:space="preserve"> </w:t>
      </w:r>
      <w:r>
        <w:t xml:space="preserve">	</w:t>
      </w:r>
      <w:r>
        <w:t xml:space="preserve">Xie, Y., Wang, X., Wilson, A. M. &amp; Silander, J. A. Predicting autumn phenology:</w:t>
      </w:r>
      <w:r>
        <w:t xml:space="preserve"> </w:t>
      </w:r>
      <w:r>
        <w:t xml:space="preserve">How</w:t>
      </w:r>
      <w:r>
        <w:t xml:space="preserve"> </w:t>
      </w:r>
      <w:r>
        <w:t xml:space="preserve">deciduous tree species respond to weather stressors.</w:t>
      </w:r>
      <w:r>
        <w:t xml:space="preserve"> </w:t>
      </w:r>
      <w:r>
        <w:rPr>
          <w:iCs/>
          <w:i/>
        </w:rPr>
        <w:t xml:space="preserve">Agricultural and Forest Meteorology</w:t>
      </w:r>
      <w:r>
        <w:t xml:space="preserve"> </w:t>
      </w:r>
      <w:r>
        <w:rPr>
          <w:bCs/>
          <w:b/>
        </w:rPr>
        <w:t xml:space="preserve">250–251</w:t>
      </w:r>
      <w:r>
        <w:t xml:space="preserve">, 127–137 (2018).</w:t>
      </w:r>
    </w:p>
    <w:bookmarkEnd w:id="88"/>
    <w:bookmarkStart w:id="89" w:name="ref-cuny_woody_2015"/>
    <w:p>
      <w:pPr>
        <w:pStyle w:val="Bibliography"/>
      </w:pPr>
      <w:r>
        <w:t xml:space="preserve">38.</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89"/>
    <w:bookmarkStart w:id="90" w:name="ref-tardif_influence_2006"/>
    <w:p>
      <w:pPr>
        <w:pStyle w:val="Bibliography"/>
      </w:pPr>
      <w:r>
        <w:t xml:space="preserve">39.</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90"/>
    <w:bookmarkStart w:id="91" w:name="ref-roibu_climatic_2020"/>
    <w:p>
      <w:pPr>
        <w:pStyle w:val="Bibliography"/>
      </w:pPr>
      <w:r>
        <w:t xml:space="preserve">40.</w:t>
      </w:r>
      <w:r>
        <w:t xml:space="preserve"> </w:t>
      </w:r>
      <w:r>
        <w:t xml:space="preserve">	</w:t>
      </w:r>
      <w:r>
        <w:t xml:space="preserve">Roibu, C.-C.</w:t>
      </w:r>
      <w:r>
        <w:t xml:space="preserve"> </w:t>
      </w:r>
      <w:r>
        <w:rPr>
          <w:iCs/>
          <w:i/>
        </w:rPr>
        <w:t xml:space="preserve">et al.</w:t>
      </w:r>
      <w:r>
        <w:t xml:space="preserve"> The</w:t>
      </w:r>
      <w:r>
        <w:t xml:space="preserve"> </w:t>
      </w:r>
      <w:r>
        <w:t xml:space="preserve">Climatic Response</w:t>
      </w:r>
      <w:r>
        <w:t xml:space="preserve"> </w:t>
      </w:r>
      <w:r>
        <w:t xml:space="preserve">of</w:t>
      </w:r>
      <w:r>
        <w:t xml:space="preserve"> </w:t>
      </w:r>
      <w:r>
        <w:t xml:space="preserve">Tree Ring Width Components</w:t>
      </w:r>
      <w:r>
        <w:t xml:space="preserve"> </w:t>
      </w:r>
      <w:r>
        <w:t xml:space="preserve">of</w:t>
      </w:r>
      <w:r>
        <w:t xml:space="preserve"> </w:t>
      </w:r>
      <w:r>
        <w:t xml:space="preserve">Ash</w:t>
      </w:r>
      <w:r>
        <w:t xml:space="preserve"> </w:t>
      </w:r>
      <w:r>
        <w:t xml:space="preserve">(</w:t>
      </w:r>
      <w:r>
        <w:t xml:space="preserve">Fraxinus</w:t>
      </w:r>
      <w:r>
        <w:t xml:space="preserve"> </w:t>
      </w:r>
      <w:r>
        <w:t xml:space="preserve">excelsior</w:t>
      </w:r>
      <w:r>
        <w:t xml:space="preserve"> </w:t>
      </w:r>
      <w:r>
        <w:t xml:space="preserve">L</w:t>
      </w:r>
      <w:r>
        <w:t xml:space="preserve">.) And</w:t>
      </w:r>
      <w:r>
        <w:t xml:space="preserve"> </w:t>
      </w:r>
      <w:r>
        <w:t xml:space="preserve">Common Oak</w:t>
      </w:r>
      <w:r>
        <w:t xml:space="preserve"> </w:t>
      </w:r>
      <w:r>
        <w:t xml:space="preserve">(</w:t>
      </w:r>
      <w:r>
        <w:t xml:space="preserve">Quercus</w:t>
      </w:r>
      <w:r>
        <w:t xml:space="preserve"> </w:t>
      </w:r>
      <w:r>
        <w:t xml:space="preserve">robur</w:t>
      </w:r>
      <w:r>
        <w:t xml:space="preserve"> </w:t>
      </w:r>
      <w:r>
        <w:t xml:space="preserve">L</w:t>
      </w:r>
      <w:r>
        <w:t xml:space="preserve">.) From</w:t>
      </w:r>
      <w:r>
        <w:t xml:space="preserve"> </w:t>
      </w:r>
      <w:r>
        <w:t xml:space="preserve">Eastern Europe</w:t>
      </w:r>
      <w:r>
        <w:t xml:space="preserve">.</w:t>
      </w:r>
      <w:r>
        <w:t xml:space="preserve"> </w:t>
      </w:r>
      <w:r>
        <w:rPr>
          <w:iCs/>
          <w:i/>
        </w:rPr>
        <w:t xml:space="preserve">Forests</w:t>
      </w:r>
      <w:r>
        <w:t xml:space="preserve"> </w:t>
      </w:r>
      <w:r>
        <w:rPr>
          <w:bCs/>
          <w:b/>
        </w:rPr>
        <w:t xml:space="preserve">11</w:t>
      </w:r>
      <w:r>
        <w:t xml:space="preserve">, 600 (2020).</w:t>
      </w:r>
    </w:p>
    <w:bookmarkEnd w:id="91"/>
    <w:bookmarkStart w:id="92" w:name="ref-kern_multiple_2013"/>
    <w:p>
      <w:pPr>
        <w:pStyle w:val="Bibliography"/>
      </w:pPr>
      <w:r>
        <w:t xml:space="preserve">41.</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92"/>
    <w:bookmarkStart w:id="93" w:name="ref-trumbore_quantifying_2002"/>
    <w:p>
      <w:pPr>
        <w:pStyle w:val="Bibliography"/>
      </w:pPr>
      <w:r>
        <w:t xml:space="preserve">42.</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93"/>
    <w:bookmarkStart w:id="94" w:name="ref-richardson_seasonal_2013"/>
    <w:p>
      <w:pPr>
        <w:pStyle w:val="Bibliography"/>
      </w:pPr>
      <w:r>
        <w:t xml:space="preserve">43.</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94"/>
    <w:bookmarkStart w:id="95" w:name="ref-oishi_warmer_2018"/>
    <w:p>
      <w:pPr>
        <w:pStyle w:val="Bibliography"/>
      </w:pPr>
      <w:r>
        <w:t xml:space="preserve">44.</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95"/>
    <w:bookmarkStart w:id="96" w:name="ref-kannenberg_linking_2019"/>
    <w:p>
      <w:pPr>
        <w:pStyle w:val="Bibliography"/>
      </w:pPr>
      <w:r>
        <w:t xml:space="preserve">45.</w:t>
      </w:r>
      <w:r>
        <w:t xml:space="preserve"> </w:t>
      </w:r>
      <w:r>
        <w:t xml:space="preserve">	</w:t>
      </w:r>
      <w:r>
        <w:t xml:space="preserve">Kannenberg, S. A.</w:t>
      </w:r>
      <w:r>
        <w:t xml:space="preserve"> </w:t>
      </w:r>
      <w:r>
        <w:rPr>
          <w:iCs/>
          <w:i/>
        </w:rPr>
        <w:t xml:space="preserve">et al.</w:t>
      </w:r>
      <w:r>
        <w:t xml:space="preserve"> Linking drought legacy effects across scales:</w:t>
      </w:r>
      <w:r>
        <w:t xml:space="preserve"> </w:t>
      </w:r>
      <w:r>
        <w:t xml:space="preserve">From</w:t>
      </w:r>
      <w:r>
        <w:t xml:space="preserve"> </w:t>
      </w:r>
      <w:r>
        <w:t xml:space="preserve">leaves to tree rings to ecosystems.</w:t>
      </w:r>
      <w:r>
        <w:t xml:space="preserve"> </w:t>
      </w:r>
      <w:r>
        <w:rPr>
          <w:iCs/>
          <w:i/>
        </w:rPr>
        <w:t xml:space="preserve">Global Change Biology</w:t>
      </w:r>
      <w:r>
        <w:t xml:space="preserve"> </w:t>
      </w:r>
      <w:r>
        <w:rPr>
          <w:bCs/>
          <w:b/>
        </w:rPr>
        <w:t xml:space="preserve">25</w:t>
      </w:r>
      <w:r>
        <w:t xml:space="preserve">, 2978–2992 (2019).</w:t>
      </w:r>
    </w:p>
    <w:bookmarkEnd w:id="96"/>
    <w:bookmarkStart w:id="97" w:name="ref-gessler_way_2020"/>
    <w:p>
      <w:pPr>
        <w:pStyle w:val="Bibliography"/>
      </w:pPr>
      <w:r>
        <w:t xml:space="preserve">46.</w:t>
      </w:r>
      <w:r>
        <w:t xml:space="preserve"> </w:t>
      </w:r>
      <w:r>
        <w:t xml:space="preserve">	</w:t>
      </w:r>
      <w:r>
        <w:t xml:space="preserve">Gessler, A., Bottero, A., Marshall, J. &amp; Arend, M. The way back: Recovery of trees from drought and its implication for acclimation.</w:t>
      </w:r>
      <w:r>
        <w:t xml:space="preserve"> </w:t>
      </w:r>
      <w:r>
        <w:rPr>
          <w:iCs/>
          <w:i/>
        </w:rPr>
        <w:t xml:space="preserve">The New phytologist</w:t>
      </w:r>
      <w:r>
        <w:t xml:space="preserve"> </w:t>
      </w:r>
      <w:r>
        <w:rPr>
          <w:bCs/>
          <w:b/>
        </w:rPr>
        <w:t xml:space="preserve">228</w:t>
      </w:r>
      <w:r>
        <w:t xml:space="preserve">, 1704–1709 (2020).</w:t>
      </w:r>
    </w:p>
    <w:bookmarkEnd w:id="97"/>
    <w:bookmarkStart w:id="98" w:name="ref-fisichelli_temperate_2014"/>
    <w:p>
      <w:pPr>
        <w:pStyle w:val="Bibliography"/>
      </w:pPr>
      <w:r>
        <w:t xml:space="preserve">47.</w:t>
      </w:r>
      <w:r>
        <w:t xml:space="preserve"> </w:t>
      </w:r>
      <w:r>
        <w:t xml:space="preserve">	</w:t>
      </w:r>
      <w:r>
        <w:t xml:space="preserve">Fisichelli, N. A., Frelich, L. E. &amp; Reich, P. B. Temperate tree expansion into adjacent boreal forest patches facilitated by warmer temperatures.</w:t>
      </w:r>
      <w:r>
        <w:t xml:space="preserve"> </w:t>
      </w:r>
      <w:r>
        <w:rPr>
          <w:iCs/>
          <w:i/>
        </w:rPr>
        <w:t xml:space="preserve">Ecography</w:t>
      </w:r>
      <w:r>
        <w:t xml:space="preserve"> </w:t>
      </w:r>
      <w:r>
        <w:rPr>
          <w:bCs/>
          <w:b/>
        </w:rPr>
        <w:t xml:space="preserve">37</w:t>
      </w:r>
      <w:r>
        <w:t xml:space="preserve">, 152–161 (2014).</w:t>
      </w:r>
    </w:p>
    <w:bookmarkEnd w:id="98"/>
    <w:bookmarkStart w:id="99" w:name="ref-anderson-teixeira_joint_2021"/>
    <w:p>
      <w:pPr>
        <w:pStyle w:val="Bibliography"/>
      </w:pPr>
      <w:r>
        <w:t xml:space="preserve">48.</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99"/>
    <w:bookmarkStart w:id="101" w:name="ref-banburymorgan_global_2021"/>
    <w:p>
      <w:pPr>
        <w:pStyle w:val="Bibliography"/>
      </w:pPr>
      <w:r>
        <w:t xml:space="preserve">49.</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100">
        <w:r>
          <w:rPr>
            <w:rStyle w:val="Hyperlink"/>
          </w:rPr>
          <w:t xml:space="preserve">10.1111/gcb.15574</w:t>
        </w:r>
      </w:hyperlink>
      <w:r>
        <w:t xml:space="preserve">.</w:t>
      </w:r>
    </w:p>
    <w:bookmarkEnd w:id="101"/>
    <w:bookmarkStart w:id="102" w:name="ref-churkina_spatial_2005"/>
    <w:p>
      <w:pPr>
        <w:pStyle w:val="Bibliography"/>
      </w:pPr>
      <w:r>
        <w:t xml:space="preserve">50.</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02"/>
    <w:bookmarkStart w:id="103" w:name="ref-bourg_initial_2013"/>
    <w:p>
      <w:pPr>
        <w:pStyle w:val="Bibliography"/>
      </w:pPr>
      <w:r>
        <w:t xml:space="preserve">51.</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03"/>
    <w:bookmarkStart w:id="104" w:name="ref-anderson-teixeira_ctfsforestgeo_2015"/>
    <w:p>
      <w:pPr>
        <w:pStyle w:val="Bibliography"/>
      </w:pPr>
      <w:r>
        <w:t xml:space="preserve">52.</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04"/>
    <w:bookmarkStart w:id="105" w:name="ref-davies_forestgeo_2021"/>
    <w:p>
      <w:pPr>
        <w:pStyle w:val="Bibliography"/>
      </w:pPr>
      <w:r>
        <w:t xml:space="preserve">53.</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05"/>
    <w:bookmarkStart w:id="107" w:name="ref-friedl_mcd12q2_2019"/>
    <w:p>
      <w:pPr>
        <w:pStyle w:val="Bibliography"/>
      </w:pPr>
      <w:r>
        <w:t xml:space="preserve">54.</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06">
        <w:r>
          <w:rPr>
            <w:rStyle w:val="Hyperlink"/>
          </w:rPr>
          <w:t xml:space="preserve">10.5067/MODIS/MCD12Q2.006</w:t>
        </w:r>
      </w:hyperlink>
      <w:r>
        <w:t xml:space="preserve">.</w:t>
      </w:r>
    </w:p>
    <w:bookmarkEnd w:id="107"/>
    <w:bookmarkStart w:id="109" w:name="ref-anderson-teixeira_forestgeo_2020"/>
    <w:p>
      <w:pPr>
        <w:pStyle w:val="Bibliography"/>
      </w:pPr>
      <w:r>
        <w:t xml:space="preserve">55.</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08">
        <w:r>
          <w:rPr>
            <w:rStyle w:val="Hyperlink"/>
          </w:rPr>
          <w:t xml:space="preserve">10.5281/ZENODO.4041609</w:t>
        </w:r>
      </w:hyperlink>
      <w:r>
        <w:t xml:space="preserve">.</w:t>
      </w:r>
    </w:p>
    <w:bookmarkEnd w:id="109"/>
    <w:bookmarkStart w:id="110" w:name="ref-benestad_empiricalstatistical_2008"/>
    <w:p>
      <w:pPr>
        <w:pStyle w:val="Bibliography"/>
      </w:pPr>
      <w:r>
        <w:t xml:space="preserve">56.</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10"/>
    <w:bookmarkStart w:id="112" w:name="ref-boose_shaler_2021"/>
    <w:p>
      <w:pPr>
        <w:pStyle w:val="Bibliography"/>
      </w:pPr>
      <w:r>
        <w:t xml:space="preserve">57.</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11">
        <w:r>
          <w:rPr>
            <w:rStyle w:val="Hyperlink"/>
          </w:rPr>
          <w:t xml:space="preserve">10.6073/PASTA/213335F5DAA17222A738C105B9FA60C4</w:t>
        </w:r>
      </w:hyperlink>
      <w:r>
        <w:t xml:space="preserve">.</w:t>
      </w:r>
    </w:p>
    <w:bookmarkEnd w:id="112"/>
    <w:bookmarkStart w:id="114" w:name="ref-boose_fisher_2021"/>
    <w:p>
      <w:pPr>
        <w:pStyle w:val="Bibliography"/>
      </w:pPr>
      <w:r>
        <w:t xml:space="preserve">58.</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13">
        <w:r>
          <w:rPr>
            <w:rStyle w:val="Hyperlink"/>
          </w:rPr>
          <w:t xml:space="preserve">10.6073/PASTA/69E92642B512897032446CFE795CFFB8</w:t>
        </w:r>
      </w:hyperlink>
      <w:r>
        <w:t xml:space="preserve">.</w:t>
      </w:r>
    </w:p>
    <w:bookmarkEnd w:id="114"/>
    <w:bookmarkStart w:id="115" w:name="ref-vandepol_identifying_2016"/>
    <w:p>
      <w:pPr>
        <w:pStyle w:val="Bibliography"/>
      </w:pPr>
      <w:r>
        <w:t xml:space="preserve">59.</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15"/>
    <w:bookmarkStart w:id="116" w:name="ref-gabry_rstanarm_2020"/>
    <w:p>
      <w:pPr>
        <w:pStyle w:val="Bibliography"/>
      </w:pPr>
      <w:r>
        <w:t xml:space="preserve">60.</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16"/>
    <w:bookmarkStart w:id="117" w:name="ref-stan_development_team_stan_2019"/>
    <w:p>
      <w:pPr>
        <w:pStyle w:val="Bibliography"/>
      </w:pPr>
      <w:r>
        <w:t xml:space="preserve">61.</w:t>
      </w:r>
      <w:r>
        <w:t xml:space="preserve"> </w:t>
      </w:r>
      <w:r>
        <w:t xml:space="preserve">	</w:t>
      </w:r>
      <w:r>
        <w:t xml:space="preserve">Stan_Development_Team.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17"/>
    <w:bookmarkStart w:id="118" w:name="ref-begueria_standardized_2014"/>
    <w:p>
      <w:pPr>
        <w:pStyle w:val="Bibliography"/>
      </w:pPr>
      <w:r>
        <w:t xml:space="preserve">62.</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18"/>
    <w:bookmarkStart w:id="119" w:name="ref-vicente-serrano_multiscalar_2010a"/>
    <w:p>
      <w:pPr>
        <w:pStyle w:val="Bibliography"/>
      </w:pPr>
      <w:r>
        <w:t xml:space="preserve">63.</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19"/>
    <w:bookmarkStart w:id="120" w:name="ref-stokes_introduction_1968"/>
    <w:p>
      <w:pPr>
        <w:pStyle w:val="Bibliography"/>
      </w:pPr>
      <w:r>
        <w:t xml:space="preserve">64.</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20"/>
    <w:bookmarkStart w:id="121" w:name="ref-alexander_potential_2019"/>
    <w:p>
      <w:pPr>
        <w:pStyle w:val="Bibliography"/>
      </w:pPr>
      <w:r>
        <w:t xml:space="preserve">65.</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21"/>
    <w:bookmarkStart w:id="122" w:name="ref-dye_comparing_2016"/>
    <w:p>
      <w:pPr>
        <w:pStyle w:val="Bibliography"/>
      </w:pPr>
      <w:r>
        <w:t xml:space="preserve">66.</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22"/>
    <w:bookmarkStart w:id="123" w:name="ref-maxwell_sampling_2020"/>
    <w:p>
      <w:pPr>
        <w:pStyle w:val="Bibliography"/>
      </w:pPr>
      <w:r>
        <w:t xml:space="preserve">67.</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23"/>
    <w:bookmarkStart w:id="125" w:name="ref-cook_methods_1990"/>
    <w:p>
      <w:pPr>
        <w:pStyle w:val="Bibliography"/>
      </w:pPr>
      <w:r>
        <w:t xml:space="preserve">68.</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24">
        <w:r>
          <w:rPr>
            <w:rStyle w:val="Hyperlink"/>
          </w:rPr>
          <w:t xml:space="preserve">10.1007/978-94-015-7879-0</w:t>
        </w:r>
      </w:hyperlink>
      <w:r>
        <w:t xml:space="preserve">.</w:t>
      </w:r>
    </w:p>
    <w:bookmarkEnd w:id="125"/>
    <w:bookmarkStart w:id="126" w:name="ref-cook_time_1985"/>
    <w:p>
      <w:pPr>
        <w:pStyle w:val="Bibliography"/>
      </w:pPr>
      <w:r>
        <w:t xml:space="preserve">69.</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26"/>
    <w:bookmarkStart w:id="127" w:name="ref-cook_calculating_1997"/>
    <w:p>
      <w:pPr>
        <w:pStyle w:val="Bibliography"/>
      </w:pPr>
      <w:r>
        <w:t xml:space="preserve">70.</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27"/>
    <w:bookmarkStart w:id="128" w:name="ref-jones_estimating_1997"/>
    <w:p>
      <w:pPr>
        <w:pStyle w:val="Bibliography"/>
      </w:pPr>
      <w:r>
        <w:t xml:space="preserve">71.</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28"/>
    <w:bookmarkStart w:id="129" w:name="ref-harris_version_2020"/>
    <w:p>
      <w:pPr>
        <w:pStyle w:val="Bibliography"/>
      </w:pPr>
      <w:r>
        <w:t xml:space="preserve">72.</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29"/>
    <w:bookmarkStart w:id="130" w:name="ref-bunn_dendrochronology_2008"/>
    <w:p>
      <w:pPr>
        <w:pStyle w:val="Bibliography"/>
      </w:pPr>
      <w:r>
        <w:t xml:space="preserve">73.</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30"/>
    <w:bookmarkStart w:id="131" w:name="ref-zang_dendroclimatic_2013"/>
    <w:p>
      <w:pPr>
        <w:pStyle w:val="Bibliography"/>
      </w:pPr>
      <w:r>
        <w:t xml:space="preserve">74.</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31"/>
    <w:bookmarkStart w:id="132" w:name="ref-biondi_dendroclim2002_2004"/>
    <w:p>
      <w:pPr>
        <w:pStyle w:val="Bibliography"/>
      </w:pPr>
      <w:r>
        <w:t xml:space="preserve">75.</w:t>
      </w:r>
      <w:r>
        <w:t xml:space="preserve"> </w:t>
      </w:r>
      <w:r>
        <w:t xml:space="preserve">	</w:t>
      </w:r>
      <w:r>
        <w:t xml:space="preserve">Biondi, F. &amp; Waikul, K.</w:t>
      </w:r>
      <w:r>
        <w:t xml:space="preserve"> </w:t>
      </w:r>
      <w:r>
        <w:t xml:space="preserve">DENDROCLIM2002</w:t>
      </w:r>
      <w:r>
        <w:t xml:space="preserve"> </w:t>
      </w:r>
      <w:r>
        <w:t xml:space="preserve">:</w:t>
      </w:r>
      <w:r>
        <w:t xml:space="preserve"> </w:t>
      </w:r>
      <w:r>
        <w:t xml:space="preserve">A 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32"/>
    <w:bookmarkEnd w:id="133"/>
    <w:bookmarkEnd w:id="134"/>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4" Target="https://doi.org/10.1007/978-94-015-7879-0" TargetMode="External" /><Relationship Type="http://schemas.openxmlformats.org/officeDocument/2006/relationships/hyperlink" Id="rId69" Target="https://doi.org/10.1038/s41558-020-00976-6" TargetMode="External" /><Relationship Type="http://schemas.openxmlformats.org/officeDocument/2006/relationships/hyperlink" Id="rId53" Target="https://doi.org/10.1073/pnas.2002713117" TargetMode="External" /><Relationship Type="http://schemas.openxmlformats.org/officeDocument/2006/relationships/hyperlink" Id="rId76" Target="https://doi.org/10.1093/treephys/tpab101" TargetMode="External" /><Relationship Type="http://schemas.openxmlformats.org/officeDocument/2006/relationships/hyperlink" Id="rId100" Target="https://doi.org/10.1111/gcb.15574" TargetMode="External" /><Relationship Type="http://schemas.openxmlformats.org/officeDocument/2006/relationships/hyperlink" Id="rId106" Target="https://doi.org/10.5067/MODIS/MCD12Q2.006" TargetMode="External" /><Relationship Type="http://schemas.openxmlformats.org/officeDocument/2006/relationships/hyperlink" Id="rId67" Target="https://doi.org/10.5194/essd-2021-386" TargetMode="External" /><Relationship Type="http://schemas.openxmlformats.org/officeDocument/2006/relationships/hyperlink" Id="rId108" Target="https://doi.org/10.5281/ZENODO.4041609" TargetMode="External" /><Relationship Type="http://schemas.openxmlformats.org/officeDocument/2006/relationships/hyperlink" Id="rId111" Target="https://doi.org/10.6073/PASTA/213335F5DAA17222A738C105B9FA60C4" TargetMode="External" /><Relationship Type="http://schemas.openxmlformats.org/officeDocument/2006/relationships/hyperlink" Id="rId113"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4" Target="https://doi.org/10.1007/978-94-015-7879-0" TargetMode="External" /><Relationship Type="http://schemas.openxmlformats.org/officeDocument/2006/relationships/hyperlink" Id="rId69" Target="https://doi.org/10.1038/s41558-020-00976-6" TargetMode="External" /><Relationship Type="http://schemas.openxmlformats.org/officeDocument/2006/relationships/hyperlink" Id="rId53" Target="https://doi.org/10.1073/pnas.2002713117" TargetMode="External" /><Relationship Type="http://schemas.openxmlformats.org/officeDocument/2006/relationships/hyperlink" Id="rId76" Target="https://doi.org/10.1093/treephys/tpab101" TargetMode="External" /><Relationship Type="http://schemas.openxmlformats.org/officeDocument/2006/relationships/hyperlink" Id="rId100" Target="https://doi.org/10.1111/gcb.15574" TargetMode="External" /><Relationship Type="http://schemas.openxmlformats.org/officeDocument/2006/relationships/hyperlink" Id="rId106" Target="https://doi.org/10.5067/MODIS/MCD12Q2.006" TargetMode="External" /><Relationship Type="http://schemas.openxmlformats.org/officeDocument/2006/relationships/hyperlink" Id="rId67" Target="https://doi.org/10.5194/essd-2021-386" TargetMode="External" /><Relationship Type="http://schemas.openxmlformats.org/officeDocument/2006/relationships/hyperlink" Id="rId108" Target="https://doi.org/10.5281/ZENODO.4041609" TargetMode="External" /><Relationship Type="http://schemas.openxmlformats.org/officeDocument/2006/relationships/hyperlink" Id="rId111" Target="https://doi.org/10.6073/PASTA/213335F5DAA17222A738C105B9FA60C4" TargetMode="External" /><Relationship Type="http://schemas.openxmlformats.org/officeDocument/2006/relationships/hyperlink" Id="rId113"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2021-12-13T13:37:11Z</dcterms:created>
  <dcterms:modified xsi:type="dcterms:W3CDTF">2021-12-13T13:37:11Z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