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1–4</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1,4–7</w:t>
      </w:r>
      <w:r>
        <w:t xml:space="preserve"> </w:t>
      </w:r>
      <w:r>
        <w:t xml:space="preserve">and annual CO</w:t>
      </w:r>
      <w:r>
        <w:rPr>
          <w:vertAlign w:val="subscript"/>
        </w:rPr>
        <w:t xml:space="preserve">2</w:t>
      </w:r>
      <w:r>
        <w:t xml:space="preserve"> </w:t>
      </w:r>
      <w:r>
        <w:t xml:space="preserve">sequestration</w:t>
      </w:r>
      <w:r>
        <w:rPr>
          <w:vertAlign w:val="superscript"/>
        </w:rPr>
        <w:t xml:space="preserve">2,4,8–12</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8–10</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2,3,16</w:t>
      </w:r>
      <w:r>
        <w:t xml:space="preserve">, warming spring temperatures are unlikely to increase the woody productivity or strengthen the carbon sink of temperate deciduous forests.</w:t>
      </w:r>
    </w:p>
    <w:bookmarkEnd w:id="21"/>
    <w:bookmarkStart w:id="28" w:name="body"/>
    <w:p>
      <w:pPr>
        <w:pStyle w:val="Heading1"/>
      </w:pPr>
      <w:r>
        <w:rPr>
          <w:rStyle w:val="SectionNumber"/>
        </w:rPr>
        <w:t xml:space="preserve">2</w:t>
      </w:r>
      <w:r>
        <w:tab/>
      </w:r>
      <w:r>
        <w:t xml:space="preserve">(Body)</w:t>
      </w:r>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17</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18</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19,20</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1,5–7</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Cs/>
          <w:i/>
        </w:rPr>
        <w:t xml:space="preserve">i.e.</w:t>
      </w:r>
      <w:r>
        <w:t xml:space="preserve">, net ecosystem exchange,</w:t>
      </w:r>
      <w:r>
        <w:t xml:space="preserve"> </w:t>
      </w:r>
      <w:r>
        <w:rPr>
          <w:iCs/>
          <w:i/>
        </w:rPr>
        <w:t xml:space="preserve">NEE</w:t>
      </w:r>
      <w:r>
        <w:t xml:space="preserve">) will increase as well</w:t>
      </w:r>
      <w:r>
        <w:rPr>
          <w:vertAlign w:val="superscript"/>
        </w:rPr>
        <w:t xml:space="preserve">2,11,12,21</w:t>
      </w:r>
      <w:r>
        <w:t xml:space="preserve">, and this expectation is represented in models</w:t>
      </w:r>
      <w:r>
        <w:rPr>
          <w:vertAlign w:val="superscript"/>
        </w:rPr>
        <w:t xml:space="preserve">2,3,16</w:t>
      </w:r>
      <w:r>
        <w:t xml:space="preserve">.</w:t>
      </w:r>
      <w:r>
        <w:t xml:space="preserve"> </w:t>
      </w:r>
      <w:r>
        <w:t xml:space="preserve">However, recent findings that sink factors can limit annual growth</w:t>
      </w:r>
      <w:r>
        <w:rPr>
          <w:vertAlign w:val="superscript"/>
        </w:rPr>
        <w:t xml:space="preserve">16,22,23</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1–3,5–7</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Cs/>
          <w:i/>
        </w:rPr>
        <w:t xml:space="preserve">(to our knowledge)</w:t>
      </w:r>
      <w:r>
        <w:rPr>
          <w:vertAlign w:val="superscript"/>
        </w:rPr>
        <w:t xml:space="preserve">24</w:t>
      </w:r>
      <w:r>
        <w:t xml:space="preserve">.</w:t>
      </w:r>
      <w:r>
        <w:t xml:space="preserve"> </w:t>
      </w:r>
      <w:r>
        <w:t xml:space="preserve"> </w:t>
      </w:r>
      <w:r>
        <w:t xml:space="preserve">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23</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25,26</w:t>
      </w:r>
      <w:r>
        <w:t xml:space="preserve">,</w:t>
      </w:r>
      <w:r>
        <w:t xml:space="preserve"> </w:t>
      </w:r>
      <w:r>
        <w:t xml:space="preserve"> </w:t>
      </w:r>
      <w:r>
        <w:t xml:space="preserve">with some hints that warmer springs may have a modest positive effect on growth</w:t>
      </w:r>
      <w:r>
        <w:rPr>
          <w:vertAlign w:val="superscript"/>
        </w:rPr>
        <w:t xml:space="preserve">26</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125</w:t>
      </w:r>
      <w:r>
        <w:t xml:space="preserve"> </w:t>
      </w:r>
      <w:r>
        <w:t xml:space="preserve">trees from 2011-2020) and Harvard Forest (Massachusetts, USA; n =</w:t>
      </w:r>
      <w:r>
        <w:t xml:space="preserve"> </w:t>
      </w:r>
      <w:r>
        <w:rPr>
          <w:bCs/>
          <w:b/>
        </w:rPr>
        <w:t xml:space="preserve">340</w:t>
      </w:r>
      <w:r>
        <w:t xml:space="preserve"> </w:t>
      </w:r>
      <w:r>
        <w:t xml:space="preserve">trees from 1998-2003), we fit a growth model</w:t>
      </w:r>
      <w:r>
        <w:rPr>
          <w:vertAlign w:val="superscript"/>
        </w:rPr>
        <w:t xml:space="preserve">27</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24</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24</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3-5),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29</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 0.001 at SCBI; p= 0.1 at HF).</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and mid-greenup also advanced, but to a lesser extent (Fig. 2, Extended Data Table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26</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25</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81368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SI Table 1.</w:t>
      </w:r>
    </w:p>
    <w:bookmarkEnd w:id="26"/>
    <w:bookmarkStart w:id="27"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leaf development (Fig. 2)</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leaf greenness (Extended Data Figure 2)</w:t>
      </w:r>
      <w:r>
        <w:rPr>
          <w:vertAlign w:val="superscript"/>
        </w:rPr>
        <w:t xml:space="preserve">4</w:t>
      </w:r>
      <w:r>
        <w:t xml:space="preserve">, is likely driven by cues other than carbon limitation, such as daylength or sink limitation, which also play an important role in autumn leaf senesence</w:t>
      </w:r>
      <w:r>
        <w:rPr>
          <w:vertAlign w:val="superscript"/>
        </w:rPr>
        <w:t xml:space="preserve">16,22</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drought stress</w:t>
      </w:r>
      <w:r>
        <w:rPr>
          <w:vertAlign w:val="superscript"/>
        </w:rPr>
        <w:t xml:space="preserve">25</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30</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11,12</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4,11,12</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10,31,32</w:t>
      </w:r>
      <w:r>
        <w:t xml:space="preserve">, with delays more common across eastern North America,</w:t>
      </w:r>
      <w:r>
        <w:rPr>
          <w:vertAlign w:val="superscript"/>
        </w:rPr>
        <w:t xml:space="preserve">2–4</w:t>
      </w:r>
      <w:r>
        <w:t xml:space="preserve"> implying that warming temperatures are resulting in a lengthening of the period between the slowing of stem growth and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33</w:t>
      </w:r>
      <w:r>
        <w:t xml:space="preserve">, resulting in formation of more carbon-dense cell walls in years with warm springs (</w:t>
      </w:r>
      <w:r>
        <w:rPr>
          <w:bCs/>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34,35</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23</w:t>
      </w:r>
      <w:r>
        <w:t xml:space="preserve"> </w:t>
      </w:r>
      <w:r>
        <w:t xml:space="preserve">or branches[</w:t>
      </w:r>
      <w:r>
        <w:rPr>
          <w:bCs/>
          <w:b/>
        </w:rPr>
        <w:t xml:space="preserve">REF?</w:t>
      </w:r>
      <w:r>
        <w:t xml:space="preserve">]</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and production of foliage, fine roots</w:t>
      </w:r>
      <w:r>
        <w:rPr>
          <w:vertAlign w:val="superscript"/>
        </w:rPr>
        <w:t xml:space="preserve">23</w:t>
      </w:r>
      <w:r>
        <w:t xml:space="preserve">, or root exudates.</w:t>
      </w:r>
      <w:r>
        <w:t xml:space="preserve"> </w:t>
      </w:r>
      <w:r>
        <w:t xml:space="preserve">Most of this carbon would have a shorter residence time within the ecosystem than C allocated to woody productivity but may remain in the ecosystem for more than a year</w:t>
      </w:r>
      <w:r>
        <w:rPr>
          <w:vertAlign w:val="superscript"/>
        </w:rPr>
        <w:t xml:space="preserve">34</w:t>
      </w:r>
      <w:r>
        <w:t xml:space="preserve">, such that the long-term effect of warm springs on the forest C balance would not be captured in analyses of interannual variation</w:t>
      </w:r>
      <w:r>
        <w:rPr>
          <w:vertAlign w:val="superscript"/>
        </w:rPr>
        <w:t xml:space="preserve">2,11,12</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2,4,8,9</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Cs/>
          <w:b/>
        </w:rPr>
        <w:t xml:space="preserve">REFS</w:t>
      </w:r>
      <w:r>
        <w:t xml:space="preserve">]</w:t>
      </w:r>
      <w:r>
        <w:t xml:space="preserve"> </w:t>
      </w:r>
      <w:r>
        <w:t xml:space="preserve"> </w:t>
      </w:r>
      <w:r>
        <w:t xml:space="preserve">and, on longer time scales, species adaptations and shifts in community composition[</w:t>
      </w:r>
      <w:r>
        <w:rPr>
          <w:bCs/>
          <w:b/>
        </w:rPr>
        <w:t xml:space="preserve">REFS</w:t>
      </w:r>
      <w:r>
        <w:t xml:space="preserve">] are likely to alter the phenology of forest C cycling.</w:t>
      </w:r>
      <w:r>
        <w:t xml:space="preserve"> </w:t>
      </w:r>
      <w:r>
        <w:t xml:space="preserve">If we look across spatial gradients where the latter have had time to play out, we see that longer growing seasons are correlated with greater tree growth</w:t>
      </w:r>
      <w:r>
        <w:rPr>
          <w:vertAlign w:val="superscript"/>
        </w:rPr>
        <w:t xml:space="preserve">36</w:t>
      </w:r>
      <w:r>
        <w:t xml:space="preserve">, woody productivity</w:t>
      </w:r>
      <w:r>
        <w:rPr>
          <w:vertAlign w:val="superscript"/>
        </w:rPr>
        <w:t xml:space="preserve">37</w:t>
      </w:r>
      <w:r>
        <w:t xml:space="preserve">, and NEE.</w:t>
      </w:r>
      <w:r>
        <w:rPr>
          <w:vertAlign w:val="superscript"/>
        </w:rPr>
        <w:t xml:space="preserve">21</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w:t>
      </w:r>
      <w:r>
        <w:rPr>
          <w:vertAlign w:val="superscript"/>
        </w:rPr>
        <w:t xml:space="preserve">2,3,16</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7"/>
    <w:bookmarkEnd w:id="28"/>
    <w:bookmarkStart w:id="29" w:name="content-to-incorporate-or-delete"/>
    <w:p>
      <w:pPr>
        <w:pStyle w:val="Heading1"/>
      </w:pPr>
      <w:r>
        <w:rPr>
          <w:rStyle w:val="SectionNumber"/>
        </w:rPr>
        <w:t xml:space="preserve">3</w:t>
      </w:r>
      <w:r>
        <w:tab/>
      </w:r>
      <w:r>
        <w:t xml:space="preserve">content to incorporate or delete:</w:t>
      </w:r>
    </w:p>
    <w:p>
      <w:pPr>
        <w:pStyle w:val="FirstParagraph"/>
      </w:pPr>
      <w:r>
        <w:rPr>
          <w:vertAlign w:val="superscript"/>
        </w:rPr>
        <w:t xml:space="preserve">38</w:t>
      </w:r>
    </w:p>
    <w:bookmarkEnd w:id="29"/>
    <w:bookmarkStart w:id="34" w:name="Methods"/>
    <w:p>
      <w:pPr>
        <w:pStyle w:val="Heading1"/>
      </w:pPr>
      <w:r>
        <w:t xml:space="preserve">Methods</w:t>
      </w:r>
    </w:p>
    <w:bookmarkStart w:id="32" w:name="Dendrometer"/>
    <w:p>
      <w:pPr>
        <w:pStyle w:val="Heading2"/>
      </w:pPr>
      <w:r>
        <w:t xml:space="preserve">Dendrometer band analysis</w:t>
      </w:r>
    </w:p>
    <w:p>
      <w:pPr>
        <w:pStyle w:val="FirstParagraph"/>
      </w:pPr>
      <w:r>
        <w:t xml:space="preserve">Dendrometer band were collected at SCBI</w:t>
      </w:r>
      <w:r>
        <w:rPr>
          <w:vertAlign w:val="superscript"/>
        </w:rPr>
        <w:t xml:space="preserve">39</w:t>
      </w:r>
      <w:r>
        <w:t xml:space="preserve"> </w:t>
      </w:r>
      <w:r>
        <w:t xml:space="preserve">and Harvard Forest</w:t>
      </w:r>
      <w:r>
        <w:rPr>
          <w:vertAlign w:val="superscript"/>
        </w:rPr>
        <w:t xml:space="preserve">4,24</w:t>
      </w:r>
      <w:r>
        <w:t xml:space="preserve">, both part of the Forest Global Earth Observatory (ForestGEO)</w:t>
      </w:r>
      <w:r>
        <w:rPr>
          <w:vertAlign w:val="superscript"/>
        </w:rPr>
        <w:t xml:space="preserve">40,41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39</w:t>
      </w:r>
      <w:r>
        <w:t xml:space="preserve">.</w:t>
      </w:r>
      <w:r>
        <w:t xml:space="preserve"> </w:t>
      </w:r>
      <w:r>
        <w:t xml:space="preserve">Dominate canopy species within the 25.6 ha ForestGEO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rPr>
          <w:vertAlign w:val="superscript"/>
        </w:rPr>
        <w:t xml:space="preserve">26</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36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36</w:t>
      </w:r>
      <w:r>
        <w:t xml:space="preserve">.</w:t>
      </w:r>
    </w:p>
    <w:p>
      <w:pPr>
        <w:pStyle w:val="BodyText"/>
      </w:pPr>
      <w:r>
        <w:t xml:space="preserve">Metal dendrometer bands were installed on a total of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deviated substantially from normal growth patterns, but with unknown causes, they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27</w:t>
      </w:r>
      <w:r>
        <w:t xml:space="preserve"> </w:t>
      </w:r>
      <w:r>
        <w:t xml:space="preserve">to dendrometer band data from each tree-year to define phenological dates and growth rates (Fig. 1):</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stem diameter at breast height (DBH) 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The model was fit in R v 1.3.1093 using the functions developed in.</w:t>
      </w:r>
      <w:r>
        <w:rPr>
          <w:vertAlign w:val="superscript"/>
        </w:rPr>
        <w:t xml:space="preserve">27</w:t>
      </w:r>
      <w:r>
        <w:t xml:space="preserve"> These functions take the timeseries of manual dendrometer band measurements and return the optimized parameters to predict DBH throughout the year.</w:t>
      </w:r>
      <w:r>
        <w:t xml:space="preserve"> </w:t>
      </w:r>
      <w:r>
        <w:t xml:space="preserve">We then modeled DBH throughout the year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 the majority falling under condition 4.</w:t>
      </w:r>
    </w:p>
    <w:p>
      <w:pPr>
        <w:pStyle w:val="BodyText"/>
      </w:pPr>
      <w:r>
        <w:t xml:space="preserve">Leaf phenology data for the years 2001-2018 were extracted for SCBI and Harvard Forest from the MCD12Q2 V6 Land Cover Dynamics product (a.k.a. MODIS Global Vegetation Phenology product)</w:t>
      </w:r>
      <w:r>
        <w:rPr>
          <w:vertAlign w:val="superscript"/>
        </w:rPr>
        <w:t xml:space="preserve">42</w:t>
      </w:r>
      <w:r>
        <w:t xml:space="preserve">.</w:t>
      </w:r>
      <w:r>
        <w:t xml:space="preserve"> </w:t>
      </w:r>
      <w:r>
        <w:t xml:space="preserve">These data were used to determine timing of greenup, midgreenup, senescence, and enhanced vegetation index (EVI2) values for each year.</w:t>
      </w:r>
      <w:r>
        <w:t xml:space="preserve"> </w:t>
      </w:r>
      <w:r>
        <w:t xml:space="preserve">(</w:t>
      </w:r>
      <w:r>
        <w:rPr>
          <w:bCs/>
          <w:b/>
        </w:rPr>
        <w:t xml:space="preserve">IAN, I think this could use a bit more detail.</w:t>
      </w:r>
      <w:r>
        <w:t xml:space="preserve">)</w:t>
      </w:r>
    </w:p>
    <w:p>
      <w:pPr>
        <w:pStyle w:val="BodyText"/>
      </w:pPr>
      <w:r>
        <w:t xml:space="preserve"> </w:t>
      </w:r>
      <w:r>
        <w:t xml:space="preserve">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30">
        <w:r>
          <w:rPr>
            <w:rStyle w:val="Hyperlink"/>
          </w:rPr>
          <w:t xml:space="preserve">https://forestgeo.github.io/Climate/</w:t>
        </w:r>
      </w:hyperlink>
      <w:r>
        <w:t xml:space="preserve">)</w:t>
      </w:r>
      <w:r>
        <w:rPr>
          <w:vertAlign w:val="superscript"/>
        </w:rPr>
        <w:t xml:space="preserve">43</w:t>
      </w:r>
      <w:r>
        <w:t xml:space="preserve">.</w:t>
      </w:r>
      <w:r>
        <w:t xml:space="preserve"> </w:t>
      </w:r>
      <w:r>
        <w:t xml:space="preserve">The R package</w:t>
      </w:r>
      <w:r>
        <w:t xml:space="preserve"> </w:t>
      </w:r>
      <w:r>
        <w:rPr>
          <w:iCs/>
          <w:i/>
        </w:rPr>
        <w:t xml:space="preserve">clim.pact</w:t>
      </w:r>
      <w:r>
        <w:rPr>
          <w:vertAlign w:val="superscript"/>
        </w:rPr>
        <w:t xml:space="preserve">44,</w:t>
      </w:r>
      <w:r>
        <w:rPr>
          <w:bCs/>
          <w:b/>
          <w:vertAlign w:val="superscript"/>
        </w:rPr>
        <w:t xml:space="preserve">climpact_REF?</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1">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Daily temperature records for Harvard Forest were obtained from the Harvard Forest weather station</w:t>
      </w:r>
      <w:r>
        <w:rPr>
          <w:bCs/>
          <w:b/>
          <w:vertAlign w:val="superscript"/>
        </w:rPr>
        <w:t xml:space="preserve">boose_shaler_2021-1?</w:t>
      </w:r>
      <w:r>
        <w:rPr>
          <w:vertAlign w:val="superscript"/>
        </w:rPr>
        <w:t xml:space="preserve">,</w:t>
      </w:r>
      <w:r>
        <w:rPr>
          <w:bCs/>
          <w:b/>
          <w:vertAlign w:val="superscript"/>
        </w:rPr>
        <w:t xml:space="preserve">boose_fisher_2021-2?</w:t>
      </w:r>
      <w:r>
        <w:t xml:space="preserve">.</w:t>
      </w:r>
      <w:r>
        <w:t xml:space="preserve"> </w:t>
      </w:r>
      <w:r>
        <w:rPr>
          <w:bCs/>
          <w:b/>
        </w:rPr>
        <w:t xml:space="preserve">(Cam, please be sure to sync these in Zotero.)</w:t>
      </w:r>
      <w:r>
        <w:t xml:space="preserve"> </w:t>
      </w:r>
      <w:r>
        <w:t xml:space="preserve">Climate data for Harvard Forest were complete and used as is.</w:t>
      </w:r>
    </w:p>
    <w:p>
      <w:pPr>
        <w:pStyle w:val="BodyText"/>
      </w:pPr>
      <w:r>
        <w:t xml:space="preserve">The critical temperature window (Fig. 1), defined as the period over which</w:t>
      </w:r>
      <w:r>
        <w:t xml:space="preserve"> </w:t>
      </w:r>
      <m:oMath>
        <m:r>
          <m:t>D</m:t>
        </m:r>
        <m:r>
          <m:t>O</m:t>
        </m:r>
        <m:sSub>
          <m:e>
            <m:r>
              <m:t>Y</m:t>
            </m:r>
          </m:e>
          <m:sub>
            <m:r>
              <m:t>25</m:t>
            </m:r>
          </m:sub>
        </m:sSub>
      </m:oMath>
      <w:r>
        <w:t xml:space="preserve"> </w:t>
      </w:r>
      <w:r>
        <w:t xml:space="preserve">was most strongly affected by early spring</w:t>
      </w:r>
      <w:r>
        <w:t xml:space="preserve"> </w:t>
      </w:r>
      <m:oMath>
        <m:sSub>
          <m:e>
            <m:r>
              <m:t>T</m:t>
            </m:r>
          </m:e>
          <m:sub>
            <m:r>
              <m:t>m</m:t>
            </m:r>
            <m:r>
              <m:t>a</m:t>
            </m:r>
            <m:r>
              <m:t>x</m:t>
            </m:r>
          </m:sub>
        </m:sSub>
      </m:oMath>
      <w:r>
        <w:t xml:space="preserve">, was determined using the R package</w:t>
      </w:r>
      <w:r>
        <w:t xml:space="preserve"> </w:t>
      </w:r>
      <w:r>
        <w:rPr>
          <w:iCs/>
          <w:i/>
        </w:rPr>
        <w:t xml:space="preserve">climwin</w:t>
      </w:r>
      <w:r>
        <w:rPr>
          <w:vertAlign w:val="superscript"/>
        </w:rPr>
        <w:t xml:space="preserve">45</w:t>
      </w:r>
      <w:r>
        <w:t xml:space="preserve">.</w:t>
      </w:r>
      <w:r>
        <w:t xml:space="preserve"> </w:t>
      </w:r>
      <w:r>
        <w:t xml:space="preserve">This package tests the correlation between one or more climate variables and a biological variable over all consecutive time windows within a specified time-frame, reporting correlation and difference in Akaike information criterion corrected for small sample size relative to the null model,</w:t>
      </w:r>
      <w:r>
        <w:t xml:space="preserve"> </w:t>
      </w:r>
      <m:oMath>
        <m:r>
          <m:t>Δ</m:t>
        </m:r>
        <m:r>
          <m:t>A</m:t>
        </m:r>
        <m:r>
          <m:t>I</m:t>
        </m:r>
        <m:r>
          <m:t>C</m:t>
        </m:r>
        <m:r>
          <m:t>c</m:t>
        </m:r>
      </m:oMath>
      <w:r>
        <w:t xml:space="preserve">,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(by xylem porosity) and site (Extended Data Table 2), selecting the critical temperature window as that with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defining the critical temperature window as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47</w:t>
      </w:r>
      <w:r>
        <w:t xml:space="preserve">. In all cases unless otherwise specified, all prior distributions are set to be the weakly informative defaults.</w:t>
      </w:r>
      <w:r>
        <w:t xml:space="preserve"> </w:t>
      </w:r>
    </w:p>
    <w:bookmarkEnd w:id="32"/>
    <w:bookmarkStart w:id="33" w:name="Tree"/>
    <w:p>
      <w:pPr>
        <w:pStyle w:val="Heading2"/>
      </w:pPr>
      <w:r>
        <w:t xml:space="preserve">Tree-ring analysis</w:t>
      </w:r>
    </w:p>
    <w:p>
      <w:pPr>
        <w:pStyle w:val="FirstParagraph"/>
      </w:pPr>
      <w:r>
        <w:t xml:space="preserve">We analyzed tree-ring records for 108, including our focal sites.</w:t>
      </w:r>
      <w:r>
        <w:t xml:space="preserve"> </w:t>
      </w:r>
      <w:r>
        <w:t xml:space="preserve">All cores had been previously collected, cross-dated, and measured using standard methodology</w:t>
      </w:r>
      <w:r>
        <w:rPr>
          <w:vertAlign w:val="superscript"/>
        </w:rPr>
        <w:t xml:space="preserve">48</w:t>
      </w:r>
      <w:r>
        <w:t xml:space="preserve">.</w:t>
      </w:r>
    </w:p>
    <w:p>
      <w:pPr>
        <w:pStyle w:val="BodyText"/>
      </w:pPr>
      <w:r>
        <w:t xml:space="preserve">Dominant tree species were cored at both SCBI</w:t>
      </w:r>
      <w:r>
        <w:rPr>
          <w:vertAlign w:val="superscript"/>
        </w:rPr>
        <w:t xml:space="preserve">26,39</w:t>
      </w:r>
      <w:r>
        <w:t xml:space="preserve"> </w:t>
      </w:r>
      <w:r>
        <w:t xml:space="preserve">and Harvard Forest</w:t>
      </w:r>
      <w:r>
        <w:rPr>
          <w:vertAlign w:val="superscript"/>
        </w:rPr>
        <w:t xml:space="preserve">4,49,50</w:t>
      </w:r>
      <w:r>
        <w:t xml:space="preserve"> </w:t>
      </w:r>
      <w:r>
        <w:t xml:space="preserve">following sampling designs that covered a broad range of DBH.</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In total, we analyzed 976 cores from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25,51–60</w:t>
      </w:r>
      <w:r>
        <w:t xml:space="preserve"> </w:t>
      </w:r>
      <w:r>
        <w:t xml:space="preserve">(</w:t>
      </w:r>
      <w:r>
        <w:rPr>
          <w:bCs/>
          <w:b/>
        </w:rPr>
        <w:t xml:space="preserve">JUSTIN, please confirm that we got all the appropriate references here.</w:t>
      </w:r>
      <w:r>
        <w:t xml:space="preserve">).</w:t>
      </w:r>
      <w:r>
        <w:t xml:space="preserve"> </w:t>
      </w:r>
      <w:r>
        <w:t xml:space="preserve">Again, species were limited to broadleaf deciduous species with clearly defined xylem porosity (</w:t>
      </w:r>
      <w:r>
        <w:rPr>
          <w:iCs/>
          <w:i/>
        </w:rPr>
        <w:t xml:space="preserve">i.e.</w:t>
      </w:r>
      <w:r>
        <w:t xml:space="preserve">, excluding semi-ring porous).</w:t>
      </w:r>
    </w:p>
    <w:p>
      <w:pPr>
        <w:pStyle w:val="BodyText"/>
      </w:pP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61,62</w:t>
      </w:r>
      <w:r>
        <w:t xml:space="preserve"> </w:t>
      </w:r>
      <w:r>
        <w:rPr>
          <w:iCs/>
          <w:i/>
        </w:rPr>
        <w:t xml:space="preserve">Chronologies were built using the methods described in Ref.</w:t>
      </w:r>
      <w:r>
        <w:rPr>
          <w:vertAlign w:val="superscript"/>
          <w:iCs/>
          <w:i/>
        </w:rPr>
        <w:t xml:space="preserve">26</w:t>
      </w:r>
      <w:r>
        <w:rPr>
          <w:iCs/>
          <w:i/>
        </w:rPr>
        <w:t xml:space="preserve">.</w:t>
      </w:r>
      <w:r>
        <w:t xml:space="preserve"> </w:t>
      </w:r>
      <w:r>
        <w:t xml:space="preserve">(</w:t>
      </w:r>
      <w:r>
        <w:rPr>
          <w:bCs/>
          <w:b/>
        </w:rPr>
        <w:t xml:space="preserve">(NEIL/JUSTIN, is this accurate, and do you think it’s sufficient? If not, could you please provide a brief summary?</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63</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64</w:t>
      </w:r>
      <w:r>
        <w:t xml:space="preserve"> </w:t>
      </w:r>
      <w:r>
        <w:t xml:space="preserve">and</w:t>
      </w:r>
      <w:r>
        <w:t xml:space="preserve"> </w:t>
      </w:r>
      <w:r>
        <w:t xml:space="preserve">‘</w:t>
      </w:r>
      <w:r>
        <w:t xml:space="preserve">bootRes</w:t>
      </w:r>
      <w:r>
        <w:t xml:space="preserve">’</w:t>
      </w:r>
      <w:r>
        <w:rPr>
          <w:vertAlign w:val="superscript"/>
        </w:rPr>
        <w:t xml:space="preserve">65</w:t>
      </w:r>
      <w:r>
        <w:t xml:space="preserve"> </w:t>
      </w:r>
      <w:r>
        <w:t xml:space="preserve">in R v.1.3.1093 (R Core Team, 2020), which correlated functions and bootstrapped confidence intervals for these relationships</w:t>
      </w:r>
      <w:r>
        <w:rPr>
          <w:vertAlign w:val="superscript"/>
        </w:rPr>
        <w:t xml:space="preserve">66</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3"/>
    <w:bookmarkEnd w:id="34"/>
    <w:bookmarkStart w:id="35" w:name="Acknowledgements"/>
    <w:p>
      <w:pPr>
        <w:pStyle w:val="Heading1"/>
      </w:pPr>
      <w:r>
        <w:t xml:space="preserve">Acknowledgements</w:t>
      </w:r>
    </w:p>
    <w:p>
      <w:pPr>
        <w:numPr>
          <w:ilvl w:val="0"/>
          <w:numId w:val="1002"/>
        </w:numPr>
      </w:pPr>
      <w:r>
        <w:t xml:space="preserve">people: (everyone who helped collect data– see list on GitHub), Jess Shue (data)</w:t>
      </w:r>
    </w:p>
    <w:p>
      <w:pPr>
        <w:numPr>
          <w:ilvl w:val="0"/>
          <w:numId w:val="1002"/>
        </w:numPr>
      </w:pPr>
      <w:r>
        <w:t xml:space="preserve">Funding: ForestGEO</w:t>
      </w:r>
    </w:p>
    <w:p>
      <w:pPr>
        <w:pStyle w:val="FirstParagraph"/>
      </w:pPr>
      <w:r>
        <w:rPr>
          <w:bCs/>
          <w:b/>
        </w:rPr>
        <w:t xml:space="preserve">COAUTHORS, PLEASE ADD.</w:t>
      </w:r>
    </w:p>
    <w:bookmarkEnd w:id="35"/>
    <w:bookmarkStart w:id="36"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David A. Orwig,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6"/>
    <w:bookmarkStart w:id="3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7"/>
    <w:bookmarkStart w:id="110" w:name="References"/>
    <w:p>
      <w:pPr>
        <w:pStyle w:val="Heading1"/>
      </w:pPr>
      <w:r>
        <w:t xml:space="preserve">References</w:t>
      </w:r>
    </w:p>
    <w:bookmarkStart w:id="109" w:name="refs"/>
    <w:bookmarkStart w:id="3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8"/>
    <w:bookmarkStart w:id="3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9"/>
    <w:bookmarkStart w:id="4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40"/>
    <w:bookmarkStart w:id="4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41"/>
    <w:bookmarkStart w:id="42" w:name="ref-menzel_growing_1999"/>
    <w:p>
      <w:pPr>
        <w:pStyle w:val="Bibliography"/>
      </w:pPr>
      <w:r>
        <w:t xml:space="preserve">5.</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7.</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13.</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14.</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profft_forest_2009"/>
    <w:p>
      <w:pPr>
        <w:pStyle w:val="Bibliography"/>
      </w:pPr>
      <w:r>
        <w:t xml:space="preserve">15.</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52"/>
    <w:bookmarkStart w:id="53"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 7 (2020).</w:t>
      </w:r>
    </w:p>
    <w:bookmarkEnd w:id="53"/>
    <w:bookmarkStart w:id="54" w:name="ref-pan_large_2011"/>
    <w:p>
      <w:pPr>
        <w:pStyle w:val="Bibliography"/>
      </w:pPr>
      <w:r>
        <w:t xml:space="preserve">17.</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pugh_role_2019"/>
    <w:p>
      <w:pPr>
        <w:pStyle w:val="Bibliography"/>
      </w:pPr>
      <w:r>
        <w:t xml:space="preserve">18.</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5"/>
    <w:bookmarkStart w:id="56" w:name="ref-arora_carbon_2020"/>
    <w:p>
      <w:pPr>
        <w:pStyle w:val="Bibliography"/>
      </w:pPr>
      <w:r>
        <w:t xml:space="preserve">19.</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6"/>
    <w:bookmarkStart w:id="57"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7"/>
    <w:bookmarkStart w:id="58" w:name="ref-churkina_spatial_2005"/>
    <w:p>
      <w:pPr>
        <w:pStyle w:val="Bibliography"/>
      </w:pPr>
      <w:r>
        <w:t xml:space="preserve">21.</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58"/>
    <w:bookmarkStart w:id="59"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9"/>
    <w:bookmarkStart w:id="60" w:name="ref-zohner_how_2021"/>
    <w:p>
      <w:pPr>
        <w:pStyle w:val="Bibliography"/>
      </w:pPr>
      <w:r>
        <w:t xml:space="preserve">23.</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0"/>
    <w:bookmarkStart w:id="62" w:name="ref-dorangeville_peak_2021"/>
    <w:p>
      <w:pPr>
        <w:pStyle w:val="Bibliography"/>
      </w:pPr>
      <w:r>
        <w:t xml:space="preserve">24.</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1">
        <w:r>
          <w:rPr>
            <w:rStyle w:val="Hyperlink"/>
          </w:rPr>
          <w:t xml:space="preserve">10.1093/treephys/tpab101</w:t>
        </w:r>
      </w:hyperlink>
      <w:r>
        <w:t xml:space="preserve">.</w:t>
      </w:r>
    </w:p>
    <w:bookmarkEnd w:id="62"/>
    <w:bookmarkStart w:id="63" w:name="ref-dorangeville_drought_2018"/>
    <w:p>
      <w:pPr>
        <w:pStyle w:val="Bibliography"/>
      </w:pPr>
      <w:r>
        <w:t xml:space="preserve">25.</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3"/>
    <w:bookmarkStart w:id="64" w:name="ref-helcoski_growing_2019"/>
    <w:p>
      <w:pPr>
        <w:pStyle w:val="Bibliography"/>
      </w:pPr>
      <w:r>
        <w:t xml:space="preserve">26.</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4"/>
    <w:bookmarkStart w:id="65" w:name="ref-mcmahon_general_2015"/>
    <w:p>
      <w:pPr>
        <w:pStyle w:val="Bibliography"/>
      </w:pPr>
      <w:r>
        <w:t xml:space="preserve">27.</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5"/>
    <w:bookmarkStart w:id="66" w:name="ref-parmesan_globally_2003"/>
    <w:p>
      <w:pPr>
        <w:pStyle w:val="Bibliography"/>
      </w:pPr>
      <w:r>
        <w:t xml:space="preserve">28.</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6"/>
    <w:bookmarkStart w:id="67" w:name="ref-friedl_tale_2014"/>
    <w:p>
      <w:pPr>
        <w:pStyle w:val="Bibliography"/>
      </w:pPr>
      <w:r>
        <w:t xml:space="preserve">29.</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7"/>
    <w:bookmarkStart w:id="68" w:name="ref-vicente-serrano_multiscalar_2010"/>
    <w:p>
      <w:pPr>
        <w:pStyle w:val="Bibliography"/>
      </w:pPr>
      <w:r>
        <w:t xml:space="preserve">30.</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8"/>
    <w:bookmarkStart w:id="69" w:name="ref-zohner_ongoing_2019"/>
    <w:p>
      <w:pPr>
        <w:pStyle w:val="Bibliography"/>
      </w:pPr>
      <w:r>
        <w:t xml:space="preserve">31.</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9"/>
    <w:bookmarkStart w:id="70" w:name="ref-xie_predicting_2018"/>
    <w:p>
      <w:pPr>
        <w:pStyle w:val="Bibliography"/>
      </w:pPr>
      <w:r>
        <w:t xml:space="preserve">32.</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0"/>
    <w:bookmarkStart w:id="71"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1"/>
    <w:bookmarkStart w:id="72"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2"/>
    <w:bookmarkStart w:id="73"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3"/>
    <w:bookmarkStart w:id="74" w:name="ref-anderson-teixeira_joint_2021"/>
    <w:p>
      <w:pPr>
        <w:pStyle w:val="Bibliography"/>
      </w:pPr>
      <w:r>
        <w:t xml:space="preserve">36.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74"/>
    <w:bookmarkStart w:id="76" w:name="ref-banburymorgan_global_2021"/>
    <w:p>
      <w:pPr>
        <w:pStyle w:val="Bibliography"/>
      </w:pPr>
      <w:r>
        <w:t xml:space="preserve">37.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75">
        <w:r>
          <w:rPr>
            <w:rStyle w:val="Hyperlink"/>
          </w:rPr>
          <w:t xml:space="preserve">10.1111/gcb.15574</w:t>
        </w:r>
      </w:hyperlink>
      <w:r>
        <w:t xml:space="preserve">.</w:t>
      </w:r>
    </w:p>
    <w:bookmarkEnd w:id="76"/>
    <w:bookmarkStart w:id="77" w:name="ref-fu_variation_2014"/>
    <w:p>
      <w:pPr>
        <w:pStyle w:val="Bibliography"/>
      </w:pPr>
      <w:r>
        <w:t xml:space="preserve">38.</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77"/>
    <w:bookmarkStart w:id="78" w:name="ref-bourg_initial_2013"/>
    <w:p>
      <w:pPr>
        <w:pStyle w:val="Bibliography"/>
      </w:pPr>
      <w:r>
        <w:t xml:space="preserve">39.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78"/>
    <w:bookmarkStart w:id="79" w:name="ref-anderson-teixeira_ctfsforestgeo_2015"/>
    <w:p>
      <w:pPr>
        <w:pStyle w:val="Bibliography"/>
      </w:pPr>
      <w:r>
        <w:t xml:space="preserve">40.</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79"/>
    <w:bookmarkStart w:id="80" w:name="ref-davies_forestgeo_2021"/>
    <w:p>
      <w:pPr>
        <w:pStyle w:val="Bibliography"/>
      </w:pPr>
      <w:r>
        <w:t xml:space="preserve">41.</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0"/>
    <w:bookmarkStart w:id="82" w:name="ref-friedl_mcd12q2_2019"/>
    <w:p>
      <w:pPr>
        <w:pStyle w:val="Bibliography"/>
      </w:pPr>
      <w:r>
        <w:t xml:space="preserve">42.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1">
        <w:r>
          <w:rPr>
            <w:rStyle w:val="Hyperlink"/>
          </w:rPr>
          <w:t xml:space="preserve">10.5067/MODIS/MCD12Q2.006</w:t>
        </w:r>
      </w:hyperlink>
      <w:r>
        <w:t xml:space="preserve">.</w:t>
      </w:r>
    </w:p>
    <w:bookmarkEnd w:id="82"/>
    <w:bookmarkStart w:id="84" w:name="ref-anderson-teixeira_forestgeo_2020"/>
    <w:p>
      <w:pPr>
        <w:pStyle w:val="Bibliography"/>
      </w:pPr>
      <w:r>
        <w:t xml:space="preserve">43.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83">
        <w:r>
          <w:rPr>
            <w:rStyle w:val="Hyperlink"/>
          </w:rPr>
          <w:t xml:space="preserve">10.5281/ZENODO.4041609</w:t>
        </w:r>
      </w:hyperlink>
      <w:r>
        <w:t xml:space="preserve">.</w:t>
      </w:r>
    </w:p>
    <w:bookmarkEnd w:id="84"/>
    <w:bookmarkStart w:id="85" w:name="ref-benestad_empiricalstatistical_2008"/>
    <w:p>
      <w:pPr>
        <w:pStyle w:val="Bibliography"/>
      </w:pPr>
      <w:r>
        <w:t xml:space="preserve">44.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85"/>
    <w:bookmarkStart w:id="86" w:name="ref-vandepol_identifying_2016"/>
    <w:p>
      <w:pPr>
        <w:pStyle w:val="Bibliography"/>
      </w:pPr>
      <w:r>
        <w:t xml:space="preserve">45.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86"/>
    <w:bookmarkStart w:id="87" w:name="ref-bates_fitting_2015"/>
    <w:p>
      <w:pPr>
        <w:pStyle w:val="Bibliography"/>
      </w:pPr>
      <w:r>
        <w:t xml:space="preserve">46.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87"/>
    <w:bookmarkStart w:id="88" w:name="ref-gabry_rstanarm_2020"/>
    <w:p>
      <w:pPr>
        <w:pStyle w:val="Bibliography"/>
      </w:pPr>
      <w:r>
        <w:t xml:space="preserve">47.</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88"/>
    <w:bookmarkStart w:id="89" w:name="ref-stokes_introduction_1968"/>
    <w:p>
      <w:pPr>
        <w:pStyle w:val="Bibliography"/>
      </w:pPr>
      <w:r>
        <w:t xml:space="preserve">48.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89"/>
    <w:bookmarkStart w:id="90" w:name="ref-alexander_potential_2019"/>
    <w:p>
      <w:pPr>
        <w:pStyle w:val="Bibliography"/>
      </w:pPr>
      <w:r>
        <w:t xml:space="preserve">49.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90"/>
    <w:bookmarkStart w:id="91" w:name="ref-dye_comparing_2016"/>
    <w:p>
      <w:pPr>
        <w:pStyle w:val="Bibliography"/>
      </w:pPr>
      <w:r>
        <w:t xml:space="preserve">50.</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91"/>
    <w:bookmarkStart w:id="92" w:name="ref-maxwell_sampling_2020"/>
    <w:p>
      <w:pPr>
        <w:pStyle w:val="Bibliography"/>
      </w:pPr>
      <w:r>
        <w:t xml:space="preserve">51.</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92"/>
    <w:bookmarkStart w:id="93" w:name="ref-maxwell_increased_2017"/>
    <w:p>
      <w:pPr>
        <w:pStyle w:val="Bibliography"/>
      </w:pPr>
      <w:r>
        <w:t xml:space="preserve">52.</w:t>
      </w:r>
      <w:r>
        <w:t xml:space="preserve"> </w:t>
      </w:r>
      <w:r>
        <w:t xml:space="preserve">	</w:t>
      </w:r>
      <w:r>
        <w:t xml:space="preserve">Maxwell, J. T. &amp; Harley, G. L. Increased tree-ring network density reveals more precise estimations of sub-regional hydroclimate variability and climate dynamics in the</w:t>
      </w:r>
      <w:r>
        <w:t xml:space="preserve"> </w:t>
      </w:r>
      <w:r>
        <w:t xml:space="preserve">Midwest</w:t>
      </w:r>
      <w:r>
        <w:t xml:space="preserve">,</w:t>
      </w:r>
      <w:r>
        <w:t xml:space="preserve"> </w:t>
      </w:r>
      <w:r>
        <w:t xml:space="preserve">USA</w:t>
      </w:r>
      <w:r>
        <w:t xml:space="preserve">.</w:t>
      </w:r>
      <w:r>
        <w:t xml:space="preserve"> </w:t>
      </w:r>
      <w:r>
        <w:rPr>
          <w:iCs/>
          <w:i/>
        </w:rPr>
        <w:t xml:space="preserve">Climate Dynamics</w:t>
      </w:r>
      <w:r>
        <w:t xml:space="preserve"> </w:t>
      </w:r>
      <w:r>
        <w:rPr>
          <w:bCs/>
          <w:b/>
        </w:rPr>
        <w:t xml:space="preserve">49</w:t>
      </w:r>
      <w:r>
        <w:t xml:space="preserve">, 1479–1493 (2017).</w:t>
      </w:r>
    </w:p>
    <w:bookmarkEnd w:id="93"/>
    <w:bookmarkStart w:id="94" w:name="ref-wilde_comparing_2018"/>
    <w:p>
      <w:pPr>
        <w:pStyle w:val="Bibliography"/>
      </w:pPr>
      <w:r>
        <w:t xml:space="preserve">53.</w:t>
      </w:r>
      <w:r>
        <w:t xml:space="preserve"> </w:t>
      </w:r>
      <w:r>
        <w:t xml:space="preserve">	</w:t>
      </w:r>
      <w:r>
        <w:t xml:space="preserve">Wilde, E. M. &amp; Maxwell, J. T. Comparing climate-growth responses of urban and non-urban forests using</w:t>
      </w:r>
      <w:r>
        <w:t xml:space="preserve"> </w:t>
      </w:r>
      <w:r>
        <w:t xml:space="preserve">L</w:t>
      </w:r>
      <w:r>
        <w:t xml:space="preserve">. Tulipifera tree-rings in southern</w:t>
      </w:r>
      <w:r>
        <w:t xml:space="preserve"> </w:t>
      </w:r>
      <w:r>
        <w:t xml:space="preserve">Indiana</w:t>
      </w:r>
      <w:r>
        <w:t xml:space="preserve">,</w:t>
      </w:r>
      <w:r>
        <w:t xml:space="preserve"> </w:t>
      </w:r>
      <w:r>
        <w:t xml:space="preserve">USA</w:t>
      </w:r>
      <w:r>
        <w:t xml:space="preserve">.</w:t>
      </w:r>
      <w:r>
        <w:t xml:space="preserve"> </w:t>
      </w:r>
      <w:r>
        <w:rPr>
          <w:iCs/>
          <w:i/>
        </w:rPr>
        <w:t xml:space="preserve">Urban Forestry &amp; Urban Greening</w:t>
      </w:r>
      <w:r>
        <w:t xml:space="preserve"> </w:t>
      </w:r>
      <w:r>
        <w:rPr>
          <w:bCs/>
          <w:b/>
        </w:rPr>
        <w:t xml:space="preserve">31</w:t>
      </w:r>
      <w:r>
        <w:t xml:space="preserve">, 103–108 (2018).</w:t>
      </w:r>
    </w:p>
    <w:bookmarkEnd w:id="94"/>
    <w:bookmarkStart w:id="95" w:name="ref-strange_comparing_2019"/>
    <w:p>
      <w:pPr>
        <w:pStyle w:val="Bibliography"/>
      </w:pPr>
      <w:r>
        <w:t xml:space="preserve">54.</w:t>
      </w:r>
      <w:r>
        <w:t xml:space="preserve"> </w:t>
      </w:r>
      <w:r>
        <w:t xml:space="preserve">	</w:t>
      </w:r>
      <w:r>
        <w:t xml:space="preserve">Strange, B. M.</w:t>
      </w:r>
      <w:r>
        <w:t xml:space="preserve"> </w:t>
      </w:r>
      <w:r>
        <w:rPr>
          <w:iCs/>
          <w:i/>
        </w:rPr>
        <w:t xml:space="preserve">et al.</w:t>
      </w:r>
      <w:r>
        <w:t xml:space="preserve"> Comparing three approaches to reconstructing streamflow using tree rings in the</w:t>
      </w:r>
      <w:r>
        <w:t xml:space="preserve"> </w:t>
      </w:r>
      <w:r>
        <w:t xml:space="preserve">Wabash River</w:t>
      </w:r>
      <w:r>
        <w:t xml:space="preserve"> </w:t>
      </w:r>
      <w:r>
        <w:t xml:space="preserve">basin in the</w:t>
      </w:r>
      <w:r>
        <w:t xml:space="preserve"> </w:t>
      </w:r>
      <w:r>
        <w:t xml:space="preserve">Midwestern</w:t>
      </w:r>
      <w:r>
        <w:t xml:space="preserve">,</w:t>
      </w:r>
      <w:r>
        <w:t xml:space="preserve"> </w:t>
      </w:r>
      <w:r>
        <w:t xml:space="preserve">US</w:t>
      </w:r>
      <w:r>
        <w:t xml:space="preserve">.</w:t>
      </w:r>
      <w:r>
        <w:t xml:space="preserve"> </w:t>
      </w:r>
      <w:r>
        <w:rPr>
          <w:iCs/>
          <w:i/>
        </w:rPr>
        <w:t xml:space="preserve">Journal of Hydrology</w:t>
      </w:r>
      <w:r>
        <w:t xml:space="preserve"> </w:t>
      </w:r>
      <w:r>
        <w:rPr>
          <w:bCs/>
          <w:b/>
        </w:rPr>
        <w:t xml:space="preserve">573</w:t>
      </w:r>
      <w:r>
        <w:t xml:space="preserve">, 829–840 (2019).</w:t>
      </w:r>
    </w:p>
    <w:bookmarkEnd w:id="95"/>
    <w:bookmarkStart w:id="96" w:name="ref-au_demographic_2020"/>
    <w:p>
      <w:pPr>
        <w:pStyle w:val="Bibliography"/>
      </w:pPr>
      <w:r>
        <w:t xml:space="preserve">55.</w:t>
      </w:r>
      <w:r>
        <w:t xml:space="preserve"> </w:t>
      </w:r>
      <w:r>
        <w:t xml:space="preserve">	</w:t>
      </w:r>
      <w:r>
        <w:t xml:space="preserve">Au, T. F.</w:t>
      </w:r>
      <w:r>
        <w:t xml:space="preserve"> </w:t>
      </w:r>
      <w:r>
        <w:rPr>
          <w:iCs/>
          <w:i/>
        </w:rPr>
        <w:t xml:space="preserve">et al.</w:t>
      </w:r>
      <w:r>
        <w:t xml:space="preserve">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 </w:t>
      </w:r>
      <w:r>
        <w:rPr>
          <w:bCs/>
          <w:b/>
        </w:rPr>
        <w:t xml:space="preserve">43</w:t>
      </w:r>
      <w:r>
        <w:t xml:space="preserve">, 1475–1486 (2020).</w:t>
      </w:r>
    </w:p>
    <w:bookmarkEnd w:id="96"/>
    <w:bookmarkStart w:id="97" w:name="ref-matheus_placing_2018"/>
    <w:p>
      <w:pPr>
        <w:pStyle w:val="Bibliography"/>
      </w:pPr>
      <w:r>
        <w:t xml:space="preserve">56.</w:t>
      </w:r>
      <w:r>
        <w:t xml:space="preserve"> </w:t>
      </w:r>
      <w:r>
        <w:t xml:space="preserve">	</w:t>
      </w:r>
      <w:r>
        <w:t xml:space="preserve">Matheus, T. J. &amp; Maxwell, J. T. Placing modern droughts in historical context in the</w:t>
      </w:r>
      <w:r>
        <w:t xml:space="preserve"> </w:t>
      </w:r>
      <w:r>
        <w:t xml:space="preserve">Ohio Valley</w:t>
      </w:r>
      <w:r>
        <w:t xml:space="preserve"> </w:t>
      </w:r>
      <w:r>
        <w:t xml:space="preserve">using tree-rings.</w:t>
      </w:r>
      <w:r>
        <w:t xml:space="preserve"> </w:t>
      </w:r>
      <w:r>
        <w:rPr>
          <w:iCs/>
          <w:i/>
        </w:rPr>
        <w:t xml:space="preserve">Physical Geography</w:t>
      </w:r>
      <w:r>
        <w:t xml:space="preserve"> </w:t>
      </w:r>
      <w:r>
        <w:rPr>
          <w:bCs/>
          <w:b/>
        </w:rPr>
        <w:t xml:space="preserve">39</w:t>
      </w:r>
      <w:r>
        <w:t xml:space="preserve">, 343–353 (2018).</w:t>
      </w:r>
    </w:p>
    <w:bookmarkEnd w:id="97"/>
    <w:bookmarkStart w:id="98" w:name="ref-leblanc_radial_2020"/>
    <w:p>
      <w:pPr>
        <w:pStyle w:val="Bibliography"/>
      </w:pPr>
      <w:r>
        <w:t xml:space="preserve">57.</w:t>
      </w:r>
      <w:r>
        <w:t xml:space="preserve"> </w:t>
      </w:r>
      <w:r>
        <w:t xml:space="preserve">	</w:t>
      </w:r>
      <w:r>
        <w:t xml:space="preserve">LeBlanc, D., Maxwell, J., Pederson, N., Berland, A. &amp; Mandra, T. Radial growth responses of tulip poplar (</w:t>
      </w:r>
      <w:r>
        <w:t xml:space="preserve">Liriodendron</w:t>
      </w:r>
      <w:r>
        <w:t xml:space="preserve"> </w:t>
      </w:r>
      <w:r>
        <w:t xml:space="preserve">tulipifera) to climate in the eastern</w:t>
      </w:r>
      <w:r>
        <w:t xml:space="preserve"> </w:t>
      </w:r>
      <w:r>
        <w:t xml:space="preserve">United States</w:t>
      </w:r>
      <w:r>
        <w:t xml:space="preserve">.</w:t>
      </w:r>
      <w:r>
        <w:t xml:space="preserve"> </w:t>
      </w:r>
      <w:r>
        <w:rPr>
          <w:iCs/>
          <w:i/>
        </w:rPr>
        <w:t xml:space="preserve">Ecosphere</w:t>
      </w:r>
      <w:r>
        <w:t xml:space="preserve"> </w:t>
      </w:r>
      <w:r>
        <w:rPr>
          <w:bCs/>
          <w:b/>
        </w:rPr>
        <w:t xml:space="preserve">11</w:t>
      </w:r>
      <w:r>
        <w:t xml:space="preserve">, e03203 (2020).</w:t>
      </w:r>
    </w:p>
    <w:bookmarkEnd w:id="98"/>
    <w:bookmarkStart w:id="99" w:name="ref-maxwell_higher_2019"/>
    <w:p>
      <w:pPr>
        <w:pStyle w:val="Bibliography"/>
      </w:pPr>
      <w:r>
        <w:t xml:space="preserve">58.</w:t>
      </w:r>
      <w:r>
        <w:t xml:space="preserve"> </w:t>
      </w:r>
      <w:r>
        <w:t xml:space="preserve">	</w:t>
      </w:r>
      <w:r>
        <w:t xml:space="preserve">Maxwell, J. T.</w:t>
      </w:r>
      <w:r>
        <w:t xml:space="preserve"> </w:t>
      </w:r>
      <w:r>
        <w:rPr>
          <w:iCs/>
          <w:i/>
        </w:rPr>
        <w:t xml:space="preserve">et al.</w:t>
      </w:r>
      <w:r>
        <w:t xml:space="preserve">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 </w:t>
      </w:r>
      <w:r>
        <w:rPr>
          <w:bCs/>
          <w:b/>
        </w:rPr>
        <w:t xml:space="preserve">124</w:t>
      </w:r>
      <w:r>
        <w:t xml:space="preserve">, 3798–3813 (2019).</w:t>
      </w:r>
    </w:p>
    <w:bookmarkEnd w:id="99"/>
    <w:bookmarkStart w:id="100" w:name="ref-maxwell_dendroclimatic_2015"/>
    <w:p>
      <w:pPr>
        <w:pStyle w:val="Bibliography"/>
      </w:pPr>
      <w:r>
        <w:t xml:space="preserve">59.</w:t>
      </w:r>
      <w:r>
        <w:t xml:space="preserve"> </w:t>
      </w:r>
      <w:r>
        <w:t xml:space="preserve">	</w:t>
      </w:r>
      <w:r>
        <w:t xml:space="preserve">Maxwell, J. T., Harley, G. L. &amp; Matheus, T. J. Dendroclimatic reconstructions from multiple co-occurring species: A case study from an old-growth deciduous forest in</w:t>
      </w:r>
      <w:r>
        <w:t xml:space="preserve"> </w:t>
      </w:r>
      <w:r>
        <w:t xml:space="preserve">Indiana</w:t>
      </w:r>
      <w:r>
        <w:t xml:space="preserve">,</w:t>
      </w:r>
      <w:r>
        <w:t xml:space="preserve"> </w:t>
      </w:r>
      <w:r>
        <w:t xml:space="preserve">USA</w:t>
      </w:r>
      <w:r>
        <w:t xml:space="preserve">.</w:t>
      </w:r>
      <w:r>
        <w:t xml:space="preserve"> </w:t>
      </w:r>
      <w:r>
        <w:rPr>
          <w:iCs/>
          <w:i/>
        </w:rPr>
        <w:t xml:space="preserve">International Journal of Climatology</w:t>
      </w:r>
      <w:r>
        <w:t xml:space="preserve"> </w:t>
      </w:r>
      <w:r>
        <w:rPr>
          <w:bCs/>
          <w:b/>
        </w:rPr>
        <w:t xml:space="preserve">35</w:t>
      </w:r>
      <w:r>
        <w:t xml:space="preserve">, 860–870 (2015).</w:t>
      </w:r>
    </w:p>
    <w:bookmarkEnd w:id="100"/>
    <w:bookmarkStart w:id="101" w:name="ref-schmidt_325year_2015"/>
    <w:p>
      <w:pPr>
        <w:pStyle w:val="Bibliography"/>
      </w:pPr>
      <w:r>
        <w:t xml:space="preserve">60.</w:t>
      </w:r>
      <w:r>
        <w:t xml:space="preserve"> </w:t>
      </w:r>
      <w:r>
        <w:t xml:space="preserve">	</w:t>
      </w:r>
      <w:r>
        <w:t xml:space="preserve">Schmidt, K. R. A 325-year reconstruction of</w:t>
      </w:r>
      <w:r>
        <w:t xml:space="preserve"> </w:t>
      </w:r>
      <w:r>
        <w:t xml:space="preserve">St</w:t>
      </w:r>
      <w:r>
        <w:t xml:space="preserve">.</w:t>
      </w:r>
      <w:r>
        <w:t xml:space="preserve"> </w:t>
      </w:r>
      <w:r>
        <w:t xml:space="preserve">Joseph River</w:t>
      </w:r>
      <w:r>
        <w:t xml:space="preserve"> </w:t>
      </w:r>
      <w:r>
        <w:t xml:space="preserve">streamflow using tree rings. (Indiana University, 2015).</w:t>
      </w:r>
    </w:p>
    <w:bookmarkEnd w:id="101"/>
    <w:bookmarkStart w:id="102" w:name="ref-cook_time_1985"/>
    <w:p>
      <w:pPr>
        <w:pStyle w:val="Bibliography"/>
      </w:pPr>
      <w:r>
        <w:t xml:space="preserve">61.</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2"/>
    <w:bookmarkStart w:id="104" w:name="ref-cook_methods_1990"/>
    <w:p>
      <w:pPr>
        <w:pStyle w:val="Bibliography"/>
      </w:pPr>
      <w:r>
        <w:t xml:space="preserve">62.</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3">
        <w:r>
          <w:rPr>
            <w:rStyle w:val="Hyperlink"/>
          </w:rPr>
          <w:t xml:space="preserve">10.1007/978-94-015-7879-0</w:t>
        </w:r>
      </w:hyperlink>
      <w:r>
        <w:t xml:space="preserve">.</w:t>
      </w:r>
    </w:p>
    <w:bookmarkEnd w:id="104"/>
    <w:bookmarkStart w:id="105" w:name="ref-harris_version_2020"/>
    <w:p>
      <w:pPr>
        <w:pStyle w:val="Bibliography"/>
      </w:pPr>
      <w:r>
        <w:t xml:space="preserve">63.</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5"/>
    <w:bookmarkStart w:id="106" w:name="ref-bunn_dendrochronology_2008"/>
    <w:p>
      <w:pPr>
        <w:pStyle w:val="Bibliography"/>
      </w:pPr>
      <w:r>
        <w:t xml:space="preserve">64.</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06"/>
    <w:bookmarkStart w:id="107" w:name="ref-zang_dendroclimatic_2013"/>
    <w:p>
      <w:pPr>
        <w:pStyle w:val="Bibliography"/>
      </w:pPr>
      <w:r>
        <w:t xml:space="preserve">65.</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07"/>
    <w:bookmarkStart w:id="108" w:name="ref-biondi_dendroclim2002_2004"/>
    <w:p>
      <w:pPr>
        <w:pStyle w:val="Bibliography"/>
      </w:pPr>
      <w:r>
        <w:t xml:space="preserve">66.</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08"/>
    <w:bookmarkEnd w:id="109"/>
    <w:bookmarkEnd w:id="110"/>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103" Target="https://doi.org/10.1007/978-94-015-7879-0" TargetMode="External" /><Relationship Type="http://schemas.openxmlformats.org/officeDocument/2006/relationships/hyperlink" Id="rId61" Target="https://doi.org/10.1093/treephys/tpab101" TargetMode="External" /><Relationship Type="http://schemas.openxmlformats.org/officeDocument/2006/relationships/hyperlink" Id="rId75" Target="https://doi.org/10.1111/gcb.15574" TargetMode="External" /><Relationship Type="http://schemas.openxmlformats.org/officeDocument/2006/relationships/hyperlink" Id="rId81" Target="https://doi.org/10.5067/MODIS/MCD12Q2.006" TargetMode="External" /><Relationship Type="http://schemas.openxmlformats.org/officeDocument/2006/relationships/hyperlink" Id="rId83" Target="https://doi.org/10.5281/ZENODO.4041609" TargetMode="External" /><Relationship Type="http://schemas.openxmlformats.org/officeDocument/2006/relationships/hyperlink" Id="rId30" Target="https://forestgeo.github.io/Climate/" TargetMode="External" /><Relationship Type="http://schemas.openxmlformats.org/officeDocument/2006/relationships/hyperlink" Id="rId31"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3" Target="https://doi.org/10.1007/978-94-015-7879-0" TargetMode="External" /><Relationship Type="http://schemas.openxmlformats.org/officeDocument/2006/relationships/hyperlink" Id="rId61" Target="https://doi.org/10.1093/treephys/tpab101" TargetMode="External" /><Relationship Type="http://schemas.openxmlformats.org/officeDocument/2006/relationships/hyperlink" Id="rId75" Target="https://doi.org/10.1111/gcb.15574" TargetMode="External" /><Relationship Type="http://schemas.openxmlformats.org/officeDocument/2006/relationships/hyperlink" Id="rId81" Target="https://doi.org/10.5067/MODIS/MCD12Q2.006" TargetMode="External" /><Relationship Type="http://schemas.openxmlformats.org/officeDocument/2006/relationships/hyperlink" Id="rId83" Target="https://doi.org/10.5281/ZENODO.4041609" TargetMode="External" /><Relationship Type="http://schemas.openxmlformats.org/officeDocument/2006/relationships/hyperlink" Id="rId30" Target="https://forestgeo.github.io/Climate/" TargetMode="External" /><Relationship Type="http://schemas.openxmlformats.org/officeDocument/2006/relationships/hyperlink" Id="rId31"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2021-10-21T12:04:57Z</dcterms:created>
  <dcterms:modified xsi:type="dcterms:W3CDTF">2021-10-21T12:04:57Z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