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~2678 words (1609 intro + results, discussion 1069)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1–6</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1,4,5,7–9</w:t>
      </w:r>
      <w:r>
        <w:t xml:space="preserve"> </w:t>
      </w:r>
      <w:r>
        <w:t xml:space="preserve">and annual CO</w:t>
      </w:r>
      <w:r>
        <w:rPr>
          <w:vertAlign w:val="subscript"/>
        </w:rPr>
        <w:t xml:space="preserve">2</w:t>
      </w:r>
      <w:r>
        <w:t xml:space="preserve"> </w:t>
      </w:r>
      <w:r>
        <w:t xml:space="preserve">sequestration</w:t>
      </w:r>
      <w:r>
        <w:rPr>
          <w:vertAlign w:val="superscript"/>
        </w:rPr>
        <w:t xml:space="preserve">2,4,10–14</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15,16</w:t>
      </w:r>
      <w:r>
        <w:t xml:space="preserve"> </w:t>
      </w:r>
      <w:r>
        <w:t xml:space="preserve">Using dendrometer band measurements from</w:t>
      </w:r>
      <w:r>
        <w:t xml:space="preserve"> </w:t>
      </w:r>
      <w:r>
        <w:rPr>
          <w:i/>
        </w:rPr>
        <w:t xml:space="preserve">465</w:t>
      </w:r>
      <w:r>
        <w:t xml:space="preserve"> </w:t>
      </w:r>
      <w:r>
        <w:t xml:space="preserve">trees across two deciduous mid-Atlantic forests, we show that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10–12</w:t>
      </w:r>
      <w:r>
        <w:t xml:space="preserve"> </w:t>
      </w:r>
      <w:r>
        <w:t xml:space="preserve">is not allocated to long-lived woody biomass, where it could have a substantial and lasting impact on the forest C balance.</w:t>
      </w:r>
      <w:r>
        <w:t xml:space="preserve"> </w:t>
      </w:r>
      <w:r>
        <w:t xml:space="preserve">Such empirical results contradict current projections from global carbon cycle models</w:t>
      </w:r>
      <w:r>
        <w:rPr>
          <w:vertAlign w:val="superscript"/>
        </w:rPr>
        <w:t xml:space="preserve">2,3,17,18</w:t>
      </w:r>
      <w:r>
        <w:t xml:space="preserve">, and imply that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20</w:t>
      </w:r>
      <w:r>
        <w:t xml:space="preserve"> </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lengthens the growing season, measured as the period over which trees have photosynthetically active leaves</w:t>
      </w:r>
      <w:r>
        <w:rPr>
          <w:vertAlign w:val="superscript"/>
        </w:rPr>
        <w:t xml:space="preserve">1,7–9</w:t>
      </w:r>
      <w:r>
        <w:t xml:space="preserve">, and extends the period where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net annual carbon sequestration (i.e., net ecosystem exchange,</w:t>
      </w:r>
      <w:r>
        <w:t xml:space="preserve"> </w:t>
      </w:r>
      <w:r>
        <w:rPr>
          <w:i/>
        </w:rPr>
        <w:t xml:space="preserve">NEE</w:t>
      </w:r>
      <w:r>
        <w:t xml:space="preserve">)</w:t>
      </w:r>
      <w:r>
        <w:rPr>
          <w:vertAlign w:val="superscript"/>
        </w:rPr>
        <w:t xml:space="preserve">2,3,17</w:t>
      </w:r>
      <w:r>
        <w:t xml:space="preserve">.</w:t>
      </w:r>
      <w:r>
        <w:t xml:space="preserve"> </w:t>
      </w:r>
      <w:r>
        <w:t xml:space="preserve">However, recent experimental and observational findings that sink factors can limit annual growth</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w:t>
      </w:r>
      <w:r>
        <w:t xml:space="preserve"> </w:t>
      </w:r>
      <w:r>
        <w:rPr>
          <w:i/>
        </w:rPr>
        <w:t xml:space="preserve">ecosystem (?)</w:t>
      </w:r>
      <w:r>
        <w:t xml:space="preserve"> </w:t>
      </w:r>
      <w:r>
        <w:t xml:space="preserve">CO</w:t>
      </w:r>
      <w:r>
        <w:rPr>
          <w:vertAlign w:val="subscript"/>
        </w:rPr>
        <w:t xml:space="preserve">2</w:t>
      </w:r>
      <w:r>
        <w:t xml:space="preserve"> </w:t>
      </w:r>
      <w:r>
        <w:t xml:space="preserve">sequestration 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25</w:t>
      </w:r>
      <w:r>
        <w:t xml:space="preserve">.</w:t>
      </w:r>
      <w:r>
        <w:t xml:space="preserve"> </w:t>
      </w:r>
      <w:r>
        <w:t xml:space="preserve"> </w:t>
      </w:r>
      <w:r>
        <w:t xml:space="preserve">The climate sensitivity of woody growth phenology in deciduous trees and its link to annual growth has never been studied</w:t>
      </w:r>
      <w:r>
        <w:t xml:space="preserve"> </w:t>
      </w:r>
      <w:r>
        <w:rPr>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in two forests and annual growth across forests spanning eastern North America. To test the assumption that warmer springs lead to an extension of the growing season we used measurements from 465 dendrometer bands across two deciduous mid-atlantic forests. To test whether spring temperatures were consistently positively correlated with annual ring-width Index (RWI; tree-ring width which has been standardized for age) we used 207 tree-ring chronologies from 108 forests across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multiple growing seasons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which is consistent with findings from previous studies</w:t>
      </w:r>
      <w:r>
        <w:rPr>
          <w:vertAlign w:val="superscript"/>
        </w:rPr>
        <w:t xml:space="preserve">29</w:t>
      </w:r>
      <w:r>
        <w:t xml:space="preserve"> </w:t>
      </w:r>
      <w:r>
        <w:t xml:space="preserve">Specifically, greenup</w:t>
      </w:r>
      <w:r>
        <w:t xml:space="preserve"> </w:t>
      </w:r>
      <w:r>
        <w:rPr>
          <w:i/>
        </w:rPr>
        <w:t xml:space="preserve">(DOY when EVI2 first crossed 15% of the segment EVI2 amplitude)</w:t>
      </w:r>
      <w:r>
        <w:t xml:space="preserve"> </w:t>
      </w:r>
      <w:r>
        <w:t xml:space="preserve">DOY advanced 4.5 days/</w:t>
      </w:r>
      <m:oMath>
        <m:sSup>
          <m:e>
            <m:r>
              <m:t>​</m:t>
            </m:r>
          </m:e>
          <m:sup>
            <m:r>
              <m:t>∘</m:t>
            </m:r>
          </m:sup>
        </m:sSup>
      </m:oMath>
      <w:r>
        <w:t xml:space="preserve">C at SCBI and 2.4 days/</w:t>
      </w:r>
      <w:r>
        <w:t xml:space="preserve"> </w:t>
      </w:r>
      <m:oMath>
        <m:sSup>
          <m:e>
            <m:r>
              <m:t>​</m:t>
            </m:r>
          </m:e>
          <m:sup>
            <m:r>
              <m:t>∘</m:t>
            </m:r>
          </m:sup>
        </m:sSup>
      </m:oMath>
      <w:r>
        <w:t xml:space="preserve">C at Harvard Forest, while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chronologies: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a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13,14</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w:t>
      </w:r>
      <w:r>
        <w:t xml:space="preserve">implying that warming temperatures are leading to a lengthening of the period from peak stem growth to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45</w:t>
      </w:r>
      <w:r>
        <w:t xml:space="preserve">, woody productivity</w:t>
      </w:r>
      <w:r>
        <w:rPr>
          <w:vertAlign w:val="superscript"/>
        </w:rPr>
        <w:t xml:space="preserve">46</w:t>
      </w:r>
      <w:r>
        <w:t xml:space="preserve">, and NEE.</w:t>
      </w:r>
      <w:r>
        <w:rPr>
          <w:vertAlign w:val="superscript"/>
        </w:rPr>
        <w:t xml:space="preserve">47</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9" w:name="Methods"/>
      <w:r>
        <w:t xml:space="preserve">Methods</w:t>
      </w:r>
      <w:bookmarkEnd w:id="29"/>
    </w:p>
    <w:p>
      <w:pPr>
        <w:pStyle w:val="Heading2"/>
      </w:pPr>
      <w:bookmarkStart w:id="30" w:name="Dendrometer"/>
      <w:r>
        <w:t xml:space="preserve">Dendrometer band analysis</w:t>
      </w:r>
      <w:bookmarkEnd w:id="30"/>
    </w:p>
    <w:p>
      <w:pPr>
        <w:pStyle w:val="FirstParagraph"/>
      </w:pPr>
      <w:r>
        <w:t xml:space="preserve">Dendrometer band measurements were collected at SCBI</w:t>
      </w:r>
      <w:r>
        <w:rPr>
          <w:vertAlign w:val="superscript"/>
        </w:rPr>
        <w:t xml:space="preserve">48</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49,50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48</w:t>
      </w:r>
      <w:r>
        <w:t xml:space="preserve">.</w:t>
      </w:r>
      <w:r>
        <w:t xml:space="preserve"> </w:t>
      </w:r>
      <w:r>
        <w:t xml:space="preserve">Dominant canopy species within the 25.6 ha ForestGEO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51</w:t>
      </w:r>
      <w:r>
        <w:t xml:space="preserve"> </w:t>
      </w:r>
      <w:r>
        <w:t xml:space="preserve">via Google Earth Engine.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rPr>
          <w:i/>
        </w:rPr>
        <w:t xml:space="preserve">ADD SOMETHING ON HOW STANDARD PRECIPITAITON EVAPOTRANSPIRATIN INDEX WAS FOUND</w:t>
      </w:r>
      <w:r>
        <w:t xml:space="preserve">!!!!</w:t>
      </w: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1">
        <w:r>
          <w:rPr>
            <w:rStyle w:val="Hyperlink"/>
          </w:rPr>
          <w:t xml:space="preserve">https://forestgeo.github.io/Climate/</w:t>
        </w:r>
      </w:hyperlink>
      <w:r>
        <w:t xml:space="preserve">)</w:t>
      </w:r>
      <w:r>
        <w:rPr>
          <w:vertAlign w:val="superscript"/>
        </w:rPr>
        <w:t xml:space="preserve">52</w:t>
      </w:r>
      <w:r>
        <w:t xml:space="preserve">.</w:t>
      </w:r>
      <w:r>
        <w:t xml:space="preserve"> </w:t>
      </w:r>
      <w:r>
        <w:t xml:space="preserve">The R package</w:t>
      </w:r>
      <w:r>
        <w:t xml:space="preserve"> </w:t>
      </w:r>
      <w:r>
        <w:rPr>
          <w:i/>
        </w:rPr>
        <w:t xml:space="preserve">clim.pact</w:t>
      </w:r>
      <w:r>
        <w:rPr>
          <w:b/>
          <w:vertAlign w:val="superscript"/>
        </w:rPr>
        <w:t xml:space="preserve">???</w:t>
      </w:r>
      <w:r>
        <w:rPr>
          <w:vertAlign w:val="superscript"/>
        </w:rPr>
        <w:t xml:space="preserve">,53</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54,55</w:t>
      </w:r>
      <w:r>
        <w:t xml:space="preserve">.</w:t>
      </w:r>
      <w:r>
        <w:t xml:space="preserve"> </w:t>
      </w:r>
      <w:r>
        <w:t xml:space="preserve">Climate data for Harvard Forest were complete and used as is.</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56</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w:t>
      </w:r>
      <w:r>
        <w:t xml:space="preserve">. In all cases unless otherwise specified, all prior distributions are set to be the weakly informative defaults.</w:t>
      </w:r>
      <w:r>
        <w:t xml:space="preserve"> </w:t>
      </w:r>
    </w:p>
    <w:p>
      <w:pPr>
        <w:pStyle w:val="Heading2"/>
      </w:pPr>
      <w:bookmarkStart w:id="33" w:name="Tree"/>
      <w:r>
        <w:t xml:space="preserve">Tree-ring analysis</w:t>
      </w:r>
      <w:bookmarkEnd w:id="33"/>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59</w:t>
      </w:r>
      <w:r>
        <w:t xml:space="preserve">.</w:t>
      </w:r>
    </w:p>
    <w:p>
      <w:pPr>
        <w:pStyle w:val="BodyText"/>
      </w:pPr>
      <w:r>
        <w:t xml:space="preserve">Dominant tree species were cored at both SCBI</w:t>
      </w:r>
      <w:r>
        <w:rPr>
          <w:vertAlign w:val="superscript"/>
        </w:rPr>
        <w:t xml:space="preserve">27,48</w:t>
      </w:r>
      <w:r>
        <w:t xml:space="preserve"> </w:t>
      </w:r>
      <w:r>
        <w:t xml:space="preserve">and Harvard Forest</w:t>
      </w:r>
      <w:r>
        <w:rPr>
          <w:vertAlign w:val="superscript"/>
        </w:rPr>
        <w:t xml:space="preserve">4,60,61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26,62</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w:t>
      </w:r>
      <w:r>
        <w:rPr>
          <w:i/>
        </w:rPr>
        <w:t xml:space="preserve">Add this comment somewhere in here:</w:t>
      </w:r>
      <w:r>
        <w:rPr>
          <w:i/>
        </w:rPr>
        <w:t xml:space="preserve"> </w:t>
      </w:r>
      <w:r>
        <w:rPr>
          <w:i/>
        </w:rPr>
        <w:t xml:space="preserve">“</w:t>
      </w:r>
      <w:r>
        <w:rPr>
          <w:i/>
        </w:rPr>
        <w:t xml:space="preserve">What about mentioning</w:t>
      </w:r>
      <w:r>
        <w:rPr>
          <w:i/>
        </w:rPr>
        <w:t xml:space="preserve">”</w:t>
      </w:r>
      <w:r>
        <w:rPr>
          <w:i/>
        </w:rPr>
        <w:t xml:space="preserve">we converted the trw into a dimensionless growth index (thereafter simply referred to as RWI; see Methods) to emphasize interannual variability associated with climate (Cook &amp; Kairiukstis, 1990)" or something along those lines?"</w:t>
      </w:r>
    </w:p>
    <w:p>
      <w:pPr>
        <w:pStyle w:val="BodyText"/>
      </w:pPr>
      <w:r>
        <w:rPr>
          <w:i/>
        </w:rPr>
        <w:t xml:space="preserve">KRISTA can you confirm if the following sentence is describing the transformation from trw into RWI? If it is, we can define RWI here</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63,64</w:t>
      </w:r>
      <w:r>
        <w:t xml:space="preserve"> </w:t>
      </w:r>
      <w:r>
        <w:t xml:space="preserve">Chronologies were built using the methods described in Helcoski et al. (2019)</w:t>
      </w:r>
      <w:r>
        <w:rPr>
          <w:vertAlign w:val="superscript"/>
        </w:rPr>
        <w:t xml:space="preserve">27</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65</w:t>
      </w:r>
      <w:r>
        <w:t xml:space="preserve"> </w:t>
      </w:r>
      <w:r>
        <w:t xml:space="preserve">and</w:t>
      </w:r>
      <w:r>
        <w:t xml:space="preserve"> </w:t>
      </w:r>
      <w:r>
        <w:t xml:space="preserve">‘</w:t>
      </w:r>
      <w:r>
        <w:t xml:space="preserve">bootRes</w:t>
      </w:r>
      <w:r>
        <w:t xml:space="preserve">’</w:t>
      </w:r>
      <w:r>
        <w:rPr>
          <w:vertAlign w:val="superscript"/>
        </w:rPr>
        <w:t xml:space="preserve">66</w:t>
      </w:r>
      <w:r>
        <w:t xml:space="preserve"> </w:t>
      </w:r>
      <w:r>
        <w:t xml:space="preserve">in R v 4.0 (R Core Team, 2020), which correlated functions and bootstrapped confidence intervals for these relationships</w:t>
      </w:r>
      <w:r>
        <w:rPr>
          <w:vertAlign w:val="superscript"/>
        </w:rPr>
        <w:t xml:space="preserve">67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4" w:name="Acknowledgements"/>
      <w:r>
        <w:t xml:space="preserve">Acknowledgements</w:t>
      </w:r>
      <w:bookmarkEnd w:id="34"/>
    </w:p>
    <w:p>
      <w:pPr>
        <w:numPr>
          <w:numId w:val="1002"/>
          <w:ilvl w:val="0"/>
        </w:numPr>
      </w:pPr>
      <w:r>
        <w:t xml:space="preserve">people: (everyone who helped collect data– see list on GitHub), Jess Shue (data), We would like to thank Tsun Fung Au, Joshua Bregy, James Dickens, Karen Heeter, Anna Hennage, Daniel King, James McGee, Benjamin Lockwood, Josh Oliver, Karly Schmidt-Simard, Brandon Strange, Brynn Taylor, Michael Thornton, Senna Robeson, Matt Wenzel, and Luke Wylie</w:t>
      </w:r>
      <w:r>
        <w:t xml:space="preserve"> </w:t>
      </w:r>
      <w:r>
        <w:t xml:space="preserve">for assistance in the field and laboratory.</w:t>
      </w:r>
    </w:p>
    <w:p>
      <w:pPr>
        <w:numPr>
          <w:numId w:val="1002"/>
          <w:ilvl w:val="0"/>
        </w:numPr>
      </w:pPr>
      <w:r>
        <w:t xml:space="preserve">Funding: ForestGEO, the collection of tree-ring samples was funded by a USDA Agriculture and Food Research Initiative grant 2017-67013-26191 and from the Indiana University Vice Provost for Research Faculty Research Program.</w:t>
      </w:r>
    </w:p>
    <w:p>
      <w:pPr>
        <w:pStyle w:val="FirstParagraph"/>
      </w:pPr>
      <w:r>
        <w:t xml:space="preserve">-David Orwig</w:t>
      </w:r>
      <w:r>
        <w:t xml:space="preserve"> </w:t>
      </w:r>
      <w:r>
        <w:rPr>
          <w:b/>
        </w:rPr>
        <w:t xml:space="preserve">COAUTHORS, PLEASE ADD.</w:t>
      </w:r>
    </w:p>
    <w:p>
      <w:pPr>
        <w:pStyle w:val="Heading1"/>
      </w:pPr>
      <w:bookmarkStart w:id="35" w:name="Author"/>
      <w:r>
        <w:t xml:space="preserve">Author Contributions</w:t>
      </w:r>
      <w:bookmarkEnd w:id="35"/>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6" w:name="Additional"/>
      <w:r>
        <w:t xml:space="preserve">Additional Information</w:t>
      </w:r>
      <w:bookmarkEnd w:id="36"/>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7" w:name="References"/>
      <w:r>
        <w:t xml:space="preserve">References</w:t>
      </w:r>
      <w:bookmarkEnd w:id="37"/>
    </w:p>
    <w:p>
      <w:pPr>
        <w:pStyle w:val="FirstParagraph"/>
      </w:pPr>
      <w:r>
        <w:rPr>
          <w:i/>
        </w:rPr>
        <w:t xml:space="preserve">I can’t figure out how to get this into zotero yet :(</w:t>
      </w:r>
      <w:r>
        <w:t xml:space="preserve"> </w:t>
      </w:r>
      <w:r>
        <w:t xml:space="preserve">Stan Development Team. 2019. Stan Modeling Language Users Guide and Reference Manual, 2.28.</w:t>
      </w:r>
      <w:r>
        <w:t xml:space="preserve"> </w:t>
      </w:r>
      <w:hyperlink r:id="rId38">
        <w:r>
          <w:rPr>
            <w:rStyle w:val="Hyperlink"/>
          </w:rPr>
          <w:t xml:space="preserve">https://mc-stan.org</w:t>
        </w:r>
      </w:hyperlink>
    </w:p>
    <w:bookmarkStart w:id="114" w:name="refs"/>
    <w:bookmarkStart w:id="39"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9"/>
    <w:bookmarkStart w:id="40"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0"/>
    <w:bookmarkStart w:id="41"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1"/>
    <w:bookmarkStart w:id="42"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2"/>
    <w:bookmarkStart w:id="43"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3"/>
    <w:bookmarkStart w:id="45"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4">
        <w:r>
          <w:rPr>
            <w:rStyle w:val="Hyperlink"/>
          </w:rPr>
          <w:t xml:space="preserve">10.1073/pnas.2002713117</w:t>
        </w:r>
      </w:hyperlink>
      <w:r>
        <w:t xml:space="preserve">.</w:t>
      </w:r>
    </w:p>
    <w:bookmarkEnd w:id="45"/>
    <w:bookmarkStart w:id="46"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6"/>
    <w:bookmarkStart w:id="47"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7"/>
    <w:bookmarkStart w:id="48"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8"/>
    <w:bookmarkStart w:id="49"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9"/>
    <w:bookmarkStart w:id="50"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0"/>
    <w:bookmarkStart w:id="51"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1"/>
    <w:bookmarkStart w:id="52"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2"/>
    <w:bookmarkStart w:id="53"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3"/>
    <w:bookmarkStart w:id="54"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4"/>
    <w:bookmarkStart w:id="55"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5"/>
    <w:bookmarkStart w:id="56" w:name="ref-zani_increased_2020"/>
    <w:p>
      <w:pPr>
        <w:pStyle w:val="Bibliography"/>
      </w:pPr>
      <w:r>
        <w:t xml:space="preserve">17. Zani, D., Crowther, T. W., Mo, L., Renner, S. S. &amp; Zohner, C. M. Increased growing-season productivity drives earlier autumn leaf senescence in temperate trees. 7 (2020).</w:t>
      </w:r>
    </w:p>
    <w:bookmarkEnd w:id="56"/>
    <w:bookmarkStart w:id="57"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7"/>
    <w:bookmarkStart w:id="58" w:name="ref-pan_large_2011"/>
    <w:p>
      <w:pPr>
        <w:pStyle w:val="Bibliography"/>
      </w:pPr>
      <w:r>
        <w:t xml:space="preserve">19.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8"/>
    <w:bookmarkStart w:id="59" w:name="ref-pugh_role_2019"/>
    <w:p>
      <w:pPr>
        <w:pStyle w:val="Bibliography"/>
      </w:pPr>
      <w:r>
        <w:t xml:space="preserve">20.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9"/>
    <w:bookmarkStart w:id="60" w:name="ref-arora_carbon_2020"/>
    <w:p>
      <w:pPr>
        <w:pStyle w:val="Bibliography"/>
      </w:pPr>
      <w:r>
        <w:t xml:space="preserve">21.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0"/>
    <w:bookmarkStart w:id="61" w:name="ref-friedlingstein_global_2020"/>
    <w:p>
      <w:pPr>
        <w:pStyle w:val="Bibliography"/>
      </w:pPr>
      <w:r>
        <w:t xml:space="preserve">22.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1"/>
    <w:bookmarkStart w:id="62" w:name="ref-keenan_timing_2015"/>
    <w:p>
      <w:pPr>
        <w:pStyle w:val="Bibliography"/>
      </w:pPr>
      <w:r>
        <w:t xml:space="preserve">23.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2"/>
    <w:bookmarkStart w:id="63" w:name="ref-zohner_how_2021"/>
    <w:p>
      <w:pPr>
        <w:pStyle w:val="Bibliography"/>
      </w:pPr>
      <w:r>
        <w:t xml:space="preserve">24.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3"/>
    <w:bookmarkStart w:id="65" w:name="ref-dorangeville_peak_2021"/>
    <w:p>
      <w:pPr>
        <w:pStyle w:val="Bibliography"/>
      </w:pPr>
      <w:r>
        <w:t xml:space="preserve">25.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4">
        <w:r>
          <w:rPr>
            <w:rStyle w:val="Hyperlink"/>
          </w:rPr>
          <w:t xml:space="preserve">10.1093/treephys/tpab101</w:t>
        </w:r>
      </w:hyperlink>
      <w:r>
        <w:t xml:space="preserve">.</w:t>
      </w:r>
    </w:p>
    <w:bookmarkEnd w:id="65"/>
    <w:bookmarkStart w:id="66" w:name="ref-dorangeville_drought_2018"/>
    <w:p>
      <w:pPr>
        <w:pStyle w:val="Bibliography"/>
      </w:pPr>
      <w:r>
        <w:t xml:space="preserve">26.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6"/>
    <w:bookmarkStart w:id="67"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7"/>
    <w:bookmarkStart w:id="68"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8"/>
    <w:bookmarkStart w:id="69" w:name="ref-parmesan_globally_2003"/>
    <w:p>
      <w:pPr>
        <w:pStyle w:val="Bibliography"/>
      </w:pPr>
      <w:r>
        <w:t xml:space="preserve">29.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9"/>
    <w:bookmarkStart w:id="70" w:name="ref-friedl_tale_2014"/>
    <w:p>
      <w:pPr>
        <w:pStyle w:val="Bibliography"/>
      </w:pPr>
      <w:r>
        <w:t xml:space="preserve">30.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0"/>
    <w:bookmarkStart w:id="71" w:name="ref-fu_variation_2014"/>
    <w:p>
      <w:pPr>
        <w:pStyle w:val="Bibliography"/>
      </w:pPr>
      <w:r>
        <w:t xml:space="preserve">31.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71"/>
    <w:bookmarkStart w:id="72" w:name="ref-zhang_drought_2021"/>
    <w:p>
      <w:pPr>
        <w:pStyle w:val="Bibliography"/>
      </w:pPr>
      <w:r>
        <w:t xml:space="preserve">32.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72"/>
    <w:bookmarkStart w:id="73" w:name="ref-vicente-serrano_multiscalar_2010"/>
    <w:p>
      <w:pPr>
        <w:pStyle w:val="Bibliography"/>
      </w:pPr>
      <w:r>
        <w:t xml:space="preserve">33.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3"/>
    <w:bookmarkStart w:id="74" w:name="ref-zohner_ongoing_2019"/>
    <w:p>
      <w:pPr>
        <w:pStyle w:val="Bibliography"/>
      </w:pPr>
      <w:r>
        <w:t xml:space="preserve">34.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4"/>
    <w:bookmarkStart w:id="75" w:name="ref-xie_predicting_2018"/>
    <w:p>
      <w:pPr>
        <w:pStyle w:val="Bibliography"/>
      </w:pPr>
      <w:r>
        <w:t xml:space="preserve">35.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5"/>
    <w:bookmarkStart w:id="76" w:name="ref-cuny_woody_2015"/>
    <w:p>
      <w:pPr>
        <w:pStyle w:val="Bibliography"/>
      </w:pPr>
      <w:r>
        <w:t xml:space="preserve">36.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6"/>
    <w:bookmarkStart w:id="77" w:name="ref-tardif_influence_2006"/>
    <w:p>
      <w:pPr>
        <w:pStyle w:val="Bibliography"/>
      </w:pPr>
      <w:r>
        <w:t xml:space="preserve">37.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7"/>
    <w:bookmarkStart w:id="78" w:name="ref-roibu_climatic_2020"/>
    <w:p>
      <w:pPr>
        <w:pStyle w:val="Bibliography"/>
      </w:pPr>
      <w:r>
        <w:t xml:space="preserve">38.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8"/>
    <w:bookmarkStart w:id="79" w:name="ref-kern_multiple_2013"/>
    <w:p>
      <w:pPr>
        <w:pStyle w:val="Bibliography"/>
      </w:pPr>
      <w:r>
        <w:t xml:space="preserve">39.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79"/>
    <w:bookmarkStart w:id="80" w:name="ref-trumbore_quantifying_2002"/>
    <w:p>
      <w:pPr>
        <w:pStyle w:val="Bibliography"/>
      </w:pPr>
      <w:r>
        <w:t xml:space="preserve">40.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80"/>
    <w:bookmarkStart w:id="81" w:name="ref-richardson_seasonal_2013"/>
    <w:p>
      <w:pPr>
        <w:pStyle w:val="Bibliography"/>
      </w:pPr>
      <w:r>
        <w:t xml:space="preserve">41.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81"/>
    <w:bookmarkStart w:id="82" w:name="ref-oishi_warmer_2018"/>
    <w:p>
      <w:pPr>
        <w:pStyle w:val="Bibliography"/>
      </w:pPr>
      <w:r>
        <w:t xml:space="preserve">42.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82"/>
    <w:bookmarkStart w:id="83" w:name="ref-kannenberg_linking_2019"/>
    <w:p>
      <w:pPr>
        <w:pStyle w:val="Bibliography"/>
      </w:pPr>
      <w:r>
        <w:t xml:space="preserve">43. Kannenberg, S. A.</w:t>
      </w:r>
      <w:r>
        <w:t xml:space="preserve"> </w:t>
      </w:r>
      <w:r>
        <w:rPr>
          <w:i/>
        </w:rPr>
        <w:t xml:space="preserve">et al.</w:t>
      </w:r>
      <w:r>
        <w:t xml:space="preserve"> </w:t>
      </w:r>
      <w:r>
        <w:t xml:space="preserve">Linking drought legacy effects across scales: From leaves to tree rings to ecosystems.</w:t>
      </w:r>
      <w:r>
        <w:t xml:space="preserve"> </w:t>
      </w:r>
      <w:r>
        <w:rPr>
          <w:i/>
        </w:rPr>
        <w:t xml:space="preserve">Global Change Biology</w:t>
      </w:r>
      <w:r>
        <w:t xml:space="preserve"> </w:t>
      </w:r>
      <w:r>
        <w:rPr>
          <w:b/>
        </w:rPr>
        <w:t xml:space="preserve">25</w:t>
      </w:r>
      <w:r>
        <w:t xml:space="preserve">, 2978–2992 (2019).</w:t>
      </w:r>
    </w:p>
    <w:bookmarkEnd w:id="83"/>
    <w:bookmarkStart w:id="84" w:name="ref-gessler_way_2020"/>
    <w:p>
      <w:pPr>
        <w:pStyle w:val="Bibliography"/>
      </w:pPr>
      <w:r>
        <w:t xml:space="preserve">44. Gessler, A., Bottero, A., Marshall, J. &amp; Arend, M. The way back: Recovery of trees from drought and its implication for acclimation.</w:t>
      </w:r>
      <w:r>
        <w:t xml:space="preserve"> </w:t>
      </w:r>
      <w:r>
        <w:rPr>
          <w:i/>
        </w:rPr>
        <w:t xml:space="preserve">New Phytologist</w:t>
      </w:r>
      <w:r>
        <w:t xml:space="preserve"> </w:t>
      </w:r>
      <w:r>
        <w:rPr>
          <w:b/>
        </w:rPr>
        <w:t xml:space="preserve">228</w:t>
      </w:r>
      <w:r>
        <w:t xml:space="preserve">, 1704–1709 (2020).</w:t>
      </w:r>
    </w:p>
    <w:bookmarkEnd w:id="84"/>
    <w:bookmarkStart w:id="85" w:name="ref-anderson-teixeira_joint_2021"/>
    <w:p>
      <w:pPr>
        <w:pStyle w:val="Bibliography"/>
      </w:pPr>
      <w:r>
        <w:t xml:space="preserve">45.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5"/>
    <w:bookmarkStart w:id="87" w:name="ref-banburymorgan_global_2021"/>
    <w:p>
      <w:pPr>
        <w:pStyle w:val="Bibliography"/>
      </w:pPr>
      <w:r>
        <w:t xml:space="preserve">46.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6">
        <w:r>
          <w:rPr>
            <w:rStyle w:val="Hyperlink"/>
          </w:rPr>
          <w:t xml:space="preserve">10.1111/gcb.15574</w:t>
        </w:r>
      </w:hyperlink>
      <w:r>
        <w:t xml:space="preserve">.</w:t>
      </w:r>
    </w:p>
    <w:bookmarkEnd w:id="87"/>
    <w:bookmarkStart w:id="88" w:name="ref-churkina_spatial_2005"/>
    <w:p>
      <w:pPr>
        <w:pStyle w:val="Bibliography"/>
      </w:pPr>
      <w:r>
        <w:t xml:space="preserve">47.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88"/>
    <w:bookmarkStart w:id="89" w:name="ref-bourg_initial_2013"/>
    <w:p>
      <w:pPr>
        <w:pStyle w:val="Bibliography"/>
      </w:pPr>
      <w:r>
        <w:t xml:space="preserve">48.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9"/>
    <w:bookmarkStart w:id="90" w:name="ref-anderson-teixeira_ctfsforestgeo_2015"/>
    <w:p>
      <w:pPr>
        <w:pStyle w:val="Bibliography"/>
      </w:pPr>
      <w:r>
        <w:t xml:space="preserve">49.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90"/>
    <w:bookmarkStart w:id="91" w:name="ref-davies_forestgeo_2021"/>
    <w:p>
      <w:pPr>
        <w:pStyle w:val="Bibliography"/>
      </w:pPr>
      <w:r>
        <w:t xml:space="preserve">50.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91"/>
    <w:bookmarkStart w:id="93" w:name="ref-friedl_mcd12q2_2019"/>
    <w:p>
      <w:pPr>
        <w:pStyle w:val="Bibliography"/>
      </w:pPr>
      <w:r>
        <w:t xml:space="preserve">51. Friedl, M., Gray, J. &amp; Sulla-Menashe, D. MCD12Q2 MODIS/Terra+Aqua Land Cover Dynamics Yearly L3 Global 500m SIN Grid V006. (2019) doi:</w:t>
      </w:r>
      <w:hyperlink r:id="rId92">
        <w:r>
          <w:rPr>
            <w:rStyle w:val="Hyperlink"/>
          </w:rPr>
          <w:t xml:space="preserve">10.5067/MODIS/MCD12Q2.006</w:t>
        </w:r>
      </w:hyperlink>
      <w:r>
        <w:t xml:space="preserve">.</w:t>
      </w:r>
    </w:p>
    <w:bookmarkEnd w:id="93"/>
    <w:bookmarkStart w:id="95" w:name="ref-anderson-teixeira_forestgeo_2020"/>
    <w:p>
      <w:pPr>
        <w:pStyle w:val="Bibliography"/>
      </w:pPr>
      <w:r>
        <w:t xml:space="preserve">52. Anderson-Teixeira, K.</w:t>
      </w:r>
      <w:r>
        <w:t xml:space="preserve"> </w:t>
      </w:r>
      <w:r>
        <w:rPr>
          <w:i/>
        </w:rPr>
        <w:t xml:space="preserve">et al.</w:t>
      </w:r>
      <w:r>
        <w:t xml:space="preserve"> </w:t>
      </w:r>
      <w:r>
        <w:t xml:space="preserve">Forestgeo/Climate: Initial release. (2020) doi:</w:t>
      </w:r>
      <w:hyperlink r:id="rId94">
        <w:r>
          <w:rPr>
            <w:rStyle w:val="Hyperlink"/>
          </w:rPr>
          <w:t xml:space="preserve">10.5281/ZENODO.4041609</w:t>
        </w:r>
      </w:hyperlink>
      <w:r>
        <w:t xml:space="preserve">.</w:t>
      </w:r>
    </w:p>
    <w:bookmarkEnd w:id="95"/>
    <w:bookmarkStart w:id="96" w:name="ref-benestad_empiricalstatistical_2008"/>
    <w:p>
      <w:pPr>
        <w:pStyle w:val="Bibliography"/>
      </w:pPr>
      <w:r>
        <w:t xml:space="preserve">53. Benestad, R. E., Hanssen-Bauer, I. &amp; Chen, D.</w:t>
      </w:r>
      <w:r>
        <w:t xml:space="preserve"> </w:t>
      </w:r>
      <w:r>
        <w:rPr>
          <w:i/>
        </w:rPr>
        <w:t xml:space="preserve">Empirical-statistical downscaling</w:t>
      </w:r>
      <w:r>
        <w:t xml:space="preserve">. (World Scientific Pub Co Inc, 2008).</w:t>
      </w:r>
    </w:p>
    <w:bookmarkEnd w:id="96"/>
    <w:bookmarkStart w:id="98" w:name="ref-boose_shaler_2021"/>
    <w:p>
      <w:pPr>
        <w:pStyle w:val="Bibliography"/>
      </w:pPr>
      <w:r>
        <w:t xml:space="preserve">54. Boose, E. &amp; Gould, E. Shaler meteorological station at harvard forest 1964-2002. (2021) doi:</w:t>
      </w:r>
      <w:hyperlink r:id="rId97">
        <w:r>
          <w:rPr>
            <w:rStyle w:val="Hyperlink"/>
          </w:rPr>
          <w:t xml:space="preserve">10.6073/PASTA/213335F5DAA17222A738C105B9FA60C4</w:t>
        </w:r>
      </w:hyperlink>
      <w:r>
        <w:t xml:space="preserve">.</w:t>
      </w:r>
    </w:p>
    <w:bookmarkEnd w:id="98"/>
    <w:bookmarkStart w:id="100" w:name="ref-boose_fisher_2021"/>
    <w:p>
      <w:pPr>
        <w:pStyle w:val="Bibliography"/>
      </w:pPr>
      <w:r>
        <w:t xml:space="preserve">55. Boose, E. Fisher meteorological station at harvard forest since 2001. (2021) doi:</w:t>
      </w:r>
      <w:hyperlink r:id="rId99">
        <w:r>
          <w:rPr>
            <w:rStyle w:val="Hyperlink"/>
          </w:rPr>
          <w:t xml:space="preserve">10.6073/PASTA/69E92642B512897032446CFE795CFFB8</w:t>
        </w:r>
      </w:hyperlink>
      <w:r>
        <w:t xml:space="preserve">.</w:t>
      </w:r>
    </w:p>
    <w:bookmarkEnd w:id="100"/>
    <w:bookmarkStart w:id="101" w:name="ref-harris_version_2020"/>
    <w:p>
      <w:pPr>
        <w:pStyle w:val="Bibliography"/>
      </w:pPr>
      <w:r>
        <w:t xml:space="preserve">56.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01"/>
    <w:bookmarkStart w:id="102" w:name="ref-vandepol_identifying_2016"/>
    <w:p>
      <w:pPr>
        <w:pStyle w:val="Bibliography"/>
      </w:pPr>
      <w:r>
        <w:t xml:space="preserve">57.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102"/>
    <w:bookmarkStart w:id="103" w:name="ref-gabry_rstanarm_2020"/>
    <w:p>
      <w:pPr>
        <w:pStyle w:val="Bibliography"/>
      </w:pPr>
      <w:r>
        <w:t xml:space="preserve">58. Gabry, J.</w:t>
      </w:r>
      <w:r>
        <w:t xml:space="preserve"> </w:t>
      </w:r>
      <w:r>
        <w:rPr>
          <w:i/>
        </w:rPr>
        <w:t xml:space="preserve">et al.</w:t>
      </w:r>
      <w:r>
        <w:t xml:space="preserve"> </w:t>
      </w:r>
      <w:r>
        <w:t xml:space="preserve">Rstanarm: Bayesian Applied Regression Modeling via Stan. (2020).</w:t>
      </w:r>
    </w:p>
    <w:bookmarkEnd w:id="103"/>
    <w:bookmarkStart w:id="104" w:name="ref-stokes_introduction_1968"/>
    <w:p>
      <w:pPr>
        <w:pStyle w:val="Bibliography"/>
      </w:pPr>
      <w:r>
        <w:t xml:space="preserve">59. Stokes, M. A. &amp; Smiley, T. L.</w:t>
      </w:r>
      <w:r>
        <w:t xml:space="preserve"> </w:t>
      </w:r>
      <w:r>
        <w:rPr>
          <w:i/>
        </w:rPr>
        <w:t xml:space="preserve">An Introduction to Tree-ring Dating</w:t>
      </w:r>
      <w:r>
        <w:t xml:space="preserve">. (University of Arizona Press, 1968).</w:t>
      </w:r>
    </w:p>
    <w:bookmarkEnd w:id="104"/>
    <w:bookmarkStart w:id="105" w:name="ref-alexander_potential_2019"/>
    <w:p>
      <w:pPr>
        <w:pStyle w:val="Bibliography"/>
      </w:pPr>
      <w:r>
        <w:t xml:space="preserve">60.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5"/>
    <w:bookmarkStart w:id="106" w:name="ref-dye_comparing_2016"/>
    <w:p>
      <w:pPr>
        <w:pStyle w:val="Bibliography"/>
      </w:pPr>
      <w:r>
        <w:t xml:space="preserve">61.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6"/>
    <w:bookmarkStart w:id="107" w:name="ref-maxwell_sampling_2020"/>
    <w:p>
      <w:pPr>
        <w:pStyle w:val="Bibliography"/>
      </w:pPr>
      <w:r>
        <w:t xml:space="preserve">62.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7"/>
    <w:bookmarkStart w:id="108" w:name="ref-cook_time_1985"/>
    <w:p>
      <w:pPr>
        <w:pStyle w:val="Bibliography"/>
      </w:pPr>
      <w:r>
        <w:t xml:space="preserve">63. Cook, E. R. A Time Series Analysis Approach to Tree Ring Standardization. vol. PhD (University of Arizona, 1985).</w:t>
      </w:r>
    </w:p>
    <w:bookmarkEnd w:id="108"/>
    <w:bookmarkStart w:id="110" w:name="ref-cook_methods_1990"/>
    <w:p>
      <w:pPr>
        <w:pStyle w:val="Bibliography"/>
      </w:pPr>
      <w:r>
        <w:t xml:space="preserve">64.</w:t>
      </w:r>
      <w:r>
        <w:t xml:space="preserve"> </w:t>
      </w:r>
      <w:r>
        <w:rPr>
          <w:i/>
        </w:rPr>
        <w:t xml:space="preserve">Methods of Dendrochronology: Applications in the Environmental Sciences</w:t>
      </w:r>
      <w:r>
        <w:t xml:space="preserve">. (Springer Netherlands, 1990). doi:</w:t>
      </w:r>
      <w:hyperlink r:id="rId109">
        <w:r>
          <w:rPr>
            <w:rStyle w:val="Hyperlink"/>
          </w:rPr>
          <w:t xml:space="preserve">10.1007/978-94-015-7879-0</w:t>
        </w:r>
      </w:hyperlink>
      <w:r>
        <w:t xml:space="preserve">.</w:t>
      </w:r>
    </w:p>
    <w:bookmarkEnd w:id="110"/>
    <w:bookmarkStart w:id="111" w:name="ref-bunn_dendrochronology_2008"/>
    <w:p>
      <w:pPr>
        <w:pStyle w:val="Bibliography"/>
      </w:pPr>
      <w:r>
        <w:t xml:space="preserve">65.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1"/>
    <w:bookmarkStart w:id="112" w:name="ref-zang_dendroclimatic_2013"/>
    <w:p>
      <w:pPr>
        <w:pStyle w:val="Bibliography"/>
      </w:pPr>
      <w:r>
        <w:t xml:space="preserve">66.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12"/>
    <w:bookmarkStart w:id="113" w:name="ref-biondi_dendroclim2002_2004"/>
    <w:p>
      <w:pPr>
        <w:pStyle w:val="Bibliography"/>
      </w:pPr>
      <w:r>
        <w:t xml:space="preserve">67.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3"/>
    <w:bookmarkEnd w:id="11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109" Target="https://doi.org/10.1007/978-94-015-7879-0" TargetMode="External" /><Relationship Type="http://schemas.openxmlformats.org/officeDocument/2006/relationships/hyperlink" Id="rId44" Target="https://doi.org/10.1073/pnas.2002713117" TargetMode="External" /><Relationship Type="http://schemas.openxmlformats.org/officeDocument/2006/relationships/hyperlink" Id="rId64"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2"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97" Target="https://doi.org/10.6073/PASTA/213335F5DAA17222A738C105B9FA60C4" TargetMode="External" /><Relationship Type="http://schemas.openxmlformats.org/officeDocument/2006/relationships/hyperlink" Id="rId99"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8" Target="https://mc-stan.org"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9" Target="https://doi.org/10.1007/978-94-015-7879-0" TargetMode="External" /><Relationship Type="http://schemas.openxmlformats.org/officeDocument/2006/relationships/hyperlink" Id="rId44" Target="https://doi.org/10.1073/pnas.2002713117" TargetMode="External" /><Relationship Type="http://schemas.openxmlformats.org/officeDocument/2006/relationships/hyperlink" Id="rId64"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2"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97" Target="https://doi.org/10.6073/PASTA/213335F5DAA17222A738C105B9FA60C4" TargetMode="External" /><Relationship Type="http://schemas.openxmlformats.org/officeDocument/2006/relationships/hyperlink" Id="rId99" Target="https://doi.org/10.6073/PASTA/69E92642B512897032446CFE795CFFB8" TargetMode="External" /><Relationship Type="http://schemas.openxmlformats.org/officeDocument/2006/relationships/hyperlink" Id="rId31" Target="https://forestgeo.github.io/Climate/" TargetMode="External" /><Relationship Type="http://schemas.openxmlformats.org/officeDocument/2006/relationships/hyperlink" Id="rId38" Target="https://mc-stan.org"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2021-11-13T16:14:27Z</dcterms:created>
  <dcterms:modified xsi:type="dcterms:W3CDTF">2021-11-13T16:14:27Z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