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0"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rPr>
          <w:bCs/>
          <w:b/>
          <w:vertAlign w:val="superscript"/>
        </w:rPr>
        <w:t xml:space="preserve">lempereur_growth_2015?</w:t>
      </w:r>
      <w:r>
        <w:t xml:space="preserve">.</w:t>
      </w:r>
      <w:r>
        <w:t xml:space="preserve"> </w:t>
      </w:r>
      <w:r>
        <w:t xml:space="preserve">However, warmer summer and autumn temperatures and drought led to a delay of leaf senescence</w:t>
      </w:r>
      <w:r>
        <w:rPr>
          <w:vertAlign w:val="superscript"/>
        </w:rPr>
        <w:t xml:space="preserve">1,6,8,9,17,23,</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 As a result, warming may advance or delay autumn senescence,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w:t>
      </w:r>
      <w:r>
        <w:t xml:space="preserve">;;</w:t>
      </w:r>
      <w:r>
        <w:rPr>
          <w:vertAlign w:val="superscript"/>
        </w:rPr>
        <w:t xml:space="preserve">6</w:t>
      </w:r>
      <w:r>
        <w:t xml:space="preserve">;;</w:t>
      </w:r>
      <w:r>
        <w:rPr>
          <w:vertAlign w:val="superscript"/>
        </w:rPr>
        <w:t xml:space="preserve">5</w:t>
      </w:r>
      <w:r>
        <w:t xml:space="preserve">;</w:t>
      </w:r>
      <w:r>
        <w:rPr>
          <w:vertAlign w:val="superscript"/>
        </w:rPr>
        <w:t xml:space="preserve">4</w:t>
      </w:r>
      <w:r>
        <w:t xml:space="preserve">] 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Cs/>
          <w:b/>
          <w:vertAlign w:val="superscript"/>
        </w:rPr>
        <w:t xml:space="preserve">lempereur_growth_2015?</w:t>
      </w:r>
      <w:r>
        <w:t xml:space="preserve"> </w:t>
      </w:r>
      <w:r>
        <w:t xml:space="preserve">or sink factors become limiting</w:t>
      </w:r>
      <w:r>
        <w:rPr>
          <w:vertAlign w:val="superscript"/>
        </w:rPr>
        <w:t xml:space="preserve">18,</w:t>
      </w:r>
      <w:r>
        <w:rPr>
          <w:bCs/>
          <w:b/>
          <w:vertAlign w:val="superscript"/>
        </w:rPr>
        <w:t xml:space="preserve">zohner_how_2021?</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Zohner et al, (2020)</w:t>
      </w:r>
      <w:r>
        <w:rPr>
          <w:bCs/>
          <w:b/>
          <w:vertAlign w:val="superscript"/>
        </w:rPr>
        <w:t xml:space="preserve">zohner_how_2021?</w:t>
      </w:r>
      <w:r>
        <w:t xml:space="preserve"> </w:t>
      </w:r>
      <w:r>
        <w:t xml:space="preserve">found that under controled conditions, spring warming increases biomass accumulation in trees, with a larger proportion of root compared to shoot growth. The authors also found evidence of sink limitation in autumn, even with controlled water and fertilizer application to the study trees. To our knowledge, the link between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Cs/>
          <w:b/>
          <w:vertAlign w:val="superscript"/>
        </w:rPr>
        <w:t xml:space="preserve">doranngeville_radial_inreview?</w:t>
      </w:r>
      <w:r>
        <w:rPr>
          <w:vertAlign w:val="superscript"/>
        </w:rPr>
        <w:t xml:space="preserve">,</w:t>
      </w:r>
      <w:r>
        <w:rPr>
          <w:bCs/>
          <w:b/>
          <w:vertAlign w:val="superscript"/>
        </w:rPr>
        <w:t xml:space="preserve">martin_hydrometeorology_2017?</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HF,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6">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rPr>
                <m:sty m:val="p"/>
              </m:rPr>
              <m:t>∘</m:t>
            </m:r>
          </m:sup>
        </m:sSup>
      </m:oMath>
      <w:r>
        <w:t xml:space="preserve">C range in</w:t>
      </w:r>
      <w:r>
        <w:t xml:space="preserve"> </w:t>
      </w:r>
      <w:r>
        <w:rPr>
          <w:strike/>
        </w:rPr>
        <w:t xml:space="preserve">CTW</w:t>
      </w:r>
      <w:r>
        <w:t xml:space="preserve"> </w:t>
      </w:r>
      <w:r>
        <w:t xml:space="preserve">April</w:t>
      </w:r>
      <w:r>
        <w:t xml:space="preserve"> </w:t>
      </w:r>
      <m:oMath>
        <m:sSub>
          <m:e>
            <m:r>
              <m:t>T</m:t>
            </m:r>
          </m:e>
          <m:sub>
            <m:r>
              <m:t>m</m:t>
            </m:r>
            <m:r>
              <m:t>a</m:t>
            </m:r>
            <m:r>
              <m:t>x</m:t>
            </m:r>
          </m:sub>
        </m:sSub>
      </m:oMath>
      <w:r>
        <w:t xml:space="preserve"> </w:t>
      </w:r>
      <w:r>
        <w:t xml:space="preserve">(</w:t>
      </w:r>
      <w:r>
        <w:rPr>
          <w:bCs/>
          <w:b/>
        </w:rPr>
        <w:t xml:space="preserve">Cam, please confirm this change</w:t>
      </w:r>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7"/>
    <w:bookmarkStart w:id="29"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bCs/>
          <w:b/>
          <w:vertAlign w:val="superscript"/>
        </w:rPr>
        <w:t xml:space="preserve">lempereur_growth_2015?</w:t>
      </w:r>
      <w:r>
        <w:t xml:space="preserve">.</w:t>
      </w:r>
    </w:p>
    <w:p>
      <w:pPr>
        <w:pStyle w:val="BodyText"/>
      </w:pPr>
      <w:r>
        <w:t xml:space="preserve">Spring warming at SCBI and HF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31</w:t>
      </w:r>
      <w:r>
        <w:rPr>
          <w:iCs/>
          <w:i/>
        </w:rPr>
        <w:t xml:space="preserve">, potentially contributing to observed trends of declining drought sensitivity in the region</w:t>
      </w:r>
      <w:r>
        <w:rPr>
          <w:vertAlign w:val="superscript"/>
          <w:iCs/>
          <w:i/>
        </w:rPr>
        <w:t xml:space="preserve">16,27,32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Cs/>
          <w:i/>
        </w:rPr>
        <w:t xml:space="preserve">we can easily test this:</w:t>
      </w:r>
      <w:r>
        <w:rPr>
          <w:iCs/>
          <w:i/>
        </w:rPr>
        <w:t xml:space="preserve"> </w:t>
      </w:r>
      <w:hyperlink r:id="rId28">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photosynthesis is</w:t>
      </w:r>
      <w:r>
        <w:rPr>
          <w:bCs/>
          <w:b/>
          <w:vertAlign w:val="superscript"/>
        </w:rPr>
        <w:t xml:space="preserve">muller_water_2011?</w:t>
      </w:r>
      <w:r>
        <w:t xml:space="preserve">. This seems to promote the investment of sequestered carbon into root growth in times of drought stress. Zoehner et al 2021</w:t>
      </w:r>
      <w:r>
        <w:rPr>
          <w:bCs/>
          <w:b/>
          <w:vertAlign w:val="superscript"/>
        </w:rPr>
        <w:t xml:space="preserve">zohner_how_2021?</w:t>
      </w:r>
      <w:r>
        <w:t xml:space="preserve">, found that the proportion of root-to-stem growth increased under spring warming, suggesting that increased ecosystem sequestration resulting from spring warming may be promoting the growth of below-ground biomass. However, this study was done under tightly controlled conditions within potted plants and does not represent the environmental conditions of forests like our study does.</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w:t>
      </w:r>
      <w:r>
        <w:t xml:space="preserve"> </w:t>
      </w:r>
      <w:r>
        <w:rPr>
          <w:iCs/>
          <w:i/>
        </w:rPr>
        <w:t xml:space="preserve">(This study only considered a time frame of a year or less?)</w:t>
      </w:r>
      <w:r>
        <w:t xml:space="preserv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16,</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29"/>
    <w:bookmarkEnd w:id="30"/>
    <w:bookmarkStart w:id="43"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1"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1"/>
    <w:bookmarkStart w:id="39" w:name="Data"/>
    <w:p>
      <w:pPr>
        <w:pStyle w:val="Heading2"/>
      </w:pPr>
      <w:r>
        <w:t xml:space="preserve">Data collection and preparation</w:t>
      </w:r>
    </w:p>
    <w:bookmarkStart w:id="32"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2"/>
    <w:bookmarkStart w:id="34"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3">
        <w:r>
          <w:rPr>
            <w:rStyle w:val="Hyperlink"/>
          </w:rPr>
          <w:t xml:space="preserve">https://developers.google.com/earth-engine/datasets/catalog/MODIS_006_MCD12Q2#description</w:t>
        </w:r>
      </w:hyperlink>
    </w:p>
    <w:bookmarkEnd w:id="34"/>
    <w:bookmarkStart w:id="35"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5"/>
    <w:bookmarkStart w:id="38"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6">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7">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8"/>
    <w:bookmarkEnd w:id="39"/>
    <w:bookmarkStart w:id="42" w:name="analyses"/>
    <w:p>
      <w:pPr>
        <w:pStyle w:val="Heading2"/>
      </w:pPr>
      <w:r>
        <w:rPr>
          <w:rStyle w:val="SectionNumber"/>
        </w:rPr>
        <w:t xml:space="preserve">1.1</w:t>
      </w:r>
      <w:r>
        <w:tab/>
      </w:r>
      <w:r>
        <w:t xml:space="preserve">Analyses</w:t>
      </w:r>
    </w:p>
    <w:bookmarkStart w:id="40"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0"/>
    <w:bookmarkStart w:id="41"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1"/>
    <w:bookmarkEnd w:id="42"/>
    <w:bookmarkEnd w:id="43"/>
    <w:bookmarkStart w:id="44"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4"/>
    <w:bookmarkStart w:id="45" w:name="Author"/>
    <w:p>
      <w:pPr>
        <w:pStyle w:val="Heading1"/>
      </w:pPr>
      <w:r>
        <w:t xml:space="preserve">Author Contributions</w:t>
      </w:r>
    </w:p>
    <w:bookmarkEnd w:id="45"/>
    <w:bookmarkStart w:id="4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6"/>
    <w:bookmarkStart w:id="99" w:name="References"/>
    <w:p>
      <w:pPr>
        <w:pStyle w:val="Heading1"/>
      </w:pPr>
      <w:r>
        <w:t xml:space="preserve">References</w:t>
      </w:r>
    </w:p>
    <w:bookmarkStart w:id="98" w:name="refs"/>
    <w:bookmarkStart w:id="4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7"/>
    <w:bookmarkStart w:id="48"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8"/>
    <w:bookmarkStart w:id="49"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9"/>
    <w:bookmarkStart w:id="50"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0"/>
    <w:bookmarkStart w:id="51"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1"/>
    <w:bookmarkStart w:id="52"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2"/>
    <w:bookmarkStart w:id="53"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3"/>
    <w:bookmarkStart w:id="54"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4"/>
    <w:bookmarkStart w:id="55"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5"/>
    <w:bookmarkStart w:id="56"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6"/>
    <w:bookmarkStart w:id="57"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7"/>
    <w:bookmarkStart w:id="58"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8"/>
    <w:bookmarkStart w:id="59"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9"/>
    <w:bookmarkStart w:id="60"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0"/>
    <w:bookmarkStart w:id="62"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1">
        <w:r>
          <w:rPr>
            <w:rStyle w:val="Hyperlink"/>
          </w:rPr>
          <w:t xml:space="preserve">10.1088/1748-9326/abed01</w:t>
        </w:r>
      </w:hyperlink>
      <w:r>
        <w:t xml:space="preserve">.</w:t>
      </w:r>
    </w:p>
    <w:bookmarkEnd w:id="62"/>
    <w:bookmarkStart w:id="63"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3"/>
    <w:bookmarkStart w:id="64"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4"/>
    <w:bookmarkStart w:id="65"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68"/>
    <w:bookmarkStart w:id="69"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9"/>
    <w:bookmarkStart w:id="70"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0"/>
    <w:bookmarkStart w:id="71"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1"/>
    <w:bookmarkStart w:id="72"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4"/>
    <w:bookmarkStart w:id="75"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5"/>
    <w:bookmarkStart w:id="76"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6"/>
    <w:bookmarkStart w:id="77"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7"/>
    <w:bookmarkStart w:id="78"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8"/>
    <w:bookmarkStart w:id="79"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9"/>
    <w:bookmarkStart w:id="80"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0"/>
    <w:bookmarkStart w:id="81"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1"/>
    <w:bookmarkStart w:id="82"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2"/>
    <w:bookmarkStart w:id="84"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6"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5">
        <w:r>
          <w:rPr>
            <w:rStyle w:val="Hyperlink"/>
          </w:rPr>
          <w:t xml:space="preserve">10.5067/MODIS/MCD12Q2.006</w:t>
        </w:r>
      </w:hyperlink>
      <w:r>
        <w:t xml:space="preserve">.</w:t>
      </w:r>
    </w:p>
    <w:bookmarkEnd w:id="86"/>
    <w:bookmarkStart w:id="87"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7"/>
    <w:bookmarkStart w:id="88"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8"/>
    <w:bookmarkStart w:id="90"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89">
        <w:r>
          <w:rPr>
            <w:rStyle w:val="Hyperlink"/>
          </w:rPr>
          <w:t xml:space="preserve">10.1007/978-94-015-7879-0</w:t>
        </w:r>
      </w:hyperlink>
      <w:r>
        <w:t xml:space="preserve">.</w:t>
      </w:r>
    </w:p>
    <w:bookmarkEnd w:id="90"/>
    <w:bookmarkStart w:id="91"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1"/>
    <w:bookmarkStart w:id="92"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2"/>
    <w:bookmarkStart w:id="94"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3">
        <w:r>
          <w:rPr>
            <w:rStyle w:val="Hyperlink"/>
          </w:rPr>
          <w:t xml:space="preserve">10.5281/ZENODO.4041609</w:t>
        </w:r>
      </w:hyperlink>
      <w:r>
        <w:t xml:space="preserve">.</w:t>
      </w:r>
    </w:p>
    <w:bookmarkEnd w:id="94"/>
    <w:bookmarkStart w:id="95"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5"/>
    <w:bookmarkStart w:id="96"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6"/>
    <w:bookmarkStart w:id="97"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7"/>
    <w:bookmarkEnd w:id="98"/>
    <w:bookmarkEnd w:id="99"/>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3" Target="https://developers.google.com/earth-engine/datasets/catalog/MODIS_006_MCD12Q2#description" TargetMode="External" /><Relationship Type="http://schemas.openxmlformats.org/officeDocument/2006/relationships/hyperlink" Id="rId89" Target="https://doi.org/10.1007/978-94-015-7879-0" TargetMode="External" /><Relationship Type="http://schemas.openxmlformats.org/officeDocument/2006/relationships/hyperlink" Id="rId61" Target="https://doi.org/10.1088/1748-9326/abed01" TargetMode="External" /><Relationship Type="http://schemas.openxmlformats.org/officeDocument/2006/relationships/hyperlink" Id="rId83"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93" Target="https://doi.org/10.5281/ZENODO.4041609" TargetMode="External" /><Relationship Type="http://schemas.openxmlformats.org/officeDocument/2006/relationships/hyperlink" Id="rId36"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37"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3" Target="https://developers.google.com/earth-engine/datasets/catalog/MODIS_006_MCD12Q2#description" TargetMode="External" /><Relationship Type="http://schemas.openxmlformats.org/officeDocument/2006/relationships/hyperlink" Id="rId89" Target="https://doi.org/10.1007/978-94-015-7879-0" TargetMode="External" /><Relationship Type="http://schemas.openxmlformats.org/officeDocument/2006/relationships/hyperlink" Id="rId61" Target="https://doi.org/10.1088/1748-9326/abed01" TargetMode="External" /><Relationship Type="http://schemas.openxmlformats.org/officeDocument/2006/relationships/hyperlink" Id="rId83"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93" Target="https://doi.org/10.5281/ZENODO.4041609" TargetMode="External" /><Relationship Type="http://schemas.openxmlformats.org/officeDocument/2006/relationships/hyperlink" Id="rId36"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37"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2021-09-17T15:22:41Z</dcterms:created>
  <dcterms:modified xsi:type="dcterms:W3CDTF">2021-09-17T15:22:41Z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