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vertAlign w:val="superscript"/>
          <w:bCs/>
          <w:b/>
        </w:rPr>
        <w:t xml:space="preserve"> </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vertAlign w:val="superscript"/>
          <w:bCs/>
          <w:b/>
        </w:rPr>
        <w:t xml:space="preserve"> </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vertAlign w:val="superscript"/>
          <w:bCs/>
          <w:b/>
        </w:rPr>
        <w:t xml:space="preserve"> </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rPr>
          <w:vertAlign w:val="superscript"/>
        </w:rPr>
        <w:t xml:space="preserve">14</w:t>
      </w:r>
      <w:r>
        <w:t xml:space="preserve">.</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rPr>
          <w:vertAlign w:val="superscript"/>
        </w:rPr>
        <w:t xml:space="preserve"> </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 Extended Data Figure 1)</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2).</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3-4).</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3-4).</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3-4).</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3).</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5;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rPr>
          <w:vertAlign w:val="superscript"/>
        </w:rPr>
        <w:t xml:space="preserve"> </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1)</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1)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sSup>
                <m:e>
                  <m:d>
                    <m:dPr>
                      <m:begChr m:val="["/>
                      <m:endChr m:val="]"/>
                      <m:sepChr m:val=""/>
                      <m:grow/>
                    </m:dPr>
                    <m:e>
                      <m:r>
                        <m:rPr>
                          <m:sty m:val="p"/>
                        </m:rPr>
                        <m:t>−</m:t>
                      </m:r>
                      <m:r>
                        <m:t>r</m:t>
                      </m:r>
                      <m:d>
                        <m:dPr>
                          <m:begChr m:val="("/>
                          <m:endChr m:val=")"/>
                          <m:sepChr m:val=""/>
                          <m:grow/>
                        </m:dPr>
                        <m:e>
                          <m:r>
                            <m:t>D</m:t>
                          </m:r>
                          <m:r>
                            <m:t>O</m:t>
                          </m:r>
                          <m:r>
                            <m:t>Y</m:t>
                          </m:r>
                          <m:r>
                            <m:rPr>
                              <m:sty m:val="p"/>
                            </m:rPr>
                            <m:t>−</m:t>
                          </m:r>
                          <m:r>
                            <m:t>D</m:t>
                          </m:r>
                          <m:r>
                            <m:t>O</m:t>
                          </m:r>
                          <m:sSub>
                            <m:e>
                              <m:r>
                                <m:t>Y</m:t>
                              </m:r>
                            </m:e>
                            <m:sub>
                              <m:r>
                                <m:t>i</m:t>
                              </m:r>
                              <m:r>
                                <m:t>p</m:t>
                              </m:r>
                            </m:sub>
                          </m:sSub>
                        </m:e>
                      </m:d>
                      <m:r>
                        <m:rPr>
                          <m:sty m:val="p"/>
                        </m:rPr>
                        <m:t>/</m:t>
                      </m:r>
                      <m:r>
                        <m:t>θ</m:t>
                      </m:r>
                    </m:e>
                  </m:d>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V49_1b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Analyses and SCBI data collection were funded by the Smithsonian Institution (ForestGEO - Smithsonian Tropical Research Institute, Smithsonian’s National Zoo &amp; Conservation Biology Institute, and Scholarly Studies, Competitive Grants Program for Science, and Grand Challenges Award Program grants to KJAT).</w:t>
      </w:r>
      <w:r>
        <w:t xml:space="preserve"> </w:t>
      </w:r>
      <w:r>
        <w:t xml:space="preserve">Collection of tree-ring samples was funded by USDA Agriculture and Food Research Initiative grant 2017-67013-26191 (to JTM), National Science Foundation grants #1805276 (to GLH) and #1805617 (to JTM), and from the Indiana University Vice Provost for Research Faculty Research Program (to JTM).</w:t>
      </w:r>
      <w:r>
        <w:t xml:space="preserve"> </w:t>
      </w:r>
      <w:r>
        <w:t xml:space="preserve">LD received funding from the Natural Sciences and Engineering Research Council of Canada (DG RGPIN-2019-04353) and New Brunswick Innovation Foundation (RIF 2019-029).</w:t>
      </w:r>
      <w:r>
        <w:t xml:space="preserve"> </w:t>
      </w:r>
      <w:r>
        <w:t xml:space="preserve">SMM was partially funded by NSF RAPID-2030862.</w:t>
      </w:r>
      <w:r>
        <w:t xml:space="preserve"> </w:t>
      </w:r>
      <w:r>
        <w:t xml:space="preserve">IRM was supported by a NASA FINESST grant 80NSSC20K1661P00001.</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 10.5281/zenodo.6632090).</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5"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Mixed effects models were run with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 (source code available at</w:t>
      </w:r>
      <w:r>
        <w:t xml:space="preserve"> </w:t>
      </w:r>
      <w:hyperlink r:id="rId53">
        <w:r>
          <w:rPr>
            <w:rStyle w:val="Hyperlink"/>
          </w:rPr>
          <w:t xml:space="preserve">https://github.com/EcoClimLab/growth_phenology#steps-to-replicate-the-analysis</w:t>
        </w:r>
      </w:hyperlink>
      <w:r>
        <w:t xml:space="preserve">).</w:t>
      </w:r>
      <w:r>
        <w:t xml:space="preserve"> </w:t>
      </w:r>
      <w:r>
        <w:t xml:space="preserve">Tree-ring chronologies were developed using the program ARSTAN V49_1b (</w:t>
      </w:r>
      <w:hyperlink r:id="rId54">
        <w:r>
          <w:rPr>
            <w:rStyle w:val="Hyperlink"/>
          </w:rPr>
          <w:t xml:space="preserve">https://www.geog.cam.ac.uk/research/projects/dendrosoftware/</w:t>
        </w:r>
      </w:hyperlink>
      <w:r>
        <w:t xml:space="preserve">).</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 10.5281/zenodo.6632090).</w:t>
      </w:r>
    </w:p>
    <w:bookmarkEnd w:id="55"/>
    <w:bookmarkStart w:id="56"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6"/>
    <w:bookmarkStart w:id="57"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3.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5,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7"/>
    <w:bookmarkStart w:id="205" w:name="legends-for-extended-data-table-figures"/>
    <w:p>
      <w:pPr>
        <w:pStyle w:val="Heading1"/>
      </w:pPr>
      <w:r>
        <w:t xml:space="preserve">Legends for Extended Data Table &amp; Figures</w:t>
      </w:r>
    </w:p>
    <w:p>
      <w:pPr>
        <w:pStyle w:val="FirstParagraph"/>
      </w:pPr>
      <w:r>
        <w:rPr>
          <w:bCs/>
          <w:b/>
        </w:rPr>
        <w:t xml:space="preserve">Extended Data Table 1 | Dominant broadleaf deciduous species at the Smithsonian Conservation Biology Institute (SCBI) and Harvard Forest, along with sample sizes included in our final analysis.</w:t>
      </w:r>
    </w:p>
    <w:p>
      <w:pPr>
        <w:pStyle w:val="BodyText"/>
      </w:pPr>
      <w:r>
        <w:rPr>
          <w:bCs/>
          <w:b/>
        </w:rPr>
        <w:t xml:space="preserve">Extended Data Table 2 | Summary of parameters describing the seasonality and temperature sensitivity of broadleaf deciduous tree woody growth and canopy phenology at the Smithsonian Conservation Biology Institute (SCBI) and Harvard Forest.</w:t>
      </w:r>
      <w:r>
        <w:t xml:space="preserve"> </w:t>
      </w:r>
      <w:r>
        <w:t xml:space="preserve">Temperature sensitivity refers to the sensitivity of a parameter to the mean maximum temperature (</w:t>
      </w:r>
      <w:r>
        <w:rPr>
          <w:iCs/>
          <w:i/>
        </w:rPr>
        <w:t xml:space="preserve">T</w:t>
      </w:r>
      <w:r>
        <w:rPr>
          <w:vertAlign w:val="subscript"/>
          <w:iCs/>
          <w:i/>
        </w:rPr>
        <w:t xml:space="preserve">max</w:t>
      </w:r>
      <w:r>
        <w:t xml:space="preserve">) during the critical temperature window (</w:t>
      </w:r>
      <w:r>
        <w:rPr>
          <w:iCs/>
          <w:i/>
        </w:rPr>
        <w:t xml:space="preserve">CTW</w:t>
      </w:r>
      <w:r>
        <w:t xml:space="preserve">, Fig. 1). Because leaf phenology measurements were derived from satellite imagery and included both ring- and diffuse-porous trees, the selection of a critical window was less straightforward. We used the</w:t>
      </w:r>
      <w:r>
        <w:t xml:space="preserve"> </w:t>
      </w:r>
      <w:r>
        <w:rPr>
          <w:iCs/>
          <w:i/>
        </w:rPr>
        <w:t xml:space="preserve">CTW</w:t>
      </w:r>
      <w:r>
        <w:t xml:space="preserve"> </w:t>
      </w:r>
      <w:r>
        <w:t xml:space="preserve">of the porosity group containing the dominant canopy species at each site:</w:t>
      </w:r>
      <w:r>
        <w:t xml:space="preserve"> </w:t>
      </w:r>
      <w:r>
        <w:rPr>
          <w:iCs/>
          <w:i/>
        </w:rPr>
        <w:t xml:space="preserve">Liriodendron tulipifera</w:t>
      </w:r>
      <w:r>
        <w:t xml:space="preserve"> </w:t>
      </w:r>
      <w:r>
        <w:t xml:space="preserve">(diffuse porous) at SCBI and</w:t>
      </w:r>
      <w:r>
        <w:t xml:space="preserve"> </w:t>
      </w:r>
      <w:r>
        <w:rPr>
          <w:iCs/>
          <w:i/>
        </w:rPr>
        <w:t xml:space="preserve">Quercus rubra</w:t>
      </w:r>
      <w:r>
        <w:t xml:space="preserve"> </w:t>
      </w:r>
      <w:r>
        <w:t xml:space="preserve">(ring porous) at Harvard Forest.</w:t>
      </w:r>
    </w:p>
    <w:p>
      <w:pPr>
        <w:pStyle w:val="BodyText"/>
      </w:pPr>
      <w:r>
        <w:rPr>
          <w:bCs/>
          <w:b/>
        </w:rPr>
        <w:t xml:space="preserve">Extended Data Table 3 | Summary of tree-ring chronologies analyzed and number of significant (at significance level = 0.05) positive or negative correlations of ring width index to monthly</w:t>
      </w:r>
      <w:r>
        <w:rPr>
          <w:bCs/>
          <w:b/>
        </w:rPr>
        <w:t xml:space="preserve"> </w:t>
      </w:r>
      <w:r>
        <w:rPr>
          <w:iCs/>
          <w:i/>
          <w:bCs/>
          <w:b/>
        </w:rPr>
        <w:t xml:space="preserve">T</w:t>
      </w:r>
      <w:r>
        <w:rPr>
          <w:vertAlign w:val="subscript"/>
          <w:iCs/>
          <w:i/>
          <w:bCs/>
          <w:b/>
        </w:rPr>
        <w:t xml:space="preserve">max</w:t>
      </w:r>
      <w:r>
        <w:rPr>
          <w:bCs/>
          <w:b/>
        </w:rPr>
        <w:t xml:space="preserve"> </w:t>
      </w:r>
      <w:r>
        <w:rPr>
          <w:bCs/>
          <w:b/>
        </w:rPr>
        <w:t xml:space="preserve">in univariate and multivariate analyses.</w:t>
      </w:r>
    </w:p>
    <w:p>
      <w:pPr>
        <w:pStyle w:val="BodyText"/>
      </w:pPr>
      <w:r>
        <w:rPr>
          <w:bCs/>
          <w:b/>
        </w:rPr>
        <w:t xml:space="preserve">Extended Data Figure 1 | Seasonal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DBH (a) and predicted ending DBH (b) were reached. Solid lines represent DBH change attributable to stem growth.</w:t>
      </w:r>
    </w:p>
    <w:p>
      <w:pPr>
        <w:pStyle w:val="BodyText"/>
      </w:pPr>
      <w:r>
        <w:rPr>
          <w:bCs/>
          <w:b/>
        </w:rPr>
        <w:t xml:space="preserve">Extended Data Figure 2 | Landscapes of relationships between the day of year on which 25% of annual growth is achieved (</w:t>
      </w:r>
      <w:r>
        <w:rPr>
          <w:iCs/>
          <w:i/>
          <w:bCs/>
          <w:b/>
        </w:rPr>
        <w:t xml:space="preserve">DOY</w:t>
      </w:r>
      <w:r>
        <w:rPr>
          <w:vertAlign w:val="subscript"/>
          <w:iCs/>
          <w:i/>
          <w:bCs/>
          <w:b/>
        </w:rPr>
        <w:t xml:space="preserve">25</w:t>
      </w:r>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w:r>
        <w:rPr>
          <w:iCs/>
          <w:i/>
        </w:rPr>
        <w:t xml:space="preserve">T</w:t>
      </w:r>
      <w:r>
        <w:rPr>
          <w:vertAlign w:val="subscript"/>
          <w:iCs/>
          <w:i/>
        </w:rPr>
        <w:t xml:space="preserve">max</w:t>
      </w:r>
      <w:r>
        <w:t xml:space="preserve">) and</w:t>
      </w:r>
      <w:r>
        <w:t xml:space="preserve"> </w:t>
      </w:r>
      <w:r>
        <w:rPr>
          <w:iCs/>
          <w:i/>
        </w:rPr>
        <w:t xml:space="preserve">DOY</w:t>
      </w:r>
      <w:r>
        <w:rPr>
          <w:vertAlign w:val="subscript"/>
          <w:iCs/>
          <w:i/>
        </w:rPr>
        <w:t xml:space="preserve">25</w:t>
      </w:r>
      <w:r>
        <w:t xml:space="preserve">. Window Open and Window Close indicate number of weeks prior to</w:t>
      </w:r>
      <w:r>
        <w:t xml:space="preserve"> </w:t>
      </w:r>
      <w:r>
        <w:rPr>
          <w:iCs/>
          <w:i/>
        </w:rPr>
        <w:t xml:space="preserve">DOY</w:t>
      </w:r>
      <w:r>
        <w:rPr>
          <w:vertAlign w:val="subscript"/>
          <w:iCs/>
          <w:i/>
        </w:rPr>
        <w:t xml:space="preserve">25</w:t>
      </w:r>
      <w:r>
        <w:t xml:space="preserve"> </w:t>
      </w:r>
      <w:r>
        <w:t xml:space="preserve">(listed in Extended Data Table 2). Yellow shading indicates neutral relationships, while orange or red shading indicates that</w:t>
      </w:r>
      <w:r>
        <w:t xml:space="preserve"> </w:t>
      </w:r>
      <w:r>
        <w:rPr>
          <w:iCs/>
          <w:i/>
        </w:rPr>
        <w:t xml:space="preserve">DOY</w:t>
      </w:r>
      <w:r>
        <w:rPr>
          <w:vertAlign w:val="subscript"/>
          <w:iCs/>
          <w:i/>
        </w:rPr>
        <w:t xml:space="preserve">25</w:t>
      </w:r>
      <w:r>
        <w:t xml:space="preserve"> </w:t>
      </w:r>
      <w:r>
        <w:t xml:space="preserve">advances with increased</w:t>
      </w:r>
      <w:r>
        <w:t xml:space="preserve"> </w:t>
      </w:r>
      <w:r>
        <w:rPr>
          <w:iCs/>
          <w:i/>
        </w:rPr>
        <w:t xml:space="preserve">T</w:t>
      </w:r>
      <w:r>
        <w:rPr>
          <w:vertAlign w:val="subscript"/>
          <w:iCs/>
          <w:i/>
        </w:rPr>
        <w:t xml:space="preserve">max</w:t>
      </w:r>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w:r>
        <w:rPr>
          <w:iCs/>
          <w:i/>
        </w:rPr>
        <w:t xml:space="preserve">∆AICc</w:t>
      </w:r>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3 | Response of stem growth timing and rates to mean maximum temperatures (</w:t>
      </w:r>
      <w:r>
        <w:rPr>
          <w:iCs/>
          <w:i/>
          <w:bCs/>
          <w:b/>
        </w:rPr>
        <w:t xml:space="preserve">T</w:t>
      </w:r>
      <w:r>
        <w:rPr>
          <w:vertAlign w:val="subscript"/>
          <w:iCs/>
          <w:i/>
          <w:bCs/>
          <w:b/>
        </w:rPr>
        <w:t xml:space="preserve">max</w:t>
      </w:r>
      <w:r>
        <w:rPr>
          <w:bCs/>
          <w:b/>
        </w:rPr>
        <w:t xml:space="preserve">) during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Shown are relationships between mean</w:t>
      </w:r>
      <w:r>
        <w:t xml:space="preserve"> </w:t>
      </w:r>
      <w:r>
        <w:rPr>
          <w:iCs/>
          <w:i/>
        </w:rPr>
        <w:t xml:space="preserve">T</w:t>
      </w:r>
      <w:r>
        <w:rPr>
          <w:vertAlign w:val="subscript"/>
          <w:iCs/>
          <w:i/>
        </w:rPr>
        <w:t xml:space="preserve">max</w:t>
      </w:r>
      <w:r>
        <w:t xml:space="preserve"> </w:t>
      </w:r>
      <w:r>
        <w:t xml:space="preserve">over the</w:t>
      </w:r>
      <w:r>
        <w:t xml:space="preserve"> </w:t>
      </w:r>
      <w:r>
        <w:rPr>
          <w:iCs/>
          <w:i/>
        </w:rPr>
        <w:t xml:space="preserve">CTW</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all declined significantly with mean</w:t>
      </w:r>
      <w:r>
        <w:t xml:space="preserve"> </w:t>
      </w:r>
      <w:r>
        <w:rPr>
          <w:iCs/>
          <w:i/>
        </w:rPr>
        <w:t xml:space="preserve">T</w:t>
      </w:r>
      <w:r>
        <w:rPr>
          <w:vertAlign w:val="subscript"/>
          <w:iCs/>
          <w:i/>
        </w:rPr>
        <w:t xml:space="preserve">max</w:t>
      </w:r>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4 | Response of stem growth timing and rates to mean maximum temperatures (</w:t>
      </w:r>
      <w:r>
        <w:rPr>
          <w:iCs/>
          <w:i/>
          <w:bCs/>
          <w:b/>
        </w:rPr>
        <w:t xml:space="preserve">T</w:t>
      </w:r>
      <w:r>
        <w:rPr>
          <w:vertAlign w:val="subscript"/>
          <w:iCs/>
          <w:i/>
          <w:bCs/>
          <w:b/>
        </w:rPr>
        <w:t xml:space="preserve">max</w:t>
      </w:r>
      <w:r>
        <w:rPr>
          <w:bCs/>
          <w:b/>
        </w:rPr>
        <w:t xml:space="preserve">) for the month most closely corresponding to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and the most closely corresponding month was determined as that with the greatest number of days within the</w:t>
      </w:r>
      <w:r>
        <w:t xml:space="preserve"> </w:t>
      </w:r>
      <w:r>
        <w:rPr>
          <w:iCs/>
          <w:i/>
        </w:rPr>
        <w:t xml:space="preserve">CTW</w:t>
      </w:r>
      <w:r>
        <w:t xml:space="preserve">. Shown are relationships between monthly</w:t>
      </w:r>
      <w:r>
        <w:t xml:space="preserve"> </w:t>
      </w:r>
      <w:r>
        <w:rPr>
          <w:iCs/>
          <w:i/>
        </w:rPr>
        <w:t xml:space="preserve">T</w:t>
      </w:r>
      <w:r>
        <w:rPr>
          <w:vertAlign w:val="subscript"/>
          <w:iCs/>
          <w:i/>
        </w:rPr>
        <w:t xml:space="preserve">max</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declined significantly with April</w:t>
      </w:r>
      <w:r>
        <w:t xml:space="preserve"> </w:t>
      </w:r>
      <w:r>
        <w:rPr>
          <w:iCs/>
          <w:i/>
        </w:rPr>
        <w:t xml:space="preserve">T</w:t>
      </w:r>
      <w:r>
        <w:rPr>
          <w:vertAlign w:val="subscript"/>
          <w:iCs/>
          <w:i/>
        </w:rPr>
        <w:t xml:space="preserve">max</w:t>
      </w:r>
      <w:r>
        <w:t xml:space="preserve">, with the exception of</w:t>
      </w:r>
      <w:r>
        <w:t xml:space="preserve"> </w:t>
      </w:r>
      <w:r>
        <w:rPr>
          <w:iCs/>
          <w:i/>
        </w:rPr>
        <w:t xml:space="preserve">DOY</w:t>
      </w:r>
      <w:r>
        <w:rPr>
          <w:vertAlign w:val="subscript"/>
          <w:iCs/>
          <w:i/>
        </w:rPr>
        <w:t xml:space="preserve">25</w:t>
      </w:r>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5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6 | Sensitivity of annual growth, as derived from tree-rings, to monthly mean minimum temperatures (</w:t>
      </w:r>
      <w:r>
        <w:rPr>
          <w:iCs/>
          <w:i/>
          <w:bCs/>
          <w:b/>
        </w:rPr>
        <w:t xml:space="preserve">T</w:t>
      </w:r>
      <w:r>
        <w:rPr>
          <w:vertAlign w:val="subscript"/>
          <w:iCs/>
          <w:i/>
          <w:bCs/>
          <w:b/>
        </w:rPr>
        <w:t xml:space="preserve">min</w:t>
      </w:r>
      <w:r>
        <w:rPr>
          <w:bCs/>
          <w:b/>
        </w:rPr>
        <w:t xml:space="preserve">),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min</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min</w:t>
      </w:r>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w:r>
        <w:rPr>
          <w:iCs/>
          <w:i/>
        </w:rPr>
        <w:t xml:space="preserve">T</w:t>
      </w:r>
      <w:r>
        <w:rPr>
          <w:vertAlign w:val="subscript"/>
          <w:iCs/>
          <w:i/>
        </w:rPr>
        <w:t xml:space="preserve">min</w:t>
      </w:r>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w:r>
        <w:rPr>
          <w:iCs/>
          <w:i/>
          <w:bCs/>
          <w:b/>
        </w:rPr>
        <w:t xml:space="preserve">T</w:t>
      </w:r>
      <w:r>
        <w:rPr>
          <w:vertAlign w:val="subscript"/>
          <w:iCs/>
          <w:i/>
          <w:bCs/>
          <w:b/>
        </w:rPr>
        <w:t xml:space="preserve">max</w:t>
      </w:r>
      <w:r>
        <w:rPr>
          <w:bCs/>
          <w:b/>
        </w:rPr>
        <w:t xml:space="preserve">) of the current and past year,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204" w:name="refs"/>
    <w:bookmarkStart w:id="59"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w:t>
      </w:r>
      <w:hyperlink r:id="rId58">
        <w:r>
          <w:rPr>
            <w:rStyle w:val="Hyperlink"/>
          </w:rPr>
          <w:t xml:space="preserve">Net carbon uptake has increased through warming-induced changes in temperate forest phenology</w:t>
        </w:r>
      </w:hyperlink>
      <w:r>
        <w:t xml:space="preserve">.</w:t>
      </w:r>
      <w:r>
        <w:t xml:space="preserve"> </w:t>
      </w:r>
      <w:r>
        <w:rPr>
          <w:iCs/>
          <w:i/>
        </w:rPr>
        <w:t xml:space="preserve">Nature Climate Change</w:t>
      </w:r>
      <w:r>
        <w:t xml:space="preserve"> </w:t>
      </w:r>
      <w:r>
        <w:rPr>
          <w:bCs/>
          <w:b/>
        </w:rPr>
        <w:t xml:space="preserve">4</w:t>
      </w:r>
      <w:r>
        <w:t xml:space="preserve">, 598–604 (2014).</w:t>
      </w:r>
    </w:p>
    <w:bookmarkEnd w:id="59"/>
    <w:bookmarkStart w:id="61"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t>
      </w:r>
      <w:hyperlink r:id="rId60">
        <w:r>
          <w:rPr>
            <w:rStyle w:val="Hyperlink"/>
          </w:rPr>
          <w:t xml:space="preserve">Widespread seasonal compensation effects of spring warming on northern plant productivity</w:t>
        </w:r>
      </w:hyperlink>
      <w:r>
        <w:t xml:space="preserve">.</w:t>
      </w:r>
      <w:r>
        <w:t xml:space="preserve"> </w:t>
      </w:r>
      <w:r>
        <w:rPr>
          <w:iCs/>
          <w:i/>
        </w:rPr>
        <w:t xml:space="preserve">Nature</w:t>
      </w:r>
      <w:r>
        <w:t xml:space="preserve"> </w:t>
      </w:r>
      <w:r>
        <w:rPr>
          <w:bCs/>
          <w:b/>
        </w:rPr>
        <w:t xml:space="preserve">562</w:t>
      </w:r>
      <w:r>
        <w:t xml:space="preserve">, 110–114 (2018).</w:t>
      </w:r>
    </w:p>
    <w:bookmarkEnd w:id="61"/>
    <w:bookmarkStart w:id="63"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w:t>
      </w:r>
      <w:hyperlink r:id="rId62">
        <w:r>
          <w:rPr>
            <w:rStyle w:val="Hyperlink"/>
          </w:rPr>
          <w:t xml:space="preserve">Carbon budget of the</w:t>
        </w:r>
        <w:r>
          <w:rPr>
            <w:rStyle w:val="Hyperlink"/>
          </w:rPr>
          <w:t xml:space="preserve"> </w:t>
        </w:r>
        <w:r>
          <w:rPr>
            <w:rStyle w:val="Hyperlink"/>
          </w:rPr>
          <w:t xml:space="preserve">Harvard Forest Long-Term Ecological Research</w:t>
        </w:r>
        <w:r>
          <w:rPr>
            <w:rStyle w:val="Hyperlink"/>
          </w:rPr>
          <w:t xml:space="preserve"> </w:t>
        </w:r>
        <w:r>
          <w:rPr>
            <w:rStyle w:val="Hyperlink"/>
          </w:rPr>
          <w:t xml:space="preserve">site: Pattern, process, and response to global change</w:t>
        </w:r>
      </w:hyperlink>
      <w:r>
        <w:t xml:space="preserve">.</w:t>
      </w:r>
      <w:r>
        <w:t xml:space="preserve"> </w:t>
      </w:r>
      <w:r>
        <w:rPr>
          <w:iCs/>
          <w:i/>
        </w:rPr>
        <w:t xml:space="preserve">Ecological Monographs</w:t>
      </w:r>
      <w:r>
        <w:t xml:space="preserve"> </w:t>
      </w:r>
      <w:r>
        <w:rPr>
          <w:bCs/>
          <w:b/>
        </w:rPr>
        <w:t xml:space="preserve">90</w:t>
      </w:r>
      <w:r>
        <w:t xml:space="preserve">, e01423 (2020).</w:t>
      </w:r>
    </w:p>
    <w:bookmarkEnd w:id="63"/>
    <w:bookmarkStart w:id="65" w:name="ref-keeling_increased_1996"/>
    <w:p>
      <w:pPr>
        <w:pStyle w:val="Bibliography"/>
      </w:pPr>
      <w:r>
        <w:t xml:space="preserve">4.</w:t>
      </w:r>
      <w:r>
        <w:t xml:space="preserve"> </w:t>
      </w:r>
      <w:r>
        <w:t xml:space="preserve">	</w:t>
      </w:r>
      <w:r>
        <w:t xml:space="preserve">Keeling, C. D., Chin, J. F. S. &amp; Whorf, T. P.</w:t>
      </w:r>
      <w:r>
        <w:t xml:space="preserve"> </w:t>
      </w:r>
      <w:hyperlink r:id="rId64">
        <w:r>
          <w:rPr>
            <w:rStyle w:val="Hyperlink"/>
          </w:rPr>
          <w:t xml:space="preserve">Increased activity of northern vegetation inferred from atmospheric</w:t>
        </w:r>
        <w:r>
          <w:rPr>
            <w:rStyle w:val="Hyperlink"/>
          </w:rPr>
          <w:t xml:space="preserve"> </w:t>
        </w:r>
        <w:r>
          <w:rPr>
            <w:rStyle w:val="Hyperlink"/>
          </w:rPr>
          <w:t xml:space="preserve">CO</w:t>
        </w:r>
        <w:r>
          <w:rPr>
            <w:rStyle w:val="Hyperlink"/>
          </w:rPr>
          <w:t xml:space="preserve"> </w:t>
        </w:r>
        <w:r>
          <w:rPr>
            <w:rStyle w:val="Hyperlink"/>
          </w:rPr>
          <w:t xml:space="preserve">2 measurements</w:t>
        </w:r>
      </w:hyperlink>
      <w:r>
        <w:t xml:space="preserve">.</w:t>
      </w:r>
      <w:r>
        <w:t xml:space="preserve"> </w:t>
      </w:r>
      <w:r>
        <w:rPr>
          <w:iCs/>
          <w:i/>
        </w:rPr>
        <w:t xml:space="preserve">Nature</w:t>
      </w:r>
      <w:r>
        <w:t xml:space="preserve"> </w:t>
      </w:r>
      <w:r>
        <w:rPr>
          <w:bCs/>
          <w:b/>
        </w:rPr>
        <w:t xml:space="preserve">382</w:t>
      </w:r>
      <w:r>
        <w:t xml:space="preserve">, 146–149 (1996).</w:t>
      </w:r>
    </w:p>
    <w:bookmarkEnd w:id="65"/>
    <w:bookmarkStart w:id="67"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w:t>
      </w:r>
      <w:hyperlink r:id="rId66">
        <w:r>
          <w:rPr>
            <w:rStyle w:val="Hyperlink"/>
          </w:rPr>
          <w:t xml:space="preserve">Evidence of increased net ecosystem productivity associated with a longer vegetated season in a deciduous forest in south-central</w:t>
        </w:r>
        <w:r>
          <w:rPr>
            <w:rStyle w:val="Hyperlink"/>
          </w:rPr>
          <w:t xml:space="preserve"> </w:t>
        </w:r>
        <w:r>
          <w:rPr>
            <w:rStyle w:val="Hyperlink"/>
          </w:rPr>
          <w:t xml:space="preserve">Indiana</w:t>
        </w:r>
        <w:r>
          <w:rPr>
            <w:rStyle w:val="Hyperlink"/>
          </w:rPr>
          <w:t xml:space="preserve">,</w:t>
        </w:r>
        <w:r>
          <w:rPr>
            <w:rStyle w:val="Hyperlink"/>
          </w:rPr>
          <w:t xml:space="preserve"> </w:t>
        </w:r>
        <w:r>
          <w:rPr>
            <w:rStyle w:val="Hyperlink"/>
          </w:rPr>
          <w:t xml:space="preserve">USA</w:t>
        </w:r>
      </w:hyperlink>
      <w:r>
        <w:t xml:space="preserve">.</w:t>
      </w:r>
      <w:r>
        <w:t xml:space="preserve"> </w:t>
      </w:r>
      <w:r>
        <w:rPr>
          <w:iCs/>
          <w:i/>
        </w:rPr>
        <w:t xml:space="preserve">Global Change Biology</w:t>
      </w:r>
      <w:r>
        <w:t xml:space="preserve"> </w:t>
      </w:r>
      <w:r>
        <w:rPr>
          <w:bCs/>
          <w:b/>
        </w:rPr>
        <w:t xml:space="preserve">17</w:t>
      </w:r>
      <w:r>
        <w:t xml:space="preserve">, 886–897 (2011).</w:t>
      </w:r>
    </w:p>
    <w:bookmarkEnd w:id="67"/>
    <w:bookmarkStart w:id="69"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w:t>
      </w:r>
      <w:hyperlink r:id="rId68">
        <w:r>
          <w:rPr>
            <w:rStyle w:val="Hyperlink"/>
          </w:rPr>
          <w:t xml:space="preserve">Explaining inter-annual variability of gross primary productivity from plant phenology and physiology</w:t>
        </w:r>
      </w:hyperlink>
      <w:r>
        <w:t xml:space="preserve">.</w:t>
      </w:r>
      <w:r>
        <w:t xml:space="preserve"> </w:t>
      </w:r>
      <w:r>
        <w:rPr>
          <w:iCs/>
          <w:i/>
        </w:rPr>
        <w:t xml:space="preserve">Agricultural and Forest Meteorology</w:t>
      </w:r>
      <w:r>
        <w:t xml:space="preserve"> </w:t>
      </w:r>
      <w:r>
        <w:rPr>
          <w:bCs/>
          <w:b/>
        </w:rPr>
        <w:t xml:space="preserve">226–227</w:t>
      </w:r>
      <w:r>
        <w:t xml:space="preserve">, 246–256 (2016).</w:t>
      </w:r>
    </w:p>
    <w:bookmarkEnd w:id="69"/>
    <w:bookmarkStart w:id="71"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w:t>
      </w:r>
      <w:hyperlink r:id="rId70">
        <w:r>
          <w:rPr>
            <w:rStyle w:val="Hyperlink"/>
          </w:rPr>
          <w:t xml:space="preserve">Maximum carbon uptake rate dominates the interannual variability of global net ecosystem exchange</w:t>
        </w:r>
      </w:hyperlink>
      <w:r>
        <w:t xml:space="preserve">.</w:t>
      </w:r>
      <w:r>
        <w:t xml:space="preserve"> </w:t>
      </w:r>
      <w:r>
        <w:rPr>
          <w:iCs/>
          <w:i/>
        </w:rPr>
        <w:t xml:space="preserve">Global Change Biology</w:t>
      </w:r>
      <w:r>
        <w:t xml:space="preserve"> </w:t>
      </w:r>
      <w:r>
        <w:rPr>
          <w:bCs/>
          <w:b/>
        </w:rPr>
        <w:t xml:space="preserve">25</w:t>
      </w:r>
      <w:r>
        <w:t xml:space="preserve">, 3381–3394 (2019).</w:t>
      </w:r>
    </w:p>
    <w:bookmarkEnd w:id="71"/>
    <w:bookmarkStart w:id="73" w:name="ref-savage_coordination_2021"/>
    <w:p>
      <w:pPr>
        <w:pStyle w:val="Bibliography"/>
      </w:pPr>
      <w:r>
        <w:t xml:space="preserve">8.</w:t>
      </w:r>
      <w:r>
        <w:t xml:space="preserve"> </w:t>
      </w:r>
      <w:r>
        <w:t xml:space="preserve">	</w:t>
      </w:r>
      <w:r>
        <w:t xml:space="preserve">Savage, J. A. &amp; Chuine, I.</w:t>
      </w:r>
      <w:r>
        <w:t xml:space="preserve"> </w:t>
      </w:r>
      <w:hyperlink r:id="rId72">
        <w:r>
          <w:rPr>
            <w:rStyle w:val="Hyperlink"/>
          </w:rPr>
          <w:t xml:space="preserve">Coordination of spring vascular and organ phenology in deciduous angiosperms growing in seasonally cold climates</w:t>
        </w:r>
      </w:hyperlink>
      <w:r>
        <w:t xml:space="preserve">.</w:t>
      </w:r>
      <w:r>
        <w:t xml:space="preserve"> </w:t>
      </w:r>
      <w:r>
        <w:rPr>
          <w:iCs/>
          <w:i/>
        </w:rPr>
        <w:t xml:space="preserve">New Phytologist</w:t>
      </w:r>
      <w:r>
        <w:t xml:space="preserve"> </w:t>
      </w:r>
      <w:r>
        <w:rPr>
          <w:bCs/>
          <w:b/>
        </w:rPr>
        <w:t xml:space="preserve">230</w:t>
      </w:r>
      <w:r>
        <w:t xml:space="preserve">, 1700–1715 (2021).</w:t>
      </w:r>
    </w:p>
    <w:bookmarkEnd w:id="73"/>
    <w:bookmarkStart w:id="75"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w:t>
      </w:r>
      <w:hyperlink r:id="rId74">
        <w:r>
          <w:rPr>
            <w:rStyle w:val="Hyperlink"/>
          </w:rPr>
          <w:t xml:space="preserve">Temperate and boreal forest tree phenology: From organ-scale processes to terrestrial ecosystem models</w:t>
        </w:r>
      </w:hyperlink>
      <w:r>
        <w:t xml:space="preserve">.</w:t>
      </w:r>
      <w:r>
        <w:t xml:space="preserve"> </w:t>
      </w:r>
      <w:r>
        <w:rPr>
          <w:iCs/>
          <w:i/>
        </w:rPr>
        <w:t xml:space="preserve">Annals of Forest Science</w:t>
      </w:r>
      <w:r>
        <w:t xml:space="preserve"> </w:t>
      </w:r>
      <w:r>
        <w:rPr>
          <w:bCs/>
          <w:b/>
        </w:rPr>
        <w:t xml:space="preserve">73</w:t>
      </w:r>
      <w:r>
        <w:t xml:space="preserve">, 5–25 (2016).</w:t>
      </w:r>
    </w:p>
    <w:bookmarkEnd w:id="75"/>
    <w:bookmarkStart w:id="77"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w:t>
      </w:r>
      <w:hyperlink r:id="rId76">
        <w:r>
          <w:rPr>
            <w:rStyle w:val="Hyperlink"/>
          </w:rPr>
          <w:t xml:space="preserve">Global patterns of woody residence time and its influence on model simulation of aboveground biomass</w:t>
        </w:r>
      </w:hyperlink>
      <w:r>
        <w:t xml:space="preserve">.</w:t>
      </w:r>
      <w:r>
        <w:t xml:space="preserve"> </w:t>
      </w:r>
      <w:r>
        <w:rPr>
          <w:iCs/>
          <w:i/>
        </w:rPr>
        <w:t xml:space="preserve">Global Biogeochemical Cycles</w:t>
      </w:r>
      <w:r>
        <w:t xml:space="preserve"> </w:t>
      </w:r>
      <w:r>
        <w:rPr>
          <w:bCs/>
          <w:b/>
        </w:rPr>
        <w:t xml:space="preserve">31</w:t>
      </w:r>
      <w:r>
        <w:t xml:space="preserve">, 821–835 (2017).</w:t>
      </w:r>
    </w:p>
    <w:bookmarkEnd w:id="77"/>
    <w:bookmarkStart w:id="79"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w:t>
      </w:r>
      <w:hyperlink r:id="rId78">
        <w:r>
          <w:rPr>
            <w:rStyle w:val="Hyperlink"/>
          </w:rPr>
          <w:t xml:space="preserve">Residence times and decay rates of downed woody debris biomass/carbon in eastern</w:t>
        </w:r>
        <w:r>
          <w:rPr>
            <w:rStyle w:val="Hyperlink"/>
          </w:rPr>
          <w:t xml:space="preserve"> </w:t>
        </w:r>
        <w:r>
          <w:rPr>
            <w:rStyle w:val="Hyperlink"/>
          </w:rPr>
          <w:t xml:space="preserve">US</w:t>
        </w:r>
        <w:r>
          <w:rPr>
            <w:rStyle w:val="Hyperlink"/>
          </w:rPr>
          <w:t xml:space="preserve"> </w:t>
        </w:r>
        <w:r>
          <w:rPr>
            <w:rStyle w:val="Hyperlink"/>
          </w:rPr>
          <w:t xml:space="preserve">forests</w:t>
        </w:r>
      </w:hyperlink>
      <w:r>
        <w:t xml:space="preserve">.</w:t>
      </w:r>
      <w:r>
        <w:t xml:space="preserve"> </w:t>
      </w:r>
      <w:r>
        <w:rPr>
          <w:iCs/>
          <w:i/>
        </w:rPr>
        <w:t xml:space="preserve">Ecosystems</w:t>
      </w:r>
      <w:r>
        <w:t xml:space="preserve"> </w:t>
      </w:r>
      <w:r>
        <w:rPr>
          <w:bCs/>
          <w:b/>
        </w:rPr>
        <w:t xml:space="preserve">17</w:t>
      </w:r>
      <w:r>
        <w:t xml:space="preserve">, 765–777 (2014).</w:t>
      </w:r>
    </w:p>
    <w:bookmarkEnd w:id="79"/>
    <w:bookmarkStart w:id="81"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w:t>
      </w:r>
      <w:hyperlink r:id="rId80">
        <w:r>
          <w:rPr>
            <w:rStyle w:val="Hyperlink"/>
          </w:rPr>
          <w:t xml:space="preserve">Terrestrial biosphere models need better representation of vegetation phenology: Results from the</w:t>
        </w:r>
        <w:r>
          <w:rPr>
            <w:rStyle w:val="Hyperlink"/>
          </w:rPr>
          <w:t xml:space="preserve"> </w:t>
        </w:r>
        <w:r>
          <w:rPr>
            <w:rStyle w:val="Hyperlink"/>
          </w:rPr>
          <w:t xml:space="preserve">North American Carbon Program Site Synthesis</w:t>
        </w:r>
      </w:hyperlink>
      <w:r>
        <w:t xml:space="preserve">.</w:t>
      </w:r>
      <w:r>
        <w:t xml:space="preserve"> </w:t>
      </w:r>
      <w:r>
        <w:rPr>
          <w:iCs/>
          <w:i/>
        </w:rPr>
        <w:t xml:space="preserve">Global Change Biology</w:t>
      </w:r>
      <w:r>
        <w:t xml:space="preserve"> </w:t>
      </w:r>
      <w:r>
        <w:rPr>
          <w:bCs/>
          <w:b/>
        </w:rPr>
        <w:t xml:space="preserve">18</w:t>
      </w:r>
      <w:r>
        <w:t xml:space="preserve">, 566–584 (2012).</w:t>
      </w:r>
    </w:p>
    <w:bookmarkEnd w:id="81"/>
    <w:bookmarkStart w:id="83"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82">
        <w:r>
          <w:rPr>
            <w:rStyle w:val="Hyperlink"/>
          </w:rPr>
          <w:t xml:space="preserve">10.1038/s41558-020-00976-6</w:t>
        </w:r>
      </w:hyperlink>
      <w:r>
        <w:t xml:space="preserve">.</w:t>
      </w:r>
    </w:p>
    <w:bookmarkEnd w:id="83"/>
    <w:bookmarkStart w:id="85"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w:t>
      </w:r>
      <w:hyperlink r:id="rId84">
        <w:r>
          <w:rPr>
            <w:rStyle w:val="Hyperlink"/>
          </w:rPr>
          <w:t xml:space="preserve">Role of forest regrowth in global carbon sink dynamics</w:t>
        </w:r>
      </w:hyperlink>
      <w:r>
        <w:t xml:space="preserve">.</w:t>
      </w:r>
      <w:r>
        <w:t xml:space="preserve"> </w:t>
      </w:r>
      <w:r>
        <w:rPr>
          <w:iCs/>
          <w:i/>
        </w:rPr>
        <w:t xml:space="preserve">Proceedings of the National Academy of Sciences</w:t>
      </w:r>
      <w:r>
        <w:t xml:space="preserve"> </w:t>
      </w:r>
      <w:r>
        <w:rPr>
          <w:bCs/>
          <w:b/>
        </w:rPr>
        <w:t xml:space="preserve">116</w:t>
      </w:r>
      <w:r>
        <w:t xml:space="preserve">, 4382–4387 (2019).</w:t>
      </w:r>
    </w:p>
    <w:bookmarkEnd w:id="85"/>
    <w:bookmarkStart w:id="87" w:name="ref-ahlstrom_robustness_2012"/>
    <w:p>
      <w:pPr>
        <w:pStyle w:val="Bibliography"/>
      </w:pPr>
      <w:r>
        <w:t xml:space="preserve">15.</w:t>
      </w:r>
      <w:r>
        <w:t xml:space="preserve"> </w:t>
      </w:r>
      <w:r>
        <w:t xml:space="preserve">	</w:t>
      </w:r>
      <w:r>
        <w:t xml:space="preserve">Ahlström, A., Schurgers, G., Arneth, A. &amp; Smith, B.</w:t>
      </w:r>
      <w:r>
        <w:t xml:space="preserve"> </w:t>
      </w:r>
      <w:hyperlink r:id="rId86">
        <w:r>
          <w:rPr>
            <w:rStyle w:val="Hyperlink"/>
          </w:rPr>
          <w:t xml:space="preserve">Robustness and uncertainty in terrestrial ecosystem carbon response to</w:t>
        </w:r>
        <w:r>
          <w:rPr>
            <w:rStyle w:val="Hyperlink"/>
          </w:rPr>
          <w:t xml:space="preserve"> </w:t>
        </w:r>
        <w:r>
          <w:rPr>
            <w:rStyle w:val="Hyperlink"/>
          </w:rPr>
          <w:t xml:space="preserve">CMIP5</w:t>
        </w:r>
        <w:r>
          <w:rPr>
            <w:rStyle w:val="Hyperlink"/>
          </w:rPr>
          <w:t xml:space="preserve"> </w:t>
        </w:r>
        <w:r>
          <w:rPr>
            <w:rStyle w:val="Hyperlink"/>
          </w:rPr>
          <w:t xml:space="preserve">climate change projections</w:t>
        </w:r>
      </w:hyperlink>
      <w:r>
        <w:t xml:space="preserve">.</w:t>
      </w:r>
      <w:r>
        <w:t xml:space="preserve"> </w:t>
      </w:r>
      <w:r>
        <w:rPr>
          <w:iCs/>
          <w:i/>
        </w:rPr>
        <w:t xml:space="preserve">Environmental Research Letters</w:t>
      </w:r>
      <w:r>
        <w:t xml:space="preserve"> </w:t>
      </w:r>
      <w:r>
        <w:rPr>
          <w:bCs/>
          <w:b/>
        </w:rPr>
        <w:t xml:space="preserve">7</w:t>
      </w:r>
      <w:r>
        <w:t xml:space="preserve">, 044008 (2012).</w:t>
      </w:r>
    </w:p>
    <w:bookmarkEnd w:id="87"/>
    <w:bookmarkStart w:id="89"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w:t>
      </w:r>
      <w:hyperlink r:id="rId88">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2020</w:t>
        </w:r>
      </w:hyperlink>
      <w:r>
        <w:t xml:space="preserve">.</w:t>
      </w:r>
      <w:r>
        <w:t xml:space="preserve"> </w:t>
      </w:r>
      <w:r>
        <w:rPr>
          <w:iCs/>
          <w:i/>
        </w:rPr>
        <w:t xml:space="preserve">Earth System Science Data</w:t>
      </w:r>
      <w:r>
        <w:t xml:space="preserve"> </w:t>
      </w:r>
      <w:r>
        <w:rPr>
          <w:bCs/>
          <w:b/>
        </w:rPr>
        <w:t xml:space="preserve">12</w:t>
      </w:r>
      <w:r>
        <w:t xml:space="preserve">, 3269–3340 (2020).</w:t>
      </w:r>
    </w:p>
    <w:bookmarkEnd w:id="89"/>
    <w:bookmarkStart w:id="90"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90"/>
    <w:bookmarkStart w:id="92" w:name="ref-lu_no_2022"/>
    <w:p>
      <w:pPr>
        <w:pStyle w:val="Bibliography"/>
      </w:pPr>
      <w:r>
        <w:t xml:space="preserve">18.</w:t>
      </w:r>
      <w:r>
        <w:t xml:space="preserve"> </w:t>
      </w:r>
      <w:r>
        <w:t xml:space="preserve">	</w:t>
      </w:r>
      <w:r>
        <w:t xml:space="preserve">Lu, X. &amp; Keenan, T. F.</w:t>
      </w:r>
      <w:r>
        <w:t xml:space="preserve"> </w:t>
      </w:r>
      <w:hyperlink r:id="rId91">
        <w:r>
          <w:rPr>
            <w:rStyle w:val="Hyperlink"/>
          </w:rPr>
          <w:t xml:space="preserve">No evidence for a negative effect of growing season photosynthesis on leaf senescence timing</w:t>
        </w:r>
      </w:hyperlink>
      <w:r>
        <w:t xml:space="preserve">.</w:t>
      </w:r>
      <w:r>
        <w:t xml:space="preserve"> </w:t>
      </w:r>
      <w:r>
        <w:rPr>
          <w:iCs/>
          <w:i/>
        </w:rPr>
        <w:t xml:space="preserve">Global Change Biology</w:t>
      </w:r>
      <w:r>
        <w:t xml:space="preserve"> </w:t>
      </w:r>
      <w:r>
        <w:rPr>
          <w:bCs/>
          <w:b/>
        </w:rPr>
        <w:t xml:space="preserve">28</w:t>
      </w:r>
      <w:r>
        <w:t xml:space="preserve">, 3083–3093 (2022).</w:t>
      </w:r>
    </w:p>
    <w:bookmarkEnd w:id="92"/>
    <w:bookmarkStart w:id="94"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w:t>
      </w:r>
      <w:hyperlink r:id="rId93">
        <w:r>
          <w:rPr>
            <w:rStyle w:val="Hyperlink"/>
          </w:rPr>
          <w:t xml:space="preserve">The fate of carbon in a mature forest under carbon dioxide enrichment</w:t>
        </w:r>
      </w:hyperlink>
      <w:r>
        <w:t xml:space="preserve">.</w:t>
      </w:r>
      <w:r>
        <w:t xml:space="preserve"> </w:t>
      </w:r>
      <w:r>
        <w:rPr>
          <w:iCs/>
          <w:i/>
        </w:rPr>
        <w:t xml:space="preserve">Nature</w:t>
      </w:r>
      <w:r>
        <w:t xml:space="preserve"> </w:t>
      </w:r>
      <w:r>
        <w:rPr>
          <w:bCs/>
          <w:b/>
        </w:rPr>
        <w:t xml:space="preserve">580</w:t>
      </w:r>
      <w:r>
        <w:t xml:space="preserve">, 227–231 (2020).</w:t>
      </w:r>
    </w:p>
    <w:bookmarkEnd w:id="94"/>
    <w:bookmarkStart w:id="96"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t>
      </w:r>
      <w:hyperlink r:id="rId95">
        <w:r>
          <w:rPr>
            <w:rStyle w:val="Hyperlink"/>
          </w:rPr>
          <w:t xml:space="preserve">Warmer temperatures reduce net carbon uptake, but do not affect water use, in a mature southern</w:t>
        </w:r>
        <w:r>
          <w:rPr>
            <w:rStyle w:val="Hyperlink"/>
          </w:rPr>
          <w:t xml:space="preserve"> </w:t>
        </w:r>
        <w:r>
          <w:rPr>
            <w:rStyle w:val="Hyperlink"/>
          </w:rPr>
          <w:t xml:space="preserve">Appalachian</w:t>
        </w:r>
        <w:r>
          <w:rPr>
            <w:rStyle w:val="Hyperlink"/>
          </w:rPr>
          <w:t xml:space="preserve"> </w:t>
        </w:r>
        <w:r>
          <w:rPr>
            <w:rStyle w:val="Hyperlink"/>
          </w:rPr>
          <w:t xml:space="preserve">forest</w:t>
        </w:r>
      </w:hyperlink>
      <w:r>
        <w:t xml:space="preserve">.</w:t>
      </w:r>
      <w:r>
        <w:t xml:space="preserve"> </w:t>
      </w:r>
      <w:r>
        <w:rPr>
          <w:iCs/>
          <w:i/>
        </w:rPr>
        <w:t xml:space="preserve">Agricultural and Forest Meteorology</w:t>
      </w:r>
      <w:r>
        <w:t xml:space="preserve"> </w:t>
      </w:r>
      <w:r>
        <w:rPr>
          <w:bCs/>
          <w:b/>
        </w:rPr>
        <w:t xml:space="preserve">252</w:t>
      </w:r>
      <w:r>
        <w:t xml:space="preserve">, 269–282 (2018).</w:t>
      </w:r>
    </w:p>
    <w:bookmarkEnd w:id="96"/>
    <w:bookmarkStart w:id="98" w:name="ref-delpierre_wood_2016"/>
    <w:p>
      <w:pPr>
        <w:pStyle w:val="Bibliography"/>
      </w:pPr>
      <w:r>
        <w:t xml:space="preserve">21.</w:t>
      </w:r>
      <w:r>
        <w:t xml:space="preserve"> </w:t>
      </w:r>
      <w:r>
        <w:t xml:space="preserve">	</w:t>
      </w:r>
      <w:r>
        <w:t xml:space="preserve">Delpierre, N., Berveiller, D., Granda, E. &amp; Dufrêne, E.</w:t>
      </w:r>
      <w:r>
        <w:t xml:space="preserve"> </w:t>
      </w:r>
      <w:hyperlink r:id="rId97">
        <w:r>
          <w:rPr>
            <w:rStyle w:val="Hyperlink"/>
          </w:rPr>
          <w:t xml:space="preserve">Wood phenology, not carbon input, controls the interannual variability of wood growth in a temperate oak forest</w:t>
        </w:r>
      </w:hyperlink>
      <w:r>
        <w:t xml:space="preserve">.</w:t>
      </w:r>
      <w:r>
        <w:t xml:space="preserve"> </w:t>
      </w:r>
      <w:r>
        <w:rPr>
          <w:iCs/>
          <w:i/>
        </w:rPr>
        <w:t xml:space="preserve">New Phytologist</w:t>
      </w:r>
      <w:r>
        <w:t xml:space="preserve"> </w:t>
      </w:r>
      <w:r>
        <w:rPr>
          <w:bCs/>
          <w:b/>
        </w:rPr>
        <w:t xml:space="preserve">210</w:t>
      </w:r>
      <w:r>
        <w:t xml:space="preserve">, 459–470 (2016).</w:t>
      </w:r>
    </w:p>
    <w:bookmarkEnd w:id="98"/>
    <w:bookmarkStart w:id="100"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w:t>
      </w:r>
      <w:hyperlink r:id="rId99">
        <w:r>
          <w:rPr>
            <w:rStyle w:val="Hyperlink"/>
          </w:rPr>
          <w:t xml:space="preserve">Photoperiod and temperature as dominant environmental drivers triggering secondary growth resumption in</w:t>
        </w:r>
        <w:r>
          <w:rPr>
            <w:rStyle w:val="Hyperlink"/>
          </w:rPr>
          <w:t xml:space="preserve"> </w:t>
        </w:r>
        <w:r>
          <w:rPr>
            <w:rStyle w:val="Hyperlink"/>
          </w:rPr>
          <w:t xml:space="preserve">Northern Hemisphere</w:t>
        </w:r>
        <w:r>
          <w:rPr>
            <w:rStyle w:val="Hyperlink"/>
          </w:rPr>
          <w:t xml:space="preserve"> </w:t>
        </w:r>
        <w:r>
          <w:rPr>
            <w:rStyle w:val="Hyperlink"/>
          </w:rPr>
          <w:t xml:space="preserve">conifers</w:t>
        </w:r>
      </w:hyperlink>
      <w:r>
        <w:t xml:space="preserve">.</w:t>
      </w:r>
      <w:r>
        <w:t xml:space="preserve"> </w:t>
      </w:r>
      <w:r>
        <w:rPr>
          <w:iCs/>
          <w:i/>
        </w:rPr>
        <w:t xml:space="preserve">Proceedings of the National Academy of Sciences</w:t>
      </w:r>
      <w:r>
        <w:t xml:space="preserve"> </w:t>
      </w:r>
      <w:r>
        <w:rPr>
          <w:bCs/>
          <w:b/>
        </w:rPr>
        <w:t xml:space="preserve">117</w:t>
      </w:r>
      <w:r>
        <w:t xml:space="preserve">, 20645–20652 (2020).</w:t>
      </w:r>
    </w:p>
    <w:bookmarkEnd w:id="100"/>
    <w:bookmarkStart w:id="102"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w:t>
      </w:r>
      <w:hyperlink r:id="rId101">
        <w:r>
          <w:rPr>
            <w:rStyle w:val="Hyperlink"/>
          </w:rPr>
          <w:t xml:space="preserve">Critical temperatures for xylogenesis in conifers of cold climates</w:t>
        </w:r>
      </w:hyperlink>
      <w:r>
        <w:t xml:space="preserve">.</w:t>
      </w:r>
      <w:r>
        <w:t xml:space="preserve"> </w:t>
      </w:r>
      <w:r>
        <w:rPr>
          <w:iCs/>
          <w:i/>
        </w:rPr>
        <w:t xml:space="preserve">Global Ecology and Biogeography</w:t>
      </w:r>
      <w:r>
        <w:t xml:space="preserve"> </w:t>
      </w:r>
      <w:r>
        <w:rPr>
          <w:bCs/>
          <w:b/>
        </w:rPr>
        <w:t xml:space="preserve">17</w:t>
      </w:r>
      <w:r>
        <w:t xml:space="preserve">, 696–707 (2008).</w:t>
      </w:r>
    </w:p>
    <w:bookmarkEnd w:id="102"/>
    <w:bookmarkStart w:id="104"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w:t>
      </w:r>
      <w:hyperlink r:id="rId103">
        <w:r>
          <w:rPr>
            <w:rStyle w:val="Hyperlink"/>
          </w:rPr>
          <w:t xml:space="preserve">Twentieth century redistribution in climatic drivers of global tree growth</w:t>
        </w:r>
      </w:hyperlink>
      <w:r>
        <w:t xml:space="preserve">.</w:t>
      </w:r>
      <w:r>
        <w:t xml:space="preserve"> </w:t>
      </w:r>
      <w:r>
        <w:rPr>
          <w:iCs/>
          <w:i/>
        </w:rPr>
        <w:t xml:space="preserve">Science Advances</w:t>
      </w:r>
      <w:r>
        <w:t xml:space="preserve"> </w:t>
      </w:r>
      <w:r>
        <w:rPr>
          <w:bCs/>
          <w:b/>
        </w:rPr>
        <w:t xml:space="preserve">5</w:t>
      </w:r>
      <w:r>
        <w:t xml:space="preserve">, eaat4313 (2019).</w:t>
      </w:r>
    </w:p>
    <w:bookmarkEnd w:id="104"/>
    <w:bookmarkStart w:id="106"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105">
        <w:r>
          <w:rPr>
            <w:rStyle w:val="Hyperlink"/>
          </w:rPr>
          <w:t xml:space="preserve">10.1038/s41559-022-01668-4</w:t>
        </w:r>
      </w:hyperlink>
      <w:r>
        <w:t xml:space="preserve">.</w:t>
      </w:r>
    </w:p>
    <w:bookmarkEnd w:id="106"/>
    <w:bookmarkStart w:id="108"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t>
      </w:r>
      <w:hyperlink r:id="rId107">
        <w:r>
          <w:rPr>
            <w:rStyle w:val="Hyperlink"/>
          </w:rPr>
          <w:t xml:space="preserve">Why trees grow at night</w:t>
        </w:r>
      </w:hyperlink>
      <w:r>
        <w:t xml:space="preserve">.</w:t>
      </w:r>
      <w:r>
        <w:t xml:space="preserve"> </w:t>
      </w:r>
      <w:r>
        <w:rPr>
          <w:iCs/>
          <w:i/>
        </w:rPr>
        <w:t xml:space="preserve">New Phytologist</w:t>
      </w:r>
      <w:r>
        <w:t xml:space="preserve"> </w:t>
      </w:r>
      <w:r>
        <w:rPr>
          <w:bCs/>
          <w:b/>
        </w:rPr>
        <w:t xml:space="preserve">231</w:t>
      </w:r>
      <w:r>
        <w:t xml:space="preserve">, 2174–2185 (2021).</w:t>
      </w:r>
    </w:p>
    <w:bookmarkEnd w:id="108"/>
    <w:bookmarkStart w:id="110" w:name="ref-tumajer_limitation_2022"/>
    <w:p>
      <w:pPr>
        <w:pStyle w:val="Bibliography"/>
      </w:pPr>
      <w:r>
        <w:t xml:space="preserve">27.</w:t>
      </w:r>
      <w:r>
        <w:t xml:space="preserve"> </w:t>
      </w:r>
      <w:r>
        <w:t xml:space="preserve">	</w:t>
      </w:r>
      <w:r>
        <w:t xml:space="preserve">Tumajer, J., Scharnweber, T., Smiljanic, M. &amp; Wilmking, M.</w:t>
      </w:r>
      <w:r>
        <w:t xml:space="preserve"> </w:t>
      </w:r>
      <w:hyperlink r:id="rId109">
        <w:r>
          <w:rPr>
            <w:rStyle w:val="Hyperlink"/>
          </w:rPr>
          <w:t xml:space="preserve">Limitation by vapour pressure deficit shapes different intra-annual growth patterns of diffuse- and ring-porous temperate broadleaves</w:t>
        </w:r>
      </w:hyperlink>
      <w:r>
        <w:t xml:space="preserve">.</w:t>
      </w:r>
      <w:r>
        <w:t xml:space="preserve"> </w:t>
      </w:r>
      <w:r>
        <w:rPr>
          <w:iCs/>
          <w:i/>
        </w:rPr>
        <w:t xml:space="preserve">New Phytologist</w:t>
      </w:r>
      <w:r>
        <w:t xml:space="preserve"> </w:t>
      </w:r>
      <w:r>
        <w:rPr>
          <w:bCs/>
          <w:b/>
        </w:rPr>
        <w:t xml:space="preserve">233</w:t>
      </w:r>
      <w:r>
        <w:t xml:space="preserve">, 2429–2441 (2022).</w:t>
      </w:r>
    </w:p>
    <w:bookmarkEnd w:id="110"/>
    <w:bookmarkStart w:id="112"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w:t>
      </w:r>
      <w:hyperlink r:id="rId111">
        <w:r>
          <w:rPr>
            <w:rStyle w:val="Hyperlink"/>
          </w:rPr>
          <w:t xml:space="preserve">Number of growth days and not length of the growth period determines radial stem growth of temperate trees</w:t>
        </w:r>
      </w:hyperlink>
      <w:r>
        <w:t xml:space="preserve">.</w:t>
      </w:r>
      <w:r>
        <w:t xml:space="preserve"> </w:t>
      </w:r>
      <w:r>
        <w:rPr>
          <w:iCs/>
          <w:i/>
        </w:rPr>
        <w:t xml:space="preserve">Ecology Letters</w:t>
      </w:r>
      <w:r>
        <w:t xml:space="preserve"> </w:t>
      </w:r>
      <w:r>
        <w:rPr>
          <w:bCs/>
          <w:b/>
        </w:rPr>
        <w:t xml:space="preserve">25</w:t>
      </w:r>
      <w:r>
        <w:t xml:space="preserve">, 427–439 (2022).</w:t>
      </w:r>
    </w:p>
    <w:bookmarkEnd w:id="112"/>
    <w:bookmarkStart w:id="114" w:name="ref-zani_increased_2020"/>
    <w:p>
      <w:pPr>
        <w:pStyle w:val="Bibliography"/>
      </w:pPr>
      <w:r>
        <w:t xml:space="preserve">29.</w:t>
      </w:r>
      <w:r>
        <w:t xml:space="preserve"> </w:t>
      </w:r>
      <w:r>
        <w:t xml:space="preserve">	</w:t>
      </w:r>
      <w:r>
        <w:t xml:space="preserve">Zani, D., Crowther, T. W., Mo, L., Renner, S. S. &amp; Zohner, C. M.</w:t>
      </w:r>
      <w:r>
        <w:t xml:space="preserve"> </w:t>
      </w:r>
      <w:hyperlink r:id="rId113">
        <w:r>
          <w:rPr>
            <w:rStyle w:val="Hyperlink"/>
          </w:rPr>
          <w:t xml:space="preserve">Increased growing-season productivity drives earlier autumn leaf senescence in temperate trees</w:t>
        </w:r>
      </w:hyperlink>
      <w:r>
        <w:t xml:space="preserve">.</w:t>
      </w:r>
      <w:r>
        <w:t xml:space="preserve"> </w:t>
      </w:r>
      <w:r>
        <w:rPr>
          <w:iCs/>
          <w:i/>
        </w:rPr>
        <w:t xml:space="preserve">Science</w:t>
      </w:r>
      <w:r>
        <w:t xml:space="preserve"> </w:t>
      </w:r>
      <w:r>
        <w:rPr>
          <w:bCs/>
          <w:b/>
        </w:rPr>
        <w:t xml:space="preserve">370</w:t>
      </w:r>
      <w:r>
        <w:t xml:space="preserve">, 1066–1071 (2020).</w:t>
      </w:r>
    </w:p>
    <w:bookmarkEnd w:id="114"/>
    <w:bookmarkStart w:id="116" w:name="ref-zohner_how_2021"/>
    <w:p>
      <w:pPr>
        <w:pStyle w:val="Bibliography"/>
      </w:pPr>
      <w:r>
        <w:t xml:space="preserve">30.</w:t>
      </w:r>
      <w:r>
        <w:t xml:space="preserve"> </w:t>
      </w:r>
      <w:r>
        <w:t xml:space="preserve">	</w:t>
      </w:r>
      <w:r>
        <w:t xml:space="preserve">Zohner, C. M., Renner, S. S., Sebald, V. &amp; Crowther, T. W.</w:t>
      </w:r>
      <w:r>
        <w:t xml:space="preserve"> </w:t>
      </w:r>
      <w:hyperlink r:id="rId115">
        <w:r>
          <w:rPr>
            <w:rStyle w:val="Hyperlink"/>
          </w:rPr>
          <w:t xml:space="preserve">How changes in spring and autumn phenology translate into growth-experimental evidence of asymmetric effects</w:t>
        </w:r>
      </w:hyperlink>
      <w:r>
        <w:t xml:space="preserve">.</w:t>
      </w:r>
      <w:r>
        <w:t xml:space="preserve"> </w:t>
      </w:r>
      <w:r>
        <w:rPr>
          <w:iCs/>
          <w:i/>
        </w:rPr>
        <w:t xml:space="preserve">Journal of Ecology</w:t>
      </w:r>
      <w:r>
        <w:t xml:space="preserve"> </w:t>
      </w:r>
      <w:r>
        <w:rPr>
          <w:bCs/>
          <w:b/>
        </w:rPr>
        <w:t xml:space="preserve">109</w:t>
      </w:r>
      <w:r>
        <w:t xml:space="preserve">, 2717–2728 (2021).</w:t>
      </w:r>
    </w:p>
    <w:bookmarkEnd w:id="116"/>
    <w:bookmarkStart w:id="118"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w:t>
      </w:r>
      <w:hyperlink r:id="rId117">
        <w:r>
          <w:rPr>
            <w:rStyle w:val="Hyperlink"/>
          </w:rPr>
          <w:t xml:space="preserve">Cross-biome synthesis of source versus sink limits to tree growth</w:t>
        </w:r>
      </w:hyperlink>
      <w:r>
        <w:t xml:space="preserve">.</w:t>
      </w:r>
      <w:r>
        <w:t xml:space="preserve"> </w:t>
      </w:r>
      <w:r>
        <w:rPr>
          <w:iCs/>
          <w:i/>
        </w:rPr>
        <w:t xml:space="preserve">Science</w:t>
      </w:r>
      <w:r>
        <w:t xml:space="preserve"> </w:t>
      </w:r>
      <w:r>
        <w:rPr>
          <w:bCs/>
          <w:b/>
        </w:rPr>
        <w:t xml:space="preserve">376</w:t>
      </w:r>
      <w:r>
        <w:t xml:space="preserve">, 758–761 (2022).</w:t>
      </w:r>
    </w:p>
    <w:bookmarkEnd w:id="118"/>
    <w:bookmarkStart w:id="120"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w:t>
      </w:r>
      <w:hyperlink r:id="rId119">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w:t>
      </w:r>
      <w:r>
        <w:rPr>
          <w:bCs/>
          <w:b/>
        </w:rPr>
        <w:t xml:space="preserve">24</w:t>
      </w:r>
      <w:r>
        <w:t xml:space="preserve">, 2339–2351 (2018).</w:t>
      </w:r>
    </w:p>
    <w:bookmarkEnd w:id="120"/>
    <w:bookmarkStart w:id="122"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w:t>
      </w:r>
      <w:hyperlink r:id="rId121">
        <w:r>
          <w:rPr>
            <w:rStyle w:val="Hyperlink"/>
          </w:rPr>
          <w:t xml:space="preserve">Growing season moisture drives interannual variation in woody productivity of a temperate deciduous forest</w:t>
        </w:r>
      </w:hyperlink>
      <w:r>
        <w:t xml:space="preserve">.</w:t>
      </w:r>
      <w:r>
        <w:t xml:space="preserve"> </w:t>
      </w:r>
      <w:r>
        <w:rPr>
          <w:iCs/>
          <w:i/>
        </w:rPr>
        <w:t xml:space="preserve">New Phytologist</w:t>
      </w:r>
      <w:r>
        <w:t xml:space="preserve"> </w:t>
      </w:r>
      <w:r>
        <w:rPr>
          <w:bCs/>
          <w:b/>
        </w:rPr>
        <w:t xml:space="preserve">223</w:t>
      </w:r>
      <w:r>
        <w:t xml:space="preserve">, 1204–1216 (2019).</w:t>
      </w:r>
    </w:p>
    <w:bookmarkEnd w:id="122"/>
    <w:bookmarkStart w:id="124" w:name="ref-mcmahon_general_2015"/>
    <w:p>
      <w:pPr>
        <w:pStyle w:val="Bibliography"/>
      </w:pPr>
      <w:r>
        <w:t xml:space="preserve">34.</w:t>
      </w:r>
      <w:r>
        <w:t xml:space="preserve"> </w:t>
      </w:r>
      <w:r>
        <w:t xml:space="preserve">	</w:t>
      </w:r>
      <w:r>
        <w:t xml:space="preserve">McMahon, S. M. &amp; Parker, G. G.</w:t>
      </w:r>
      <w:r>
        <w:t xml:space="preserve"> </w:t>
      </w:r>
      <w:hyperlink r:id="rId123">
        <w:r>
          <w:rPr>
            <w:rStyle w:val="Hyperlink"/>
          </w:rPr>
          <w:t xml:space="preserve">A general model of intra-annual tree growth using dendrometer bands</w:t>
        </w:r>
      </w:hyperlink>
      <w:r>
        <w:t xml:space="preserve">.</w:t>
      </w:r>
      <w:r>
        <w:t xml:space="preserve"> </w:t>
      </w:r>
      <w:r>
        <w:rPr>
          <w:iCs/>
          <w:i/>
        </w:rPr>
        <w:t xml:space="preserve">Ecology and Evolution</w:t>
      </w:r>
      <w:r>
        <w:t xml:space="preserve"> </w:t>
      </w:r>
      <w:r>
        <w:rPr>
          <w:bCs/>
          <w:b/>
        </w:rPr>
        <w:t xml:space="preserve">5</w:t>
      </w:r>
      <w:r>
        <w:t xml:space="preserve">, 243–254 (2015).</w:t>
      </w:r>
    </w:p>
    <w:bookmarkEnd w:id="124"/>
    <w:bookmarkStart w:id="126"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w:t>
      </w:r>
      <w:hyperlink r:id="rId125">
        <w:r>
          <w:rPr>
            <w:rStyle w:val="Hyperlink"/>
          </w:rPr>
          <w:t xml:space="preserve">Peak radial growth of diffuse-porous species occurs during periods of lower water availability than for ring-porous and coniferous trees</w:t>
        </w:r>
      </w:hyperlink>
      <w:r>
        <w:t xml:space="preserve">.</w:t>
      </w:r>
      <w:r>
        <w:t xml:space="preserve"> </w:t>
      </w:r>
      <w:r>
        <w:rPr>
          <w:iCs/>
          <w:i/>
        </w:rPr>
        <w:t xml:space="preserve">Tree Physiology</w:t>
      </w:r>
      <w:r>
        <w:t xml:space="preserve"> </w:t>
      </w:r>
      <w:r>
        <w:rPr>
          <w:bCs/>
          <w:b/>
        </w:rPr>
        <w:t xml:space="preserve">42</w:t>
      </w:r>
      <w:r>
        <w:t xml:space="preserve">, 304–316 (2022).</w:t>
      </w:r>
    </w:p>
    <w:bookmarkEnd w:id="126"/>
    <w:bookmarkStart w:id="128"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w:t>
      </w:r>
      <w:hyperlink r:id="rId127">
        <w:r>
          <w:rPr>
            <w:rStyle w:val="Hyperlink"/>
          </w:rPr>
          <w:t xml:space="preserve">Seasonal dynamics and age of stemwood nonstructural carbohydrates in temperate forest trees</w:t>
        </w:r>
      </w:hyperlink>
      <w:r>
        <w:t xml:space="preserve">.</w:t>
      </w:r>
      <w:r>
        <w:t xml:space="preserve"> </w:t>
      </w:r>
      <w:r>
        <w:rPr>
          <w:iCs/>
          <w:i/>
        </w:rPr>
        <w:t xml:space="preserve">New Phytologist</w:t>
      </w:r>
      <w:r>
        <w:t xml:space="preserve"> </w:t>
      </w:r>
      <w:r>
        <w:rPr>
          <w:bCs/>
          <w:b/>
        </w:rPr>
        <w:t xml:space="preserve">197</w:t>
      </w:r>
      <w:r>
        <w:t xml:space="preserve">, 850–861 (2013).</w:t>
      </w:r>
    </w:p>
    <w:bookmarkEnd w:id="128"/>
    <w:bookmarkStart w:id="130" w:name="ref-elmore_earlier_2016"/>
    <w:p>
      <w:pPr>
        <w:pStyle w:val="Bibliography"/>
      </w:pPr>
      <w:r>
        <w:t xml:space="preserve">37.</w:t>
      </w:r>
      <w:r>
        <w:t xml:space="preserve"> </w:t>
      </w:r>
      <w:r>
        <w:t xml:space="preserve">	</w:t>
      </w:r>
      <w:r>
        <w:t xml:space="preserve">Elmore, A. J., Nelson, D. M. &amp; Craine, J. M.</w:t>
      </w:r>
      <w:r>
        <w:t xml:space="preserve"> </w:t>
      </w:r>
      <w:hyperlink r:id="rId129">
        <w:r>
          <w:rPr>
            <w:rStyle w:val="Hyperlink"/>
          </w:rPr>
          <w:t xml:space="preserve">Earlier springs are causing reduced nitrogen availability in</w:t>
        </w:r>
        <w:r>
          <w:rPr>
            <w:rStyle w:val="Hyperlink"/>
          </w:rPr>
          <w:t xml:space="preserve"> </w:t>
        </w:r>
        <w:r>
          <w:rPr>
            <w:rStyle w:val="Hyperlink"/>
          </w:rPr>
          <w:t xml:space="preserve">North American</w:t>
        </w:r>
        <w:r>
          <w:rPr>
            <w:rStyle w:val="Hyperlink"/>
          </w:rPr>
          <w:t xml:space="preserve"> </w:t>
        </w:r>
        <w:r>
          <w:rPr>
            <w:rStyle w:val="Hyperlink"/>
          </w:rPr>
          <w:t xml:space="preserve">eastern deciduous forests</w:t>
        </w:r>
      </w:hyperlink>
      <w:r>
        <w:t xml:space="preserve">.</w:t>
      </w:r>
      <w:r>
        <w:t xml:space="preserve"> </w:t>
      </w:r>
      <w:r>
        <w:rPr>
          <w:iCs/>
          <w:i/>
        </w:rPr>
        <w:t xml:space="preserve">Nature Plants</w:t>
      </w:r>
      <w:r>
        <w:t xml:space="preserve"> </w:t>
      </w:r>
      <w:r>
        <w:rPr>
          <w:bCs/>
          <w:b/>
        </w:rPr>
        <w:t xml:space="preserve">2</w:t>
      </w:r>
      <w:r>
        <w:t xml:space="preserve">, 16133 (2016).</w:t>
      </w:r>
    </w:p>
    <w:bookmarkEnd w:id="130"/>
    <w:bookmarkStart w:id="132"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t>
      </w:r>
      <w:hyperlink r:id="rId131">
        <w:r>
          <w:rPr>
            <w:rStyle w:val="Hyperlink"/>
          </w:rPr>
          <w:t xml:space="preserve">Woody biomass production lags stem-girth increase by over one month in coniferous forests</w:t>
        </w:r>
      </w:hyperlink>
      <w:r>
        <w:t xml:space="preserve">.</w:t>
      </w:r>
      <w:r>
        <w:t xml:space="preserve"> </w:t>
      </w:r>
      <w:r>
        <w:rPr>
          <w:iCs/>
          <w:i/>
        </w:rPr>
        <w:t xml:space="preserve">Nature Plants</w:t>
      </w:r>
      <w:r>
        <w:t xml:space="preserve"> </w:t>
      </w:r>
      <w:r>
        <w:rPr>
          <w:bCs/>
          <w:b/>
        </w:rPr>
        <w:t xml:space="preserve">1</w:t>
      </w:r>
      <w:r>
        <w:t xml:space="preserve">, 15160 (2015).</w:t>
      </w:r>
    </w:p>
    <w:bookmarkEnd w:id="132"/>
    <w:bookmarkStart w:id="134" w:name="ref-tardif_influence_2006"/>
    <w:p>
      <w:pPr>
        <w:pStyle w:val="Bibliography"/>
      </w:pPr>
      <w:r>
        <w:t xml:space="preserve">39.</w:t>
      </w:r>
      <w:r>
        <w:t xml:space="preserve"> </w:t>
      </w:r>
      <w:r>
        <w:t xml:space="preserve">	</w:t>
      </w:r>
      <w:r>
        <w:t xml:space="preserve">Tardif, J. C. &amp; Conciatori, F.</w:t>
      </w:r>
      <w:r>
        <w:t xml:space="preserve"> </w:t>
      </w:r>
      <w:hyperlink r:id="rId133">
        <w:r>
          <w:rPr>
            <w:rStyle w:val="Hyperlink"/>
          </w:rPr>
          <w:t xml:space="preserve">Influence of climate on tree rings and vessel features in red oak and white oak growing near their northern distribution limit, southwestern</w:t>
        </w:r>
        <w:r>
          <w:rPr>
            <w:rStyle w:val="Hyperlink"/>
          </w:rPr>
          <w:t xml:space="preserve"> </w:t>
        </w:r>
        <w:r>
          <w:rPr>
            <w:rStyle w:val="Hyperlink"/>
          </w:rPr>
          <w:t xml:space="preserve">Quebec</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Canadian Journal of Forest Research</w:t>
      </w:r>
      <w:r>
        <w:t xml:space="preserve"> </w:t>
      </w:r>
      <w:r>
        <w:rPr>
          <w:bCs/>
          <w:b/>
        </w:rPr>
        <w:t xml:space="preserve">36</w:t>
      </w:r>
      <w:r>
        <w:t xml:space="preserve">, 2317–2330 (2006).</w:t>
      </w:r>
    </w:p>
    <w:bookmarkEnd w:id="134"/>
    <w:bookmarkStart w:id="13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w:t>
      </w:r>
      <w:hyperlink r:id="rId135">
        <w:r>
          <w:rPr>
            <w:rStyle w:val="Hyperlink"/>
          </w:rPr>
          <w:t xml:space="preserve">The climatic response of tree ring width components of ash (</w:t>
        </w:r>
        <w:r>
          <w:rPr>
            <w:rStyle w:val="Hyperlink"/>
          </w:rPr>
          <w:t xml:space="preserve">Fraxinus</w:t>
        </w:r>
        <w:r>
          <w:rPr>
            <w:rStyle w:val="Hyperlink"/>
          </w:rPr>
          <w:t xml:space="preserve"> </w:t>
        </w:r>
        <w:r>
          <w:rPr>
            <w:rStyle w:val="Hyperlink"/>
          </w:rPr>
          <w:t xml:space="preserve">excelsior</w:t>
        </w:r>
        <w:r>
          <w:rPr>
            <w:rStyle w:val="Hyperlink"/>
          </w:rPr>
          <w:t xml:space="preserve"> </w:t>
        </w:r>
        <w:r>
          <w:rPr>
            <w:rStyle w:val="Hyperlink"/>
          </w:rPr>
          <w:t xml:space="preserve">L</w:t>
        </w:r>
        <w:r>
          <w:rPr>
            <w:rStyle w:val="Hyperlink"/>
          </w:rPr>
          <w:t xml:space="preserve">.) And common oak (</w:t>
        </w:r>
        <w:r>
          <w:rPr>
            <w:rStyle w:val="Hyperlink"/>
          </w:rPr>
          <w:t xml:space="preserve">Quercus</w:t>
        </w:r>
        <w:r>
          <w:rPr>
            <w:rStyle w:val="Hyperlink"/>
          </w:rPr>
          <w:t xml:space="preserve"> </w:t>
        </w:r>
        <w:r>
          <w:rPr>
            <w:rStyle w:val="Hyperlink"/>
          </w:rPr>
          <w:t xml:space="preserve">robur</w:t>
        </w:r>
        <w:r>
          <w:rPr>
            <w:rStyle w:val="Hyperlink"/>
          </w:rPr>
          <w:t xml:space="preserve"> </w:t>
        </w:r>
        <w:r>
          <w:rPr>
            <w:rStyle w:val="Hyperlink"/>
          </w:rPr>
          <w:t xml:space="preserve">L</w:t>
        </w:r>
        <w:r>
          <w:rPr>
            <w:rStyle w:val="Hyperlink"/>
          </w:rPr>
          <w:t xml:space="preserve">.) From eastern</w:t>
        </w:r>
        <w:r>
          <w:rPr>
            <w:rStyle w:val="Hyperlink"/>
          </w:rPr>
          <w:t xml:space="preserve"> </w:t>
        </w:r>
        <w:r>
          <w:rPr>
            <w:rStyle w:val="Hyperlink"/>
          </w:rPr>
          <w:t xml:space="preserve">Europe</w:t>
        </w:r>
      </w:hyperlink>
      <w:r>
        <w:t xml:space="preserve">.</w:t>
      </w:r>
      <w:r>
        <w:t xml:space="preserve"> </w:t>
      </w:r>
      <w:r>
        <w:rPr>
          <w:iCs/>
          <w:i/>
        </w:rPr>
        <w:t xml:space="preserve">Forests</w:t>
      </w:r>
      <w:r>
        <w:t xml:space="preserve"> </w:t>
      </w:r>
      <w:r>
        <w:rPr>
          <w:bCs/>
          <w:b/>
        </w:rPr>
        <w:t xml:space="preserve">11</w:t>
      </w:r>
      <w:r>
        <w:t xml:space="preserve">, 600 (2020).</w:t>
      </w:r>
    </w:p>
    <w:bookmarkEnd w:id="136"/>
    <w:bookmarkStart w:id="138"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w:t>
      </w:r>
      <w:hyperlink r:id="rId137">
        <w:r>
          <w:rPr>
            <w:rStyle w:val="Hyperlink"/>
          </w:rPr>
          <w:t xml:space="preserve">Multiple tree-ring proxies (earlywood width, latewood width and</w:t>
        </w:r>
        <w:r>
          <w:rPr>
            <w:rStyle w:val="Hyperlink"/>
          </w:rPr>
          <w:t xml:space="preserve"> </w:t>
        </w:r>
        <m:oMath>
          <m:r>
            <m:t>δ</m:t>
          </m:r>
        </m:oMath>
        <w:r>
          <w:rPr>
            <w:rStyle w:val="Hyperlink"/>
          </w:rPr>
          <w:t xml:space="preserve">13C</w:t>
        </w:r>
        <w:r>
          <w:rPr>
            <w:rStyle w:val="Hyperlink"/>
          </w:rPr>
          <w:t xml:space="preserve">) from pedunculate oak (</w:t>
        </w:r>
        <w:r>
          <w:rPr>
            <w:rStyle w:val="Hyperlink"/>
          </w:rPr>
          <w:t xml:space="preserve">Quercus</w:t>
        </w:r>
        <w:r>
          <w:rPr>
            <w:rStyle w:val="Hyperlink"/>
          </w:rPr>
          <w:t xml:space="preserve"> </w:t>
        </w:r>
        <w:r>
          <w:rPr>
            <w:rStyle w:val="Hyperlink"/>
          </w:rPr>
          <w:t xml:space="preserve">robur</w:t>
        </w:r>
        <w:r>
          <w:rPr>
            <w:rStyle w:val="Hyperlink"/>
          </w:rPr>
          <w:t xml:space="preserve"> </w:t>
        </w:r>
        <w:r>
          <w:rPr>
            <w:rStyle w:val="Hyperlink"/>
          </w:rPr>
          <w:t xml:space="preserve">L</w:t>
        </w:r>
        <w:r>
          <w:rPr>
            <w:rStyle w:val="Hyperlink"/>
          </w:rPr>
          <w:t xml:space="preserve">.),</w:t>
        </w:r>
        <w:r>
          <w:rPr>
            <w:rStyle w:val="Hyperlink"/>
          </w:rPr>
          <w:t xml:space="preserve"> </w:t>
        </w:r>
        <w:r>
          <w:rPr>
            <w:rStyle w:val="Hyperlink"/>
          </w:rPr>
          <w:t xml:space="preserve">Hungary</w:t>
        </w:r>
      </w:hyperlink>
      <w:r>
        <w:t xml:space="preserve">.</w:t>
      </w:r>
      <w:r>
        <w:t xml:space="preserve"> </w:t>
      </w:r>
      <w:r>
        <w:rPr>
          <w:iCs/>
          <w:i/>
        </w:rPr>
        <w:t xml:space="preserve">Quaternary International</w:t>
      </w:r>
      <w:r>
        <w:t xml:space="preserve"> </w:t>
      </w:r>
      <w:r>
        <w:rPr>
          <w:bCs/>
          <w:b/>
        </w:rPr>
        <w:t xml:space="preserve">293</w:t>
      </w:r>
      <w:r>
        <w:t xml:space="preserve">, 257–267 (2013).</w:t>
      </w:r>
    </w:p>
    <w:bookmarkEnd w:id="138"/>
    <w:bookmarkStart w:id="140" w:name="ref-trumbore_quantifying_2002"/>
    <w:p>
      <w:pPr>
        <w:pStyle w:val="Bibliography"/>
      </w:pPr>
      <w:r>
        <w:t xml:space="preserve">42.</w:t>
      </w:r>
      <w:r>
        <w:t xml:space="preserve"> </w:t>
      </w:r>
      <w:r>
        <w:t xml:space="preserve">	</w:t>
      </w:r>
      <w:r>
        <w:t xml:space="preserve">Trumbore, S., Gaudinski, J. B., Hanson, P. J. &amp; Southon, J. R.</w:t>
      </w:r>
      <w:r>
        <w:t xml:space="preserve"> </w:t>
      </w:r>
      <w:hyperlink r:id="rId139">
        <w:r>
          <w:rPr>
            <w:rStyle w:val="Hyperlink"/>
          </w:rPr>
          <w:t xml:space="preserve">Quantifying ecosystem-atmosphere carbon exchange with a</w:t>
        </w:r>
        <w:r>
          <w:rPr>
            <w:rStyle w:val="Hyperlink"/>
          </w:rPr>
          <w:t xml:space="preserve"> </w:t>
        </w:r>
        <w:r>
          <w:rPr>
            <w:rStyle w:val="Hyperlink"/>
          </w:rPr>
          <w:t xml:space="preserve">14C</w:t>
        </w:r>
        <w:r>
          <w:rPr>
            <w:rStyle w:val="Hyperlink"/>
          </w:rPr>
          <w:t xml:space="preserve"> </w:t>
        </w:r>
        <w:r>
          <w:rPr>
            <w:rStyle w:val="Hyperlink"/>
          </w:rPr>
          <w:t xml:space="preserve">label</w:t>
        </w:r>
      </w:hyperlink>
      <w:r>
        <w:t xml:space="preserve">.</w:t>
      </w:r>
      <w:r>
        <w:t xml:space="preserve"> </w:t>
      </w:r>
      <w:r>
        <w:rPr>
          <w:iCs/>
          <w:i/>
        </w:rPr>
        <w:t xml:space="preserve">Eos, Transactions American Geophysical Union</w:t>
      </w:r>
      <w:r>
        <w:t xml:space="preserve"> </w:t>
      </w:r>
      <w:r>
        <w:rPr>
          <w:bCs/>
          <w:b/>
        </w:rPr>
        <w:t xml:space="preserve">83</w:t>
      </w:r>
      <w:r>
        <w:t xml:space="preserve">, 265–268 (2002).</w:t>
      </w:r>
    </w:p>
    <w:bookmarkEnd w:id="140"/>
    <w:bookmarkStart w:id="142"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41">
        <w:r>
          <w:rPr>
            <w:rStyle w:val="Hyperlink"/>
          </w:rPr>
          <w:t xml:space="preserve">10.1073/pnas.2002713117</w:t>
        </w:r>
      </w:hyperlink>
      <w:r>
        <w:t xml:space="preserve">.</w:t>
      </w:r>
    </w:p>
    <w:bookmarkEnd w:id="142"/>
    <w:bookmarkStart w:id="144"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w:t>
      </w:r>
      <w:hyperlink r:id="rId143">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 (2022).</w:t>
      </w:r>
    </w:p>
    <w:bookmarkEnd w:id="144"/>
    <w:bookmarkStart w:id="146"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w:t>
      </w:r>
      <w:hyperlink r:id="rId145">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 (2021).</w:t>
      </w:r>
    </w:p>
    <w:bookmarkEnd w:id="146"/>
    <w:bookmarkStart w:id="148" w:name="ref-churkina_spatial_2005"/>
    <w:p>
      <w:pPr>
        <w:pStyle w:val="Bibliography"/>
      </w:pPr>
      <w:r>
        <w:t xml:space="preserve">46.</w:t>
      </w:r>
      <w:r>
        <w:t xml:space="preserve"> </w:t>
      </w:r>
      <w:r>
        <w:t xml:space="preserve">	</w:t>
      </w:r>
      <w:r>
        <w:t xml:space="preserve">Churkina, G., Schimel, D., Braswell, B. H. &amp; Xiao, X.</w:t>
      </w:r>
      <w:r>
        <w:t xml:space="preserve"> </w:t>
      </w:r>
      <w:hyperlink r:id="rId147">
        <w:r>
          <w:rPr>
            <w:rStyle w:val="Hyperlink"/>
          </w:rPr>
          <w:t xml:space="preserve">Spatial analysis of growing season length control over net ecosystem exchange</w:t>
        </w:r>
      </w:hyperlink>
      <w:r>
        <w:t xml:space="preserve">.</w:t>
      </w:r>
      <w:r>
        <w:t xml:space="preserve"> </w:t>
      </w:r>
      <w:r>
        <w:rPr>
          <w:iCs/>
          <w:i/>
        </w:rPr>
        <w:t xml:space="preserve">Global Change Biology</w:t>
      </w:r>
      <w:r>
        <w:t xml:space="preserve"> </w:t>
      </w:r>
      <w:r>
        <w:rPr>
          <w:bCs/>
          <w:b/>
        </w:rPr>
        <w:t xml:space="preserve">11</w:t>
      </w:r>
      <w:r>
        <w:t xml:space="preserve">, 1777–1787 (2005).</w:t>
      </w:r>
    </w:p>
    <w:bookmarkEnd w:id="148"/>
    <w:bookmarkStart w:id="150"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w:t>
      </w:r>
      <w:hyperlink r:id="rId149">
        <w:r>
          <w:rPr>
            <w:rStyle w:val="Hyperlink"/>
          </w:rPr>
          <w:t xml:space="preserve">Phenological mismatches between above- and belowground plant responses to climate warming</w:t>
        </w:r>
      </w:hyperlink>
      <w:r>
        <w:t xml:space="preserve">.</w:t>
      </w:r>
      <w:r>
        <w:t xml:space="preserve"> </w:t>
      </w:r>
      <w:r>
        <w:rPr>
          <w:iCs/>
          <w:i/>
        </w:rPr>
        <w:t xml:space="preserve">Nature Climate Change</w:t>
      </w:r>
      <w:r>
        <w:t xml:space="preserve"> </w:t>
      </w:r>
      <w:r>
        <w:rPr>
          <w:bCs/>
          <w:b/>
        </w:rPr>
        <w:t xml:space="preserve">12</w:t>
      </w:r>
      <w:r>
        <w:t xml:space="preserve">, 97–102 (2022).</w:t>
      </w:r>
    </w:p>
    <w:bookmarkEnd w:id="150"/>
    <w:bookmarkStart w:id="152"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w:t>
      </w:r>
      <w:hyperlink r:id="rId151">
        <w:r>
          <w:rPr>
            <w:rStyle w:val="Hyperlink"/>
          </w:rPr>
          <w:t xml:space="preserve">The increasing importance of atmospheric demand for ecosystem water and carbon fluxes</w:t>
        </w:r>
      </w:hyperlink>
      <w:r>
        <w:t xml:space="preserve">.</w:t>
      </w:r>
      <w:r>
        <w:t xml:space="preserve"> </w:t>
      </w:r>
      <w:r>
        <w:rPr>
          <w:iCs/>
          <w:i/>
        </w:rPr>
        <w:t xml:space="preserve">Nature Climate Change</w:t>
      </w:r>
      <w:r>
        <w:t xml:space="preserve"> </w:t>
      </w:r>
      <w:r>
        <w:rPr>
          <w:bCs/>
          <w:b/>
        </w:rPr>
        <w:t xml:space="preserve">6</w:t>
      </w:r>
      <w:r>
        <w:t xml:space="preserve">, 1023–1027 (2016).</w:t>
      </w:r>
    </w:p>
    <w:bookmarkEnd w:id="152"/>
    <w:bookmarkStart w:id="154"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w:t>
      </w:r>
      <w:hyperlink r:id="rId153">
        <w:r>
          <w:rPr>
            <w:rStyle w:val="Hyperlink"/>
          </w:rPr>
          <w:t xml:space="preserve">Drought limits wood production of</w:t>
        </w:r>
        <w:r>
          <w:rPr>
            <w:rStyle w:val="Hyperlink"/>
          </w:rPr>
          <w:t xml:space="preserve"> </w:t>
        </w:r>
        <w:r>
          <w:rPr>
            <w:rStyle w:val="Hyperlink"/>
          </w:rPr>
          <w:t xml:space="preserve">Juniperus</w:t>
        </w:r>
        <w:r>
          <w:rPr>
            <w:rStyle w:val="Hyperlink"/>
          </w:rPr>
          <w:t xml:space="preserve"> </w:t>
        </w:r>
        <w:r>
          <w:rPr>
            <w:rStyle w:val="Hyperlink"/>
          </w:rPr>
          <w:t xml:space="preserve">przewalskii even as growing seasons lengthens in a cold and arid environment</w:t>
        </w:r>
      </w:hyperlink>
      <w:r>
        <w:t xml:space="preserve">.</w:t>
      </w:r>
      <w:r>
        <w:t xml:space="preserve"> </w:t>
      </w:r>
      <w:r>
        <w:rPr>
          <w:iCs/>
          <w:i/>
        </w:rPr>
        <w:t xml:space="preserve">CATENA</w:t>
      </w:r>
      <w:r>
        <w:t xml:space="preserve"> </w:t>
      </w:r>
      <w:r>
        <w:rPr>
          <w:bCs/>
          <w:b/>
        </w:rPr>
        <w:t xml:space="preserve">196</w:t>
      </w:r>
      <w:r>
        <w:t xml:space="preserve">, 104936 (2021).</w:t>
      </w:r>
    </w:p>
    <w:bookmarkEnd w:id="154"/>
    <w:bookmarkStart w:id="156"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w:t>
      </w:r>
      <w:hyperlink r:id="rId155">
        <w:r>
          <w:rPr>
            <w:rStyle w:val="Hyperlink"/>
          </w:rPr>
          <w:t xml:space="preserve">Summer soil drying exacerbated by earlier spring greening of northern vegetation</w:t>
        </w:r>
      </w:hyperlink>
      <w:r>
        <w:t xml:space="preserve">.</w:t>
      </w:r>
      <w:r>
        <w:t xml:space="preserve"> </w:t>
      </w:r>
      <w:r>
        <w:rPr>
          <w:iCs/>
          <w:i/>
        </w:rPr>
        <w:t xml:space="preserve">Science Advances</w:t>
      </w:r>
      <w:r>
        <w:t xml:space="preserve"> </w:t>
      </w:r>
      <w:r>
        <w:rPr>
          <w:bCs/>
          <w:b/>
        </w:rPr>
        <w:t xml:space="preserve">6</w:t>
      </w:r>
      <w:r>
        <w:t xml:space="preserve">, eaax0255 (2022).</w:t>
      </w:r>
    </w:p>
    <w:bookmarkEnd w:id="156"/>
    <w:bookmarkStart w:id="158" w:name="ref-bourg_initial_2013"/>
    <w:p>
      <w:pPr>
        <w:pStyle w:val="Bibliography"/>
      </w:pPr>
      <w:r>
        <w:t xml:space="preserve">51.</w:t>
      </w:r>
      <w:r>
        <w:t xml:space="preserve"> </w:t>
      </w:r>
      <w:r>
        <w:t xml:space="preserve">	</w:t>
      </w:r>
      <w:r>
        <w:t xml:space="preserve">Bourg, N. A., McShea, W. J., Thompson, J. R., McGarvey, J. C. &amp; Shen, X.</w:t>
      </w:r>
      <w:r>
        <w:t xml:space="preserve"> </w:t>
      </w:r>
      <w:hyperlink r:id="rId157">
        <w:r>
          <w:rPr>
            <w:rStyle w:val="Hyperlink"/>
          </w:rPr>
          <w:t xml:space="preserve">Initial census, woody seedling, seed rain, and stand structure data for the</w:t>
        </w:r>
        <w:r>
          <w:rPr>
            <w:rStyle w:val="Hyperlink"/>
          </w:rPr>
          <w:t xml:space="preserve"> </w:t>
        </w:r>
        <w:r>
          <w:rPr>
            <w:rStyle w:val="Hyperlink"/>
          </w:rPr>
          <w:t xml:space="preserve">SCBI SIGEO Large Forest Dynamics Plot</w:t>
        </w:r>
        <w:r>
          <w:rPr>
            <w:rStyle w:val="Hyperlink"/>
          </w:rPr>
          <w:t xml:space="preserve">:</w:t>
        </w:r>
        <w:r>
          <w:rPr>
            <w:rStyle w:val="Hyperlink"/>
          </w:rPr>
          <w:t xml:space="preserve"> </w:t>
        </w:r>
        <w:r>
          <w:rPr>
            <w:rStyle w:val="Hyperlink"/>
            <w:iCs/>
            <w:i/>
          </w:rPr>
          <w:t xml:space="preserve">Ecological Archives</w:t>
        </w:r>
        <w:r>
          <w:rPr>
            <w:rStyle w:val="Hyperlink"/>
          </w:rPr>
          <w:t xml:space="preserve"> </w:t>
        </w:r>
        <w:r>
          <w:rPr>
            <w:rStyle w:val="Hyperlink"/>
          </w:rPr>
          <w:t xml:space="preserve">E094-195</w:t>
        </w:r>
      </w:hyperlink>
      <w:r>
        <w:t xml:space="preserve">.</w:t>
      </w:r>
      <w:r>
        <w:t xml:space="preserve"> </w:t>
      </w:r>
      <w:r>
        <w:rPr>
          <w:iCs/>
          <w:i/>
        </w:rPr>
        <w:t xml:space="preserve">Ecology</w:t>
      </w:r>
      <w:r>
        <w:t xml:space="preserve"> </w:t>
      </w:r>
      <w:r>
        <w:rPr>
          <w:bCs/>
          <w:b/>
        </w:rPr>
        <w:t xml:space="preserve">94</w:t>
      </w:r>
      <w:r>
        <w:t xml:space="preserve">, 2111–2112 (2013).</w:t>
      </w:r>
    </w:p>
    <w:bookmarkEnd w:id="158"/>
    <w:bookmarkStart w:id="160"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hyperlink r:id="rId15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 (2015).</w:t>
      </w:r>
    </w:p>
    <w:bookmarkEnd w:id="160"/>
    <w:bookmarkStart w:id="162"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hyperlink r:id="rId161">
        <w:r>
          <w:rPr>
            <w:rStyle w:val="Hyperlink"/>
          </w:rPr>
          <w:t xml:space="preserve">ForestGEO</w:t>
        </w:r>
        <w:r>
          <w:rPr>
            <w:rStyle w:val="Hyperlink"/>
          </w:rPr>
          <w:t xml:space="preserve">:</w:t>
        </w:r>
        <w:r>
          <w:rPr>
            <w:rStyle w:val="Hyperlink"/>
          </w:rPr>
          <w:t xml:space="preserve"> </w:t>
        </w:r>
        <w:r>
          <w:rPr>
            <w:rStyle w:val="Hyperlink"/>
          </w:rPr>
          <w:t xml:space="preserve">Understanding</w:t>
        </w:r>
        <w:r>
          <w:rPr>
            <w:rStyle w:val="Hyperlink"/>
          </w:rPr>
          <w:t xml:space="preserve"> </w:t>
        </w:r>
        <w:r>
          <w:rPr>
            <w:rStyle w:val="Hyperlink"/>
          </w:rPr>
          <w:t xml:space="preserve">forest diversity and dynamics through a global observatory network</w:t>
        </w:r>
      </w:hyperlink>
      <w:r>
        <w:t xml:space="preserve">.</w:t>
      </w:r>
      <w:r>
        <w:t xml:space="preserve"> </w:t>
      </w:r>
      <w:r>
        <w:rPr>
          <w:iCs/>
          <w:i/>
        </w:rPr>
        <w:t xml:space="preserve">Biological Conservation</w:t>
      </w:r>
      <w:r>
        <w:t xml:space="preserve"> </w:t>
      </w:r>
      <w:r>
        <w:rPr>
          <w:bCs/>
          <w:b/>
        </w:rPr>
        <w:t xml:space="preserve">253</w:t>
      </w:r>
      <w:r>
        <w:t xml:space="preserve">, 108907 (2021).</w:t>
      </w:r>
    </w:p>
    <w:bookmarkEnd w:id="162"/>
    <w:bookmarkStart w:id="164" w:name="ref-harris_version_2020"/>
    <w:p>
      <w:pPr>
        <w:pStyle w:val="Bibliography"/>
      </w:pPr>
      <w:r>
        <w:t xml:space="preserve">54.</w:t>
      </w:r>
      <w:r>
        <w:t xml:space="preserve"> </w:t>
      </w:r>
      <w:r>
        <w:t xml:space="preserve">	</w:t>
      </w:r>
      <w:r>
        <w:t xml:space="preserve">Harris, I., Osborn, T. J., Jones, P. &amp; Lister, D.</w:t>
      </w:r>
      <w:r>
        <w:t xml:space="preserve"> </w:t>
      </w:r>
      <w:hyperlink r:id="rId163">
        <w:r>
          <w:rPr>
            <w:rStyle w:val="Hyperlink"/>
          </w:rPr>
          <w:t xml:space="preserve">Version 4 of the</w:t>
        </w:r>
        <w:r>
          <w:rPr>
            <w:rStyle w:val="Hyperlink"/>
          </w:rPr>
          <w:t xml:space="preserve"> </w:t>
        </w:r>
        <w:r>
          <w:rPr>
            <w:rStyle w:val="Hyperlink"/>
          </w:rPr>
          <w:t xml:space="preserve">CRU TS</w:t>
        </w:r>
        <w:r>
          <w:rPr>
            <w:rStyle w:val="Hyperlink"/>
          </w:rPr>
          <w:t xml:space="preserve"> </w:t>
        </w:r>
        <w:r>
          <w:rPr>
            <w:rStyle w:val="Hyperlink"/>
          </w:rPr>
          <w:t xml:space="preserve">monthly high-resolution gridded multivariate climate dataset</w:t>
        </w:r>
      </w:hyperlink>
      <w:r>
        <w:t xml:space="preserve">.</w:t>
      </w:r>
      <w:r>
        <w:t xml:space="preserve"> </w:t>
      </w:r>
      <w:r>
        <w:rPr>
          <w:iCs/>
          <w:i/>
        </w:rPr>
        <w:t xml:space="preserve">Scientific Data</w:t>
      </w:r>
      <w:r>
        <w:t xml:space="preserve"> </w:t>
      </w:r>
      <w:r>
        <w:rPr>
          <w:bCs/>
          <w:b/>
        </w:rPr>
        <w:t xml:space="preserve">7</w:t>
      </w:r>
      <w:r>
        <w:t xml:space="preserve">, (2020).</w:t>
      </w:r>
    </w:p>
    <w:bookmarkEnd w:id="164"/>
    <w:bookmarkStart w:id="166" w:name="ref-vicente-serrano_multiscalar_2010"/>
    <w:p>
      <w:pPr>
        <w:pStyle w:val="Bibliography"/>
      </w:pPr>
      <w:r>
        <w:t xml:space="preserve">55.</w:t>
      </w:r>
      <w:r>
        <w:t xml:space="preserve"> </w:t>
      </w:r>
      <w:r>
        <w:t xml:space="preserve">	</w:t>
      </w:r>
      <w:r>
        <w:t xml:space="preserve">Vicente-Serrano, S. M., Beguería, S. &amp; López-Moreno, J. I.</w:t>
      </w:r>
      <w:r>
        <w:t xml:space="preserve"> </w:t>
      </w:r>
      <w:hyperlink r:id="rId16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w:t>
      </w:r>
      <w:r>
        <w:rPr>
          <w:bCs/>
          <w:b/>
        </w:rPr>
        <w:t xml:space="preserve">23</w:t>
      </w:r>
      <w:r>
        <w:t xml:space="preserve">, 1696–1718 (2010).</w:t>
      </w:r>
    </w:p>
    <w:bookmarkEnd w:id="166"/>
    <w:bookmarkStart w:id="167"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67"/>
    <w:bookmarkStart w:id="169"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68">
        <w:r>
          <w:rPr>
            <w:rStyle w:val="Hyperlink"/>
          </w:rPr>
          <w:t xml:space="preserve">10.5067/MODIS/MCD12Q2.006</w:t>
        </w:r>
      </w:hyperlink>
      <w:r>
        <w:t xml:space="preserve">.</w:t>
      </w:r>
    </w:p>
    <w:bookmarkEnd w:id="169"/>
    <w:bookmarkStart w:id="171"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70">
        <w:r>
          <w:rPr>
            <w:rStyle w:val="Hyperlink"/>
          </w:rPr>
          <w:t xml:space="preserve">10.5281/ZENODO.4041609</w:t>
        </w:r>
      </w:hyperlink>
      <w:r>
        <w:t xml:space="preserve">.</w:t>
      </w:r>
    </w:p>
    <w:bookmarkEnd w:id="171"/>
    <w:bookmarkStart w:id="172"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72"/>
    <w:bookmarkStart w:id="174"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73">
        <w:r>
          <w:rPr>
            <w:rStyle w:val="Hyperlink"/>
          </w:rPr>
          <w:t xml:space="preserve">10.6073/PASTA/213335F5DAA17222A738C105B9FA60C4</w:t>
        </w:r>
      </w:hyperlink>
      <w:r>
        <w:t xml:space="preserve">.</w:t>
      </w:r>
    </w:p>
    <w:bookmarkEnd w:id="174"/>
    <w:bookmarkStart w:id="176"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75">
        <w:r>
          <w:rPr>
            <w:rStyle w:val="Hyperlink"/>
          </w:rPr>
          <w:t xml:space="preserve">10.6073/PASTA/69E92642B512897032446CFE795CFFB8</w:t>
        </w:r>
      </w:hyperlink>
      <w:r>
        <w:t xml:space="preserve">.</w:t>
      </w:r>
    </w:p>
    <w:bookmarkEnd w:id="176"/>
    <w:bookmarkStart w:id="178" w:name="ref-begueria_standardized_2014"/>
    <w:p>
      <w:pPr>
        <w:pStyle w:val="Bibliography"/>
      </w:pPr>
      <w:r>
        <w:t xml:space="preserve">62.</w:t>
      </w:r>
      <w:r>
        <w:t xml:space="preserve"> </w:t>
      </w:r>
      <w:r>
        <w:t xml:space="preserve">	</w:t>
      </w:r>
      <w:r>
        <w:t xml:space="preserve">Beguería, S., Vicente-Serrano, S. M., Reig, F. &amp; Latorre, B.</w:t>
      </w:r>
      <w:r>
        <w:t xml:space="preserve"> </w:t>
      </w:r>
      <w:hyperlink r:id="rId177">
        <w:r>
          <w:rPr>
            <w:rStyle w:val="Hyperlink"/>
          </w:rPr>
          <w:t xml:space="preserve">Standardized precipitation evapotranspiration index (</w:t>
        </w:r>
        <w:r>
          <w:rPr>
            <w:rStyle w:val="Hyperlink"/>
          </w:rPr>
          <w:t xml:space="preserve">SPEI</w:t>
        </w:r>
        <w:r>
          <w:rPr>
            <w:rStyle w:val="Hyperlink"/>
          </w:rPr>
          <w:t xml:space="preserve">) revisited: Parameter fitting, evapotranspiration models, tools, datasets and drought monitoring</w:t>
        </w:r>
      </w:hyperlink>
      <w:r>
        <w:t xml:space="preserve">.</w:t>
      </w:r>
      <w:r>
        <w:t xml:space="preserve"> </w:t>
      </w:r>
      <w:r>
        <w:rPr>
          <w:iCs/>
          <w:i/>
        </w:rPr>
        <w:t xml:space="preserve">International Journal of Climatology</w:t>
      </w:r>
      <w:r>
        <w:t xml:space="preserve"> </w:t>
      </w:r>
      <w:r>
        <w:rPr>
          <w:bCs/>
          <w:b/>
        </w:rPr>
        <w:t xml:space="preserve">34</w:t>
      </w:r>
      <w:r>
        <w:t xml:space="preserve">, 3001–3023 (2014).</w:t>
      </w:r>
    </w:p>
    <w:bookmarkEnd w:id="178"/>
    <w:bookmarkStart w:id="179" w:name="ref-vicente-serrano_multiscalar_2010a"/>
    <w:p>
      <w:pPr>
        <w:pStyle w:val="Bibliography"/>
      </w:pPr>
      <w:r>
        <w:t xml:space="preserve">63.</w:t>
      </w:r>
      <w:r>
        <w:t xml:space="preserve"> </w:t>
      </w:r>
      <w:r>
        <w:t xml:space="preserve">	</w:t>
      </w:r>
      <w:r>
        <w:t xml:space="preserve">Vicente-Serrano, S. M., Beguería, S. &amp; López-Moreno, J. I.</w:t>
      </w:r>
      <w:r>
        <w:t xml:space="preserve"> </w:t>
      </w:r>
      <w:hyperlink r:id="rId16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w:t>
      </w:r>
      <w:r>
        <w:rPr>
          <w:bCs/>
          <w:b/>
        </w:rPr>
        <w:t xml:space="preserve">23</w:t>
      </w:r>
      <w:r>
        <w:t xml:space="preserve">, 1696–1718 (2010).</w:t>
      </w:r>
    </w:p>
    <w:bookmarkEnd w:id="179"/>
    <w:bookmarkStart w:id="181"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w:t>
      </w:r>
      <w:hyperlink r:id="rId180">
        <w:r>
          <w:rPr>
            <w:rStyle w:val="Hyperlink"/>
          </w:rPr>
          <w:t xml:space="preserve">Identifying the best climatic predictors in ecology and evolution</w:t>
        </w:r>
      </w:hyperlink>
      <w:r>
        <w:t xml:space="preserve">.</w:t>
      </w:r>
      <w:r>
        <w:t xml:space="preserve"> </w:t>
      </w:r>
      <w:r>
        <w:rPr>
          <w:iCs/>
          <w:i/>
        </w:rPr>
        <w:t xml:space="preserve">Methods in Ecology and Evolution</w:t>
      </w:r>
      <w:r>
        <w:t xml:space="preserve"> </w:t>
      </w:r>
      <w:r>
        <w:rPr>
          <w:bCs/>
          <w:b/>
        </w:rPr>
        <w:t xml:space="preserve">7</w:t>
      </w:r>
      <w:r>
        <w:t xml:space="preserve">, 1246–1257 (2016).</w:t>
      </w:r>
    </w:p>
    <w:bookmarkEnd w:id="181"/>
    <w:bookmarkStart w:id="182"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82"/>
    <w:bookmarkStart w:id="183"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83"/>
    <w:bookmarkStart w:id="184"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84"/>
    <w:bookmarkStart w:id="185"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85"/>
    <w:bookmarkStart w:id="187"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w:t>
      </w:r>
      <w:hyperlink r:id="rId186">
        <w:r>
          <w:rPr>
            <w:rStyle w:val="Hyperlink"/>
          </w:rPr>
          <w:t xml:space="preserve">The potential to strengthen temperature reconstructions in ecoregions with limited tree line using a multispecies approach</w:t>
        </w:r>
      </w:hyperlink>
      <w:r>
        <w:t xml:space="preserve">.</w:t>
      </w:r>
      <w:r>
        <w:t xml:space="preserve"> </w:t>
      </w:r>
      <w:r>
        <w:rPr>
          <w:iCs/>
          <w:i/>
        </w:rPr>
        <w:t xml:space="preserve">Quaternary Research</w:t>
      </w:r>
      <w:r>
        <w:t xml:space="preserve"> </w:t>
      </w:r>
      <w:r>
        <w:rPr>
          <w:bCs/>
          <w:b/>
        </w:rPr>
        <w:t xml:space="preserve">92</w:t>
      </w:r>
      <w:r>
        <w:t xml:space="preserve">, 583–597 (2019).</w:t>
      </w:r>
    </w:p>
    <w:bookmarkEnd w:id="187"/>
    <w:bookmarkStart w:id="189"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w:t>
      </w:r>
      <w:hyperlink r:id="rId188">
        <w:r>
          <w:rPr>
            <w:rStyle w:val="Hyperlink"/>
          </w:rPr>
          <w:t xml:space="preserve">Comparing tree-ring and permanent plot estimates of aboveground net primary production in three eastern</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 forests</w:t>
        </w:r>
      </w:hyperlink>
      <w:r>
        <w:t xml:space="preserve">.</w:t>
      </w:r>
      <w:r>
        <w:t xml:space="preserve"> </w:t>
      </w:r>
      <w:r>
        <w:rPr>
          <w:iCs/>
          <w:i/>
        </w:rPr>
        <w:t xml:space="preserve">Ecosphere</w:t>
      </w:r>
      <w:r>
        <w:t xml:space="preserve"> </w:t>
      </w:r>
      <w:r>
        <w:rPr>
          <w:bCs/>
          <w:b/>
        </w:rPr>
        <w:t xml:space="preserve">7</w:t>
      </w:r>
      <w:r>
        <w:t xml:space="preserve">, e01454 (2016).</w:t>
      </w:r>
    </w:p>
    <w:bookmarkEnd w:id="189"/>
    <w:bookmarkStart w:id="190"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90"/>
    <w:bookmarkStart w:id="192"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w:t>
      </w:r>
      <w:hyperlink r:id="rId191">
        <w:r>
          <w:rPr>
            <w:rStyle w:val="Hyperlink"/>
          </w:rPr>
          <w:t xml:space="preserve">Sampling density and date along with species selection influence spatial representation of tree-ring reconstructions</w:t>
        </w:r>
      </w:hyperlink>
      <w:r>
        <w:t xml:space="preserve">.</w:t>
      </w:r>
      <w:r>
        <w:t xml:space="preserve"> </w:t>
      </w:r>
      <w:r>
        <w:rPr>
          <w:iCs/>
          <w:i/>
        </w:rPr>
        <w:t xml:space="preserve">Climate of the Past</w:t>
      </w:r>
      <w:r>
        <w:t xml:space="preserve"> </w:t>
      </w:r>
      <w:r>
        <w:rPr>
          <w:bCs/>
          <w:b/>
        </w:rPr>
        <w:t xml:space="preserve">16</w:t>
      </w:r>
      <w:r>
        <w:t xml:space="preserve">, 1901–1916 (2020).</w:t>
      </w:r>
    </w:p>
    <w:bookmarkEnd w:id="192"/>
    <w:bookmarkStart w:id="194"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93">
        <w:r>
          <w:rPr>
            <w:rStyle w:val="Hyperlink"/>
          </w:rPr>
          <w:t xml:space="preserve">10.1007/978-94-015-7879-0</w:t>
        </w:r>
      </w:hyperlink>
      <w:r>
        <w:t xml:space="preserve">.</w:t>
      </w:r>
    </w:p>
    <w:bookmarkEnd w:id="194"/>
    <w:bookmarkStart w:id="195"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95"/>
    <w:bookmarkStart w:id="197" w:name="ref-cook_calculating_1997"/>
    <w:p>
      <w:pPr>
        <w:pStyle w:val="Bibliography"/>
      </w:pPr>
      <w:r>
        <w:t xml:space="preserve">75.</w:t>
      </w:r>
      <w:r>
        <w:t xml:space="preserve"> </w:t>
      </w:r>
      <w:r>
        <w:t xml:space="preserve">	</w:t>
      </w:r>
      <w:r>
        <w:t xml:space="preserve">Cook, E. R. &amp; Peters, K.</w:t>
      </w:r>
      <w:r>
        <w:t xml:space="preserve"> </w:t>
      </w:r>
      <w:hyperlink r:id="rId196">
        <w:r>
          <w:rPr>
            <w:rStyle w:val="Hyperlink"/>
          </w:rPr>
          <w:t xml:space="preserve">Calculating unbiased tree-ring indices for the study of climatic and environmental change</w:t>
        </w:r>
      </w:hyperlink>
      <w:r>
        <w:t xml:space="preserve">.</w:t>
      </w:r>
      <w:r>
        <w:t xml:space="preserve"> </w:t>
      </w:r>
      <w:r>
        <w:rPr>
          <w:iCs/>
          <w:i/>
        </w:rPr>
        <w:t xml:space="preserve">The Holocene</w:t>
      </w:r>
      <w:r>
        <w:t xml:space="preserve"> </w:t>
      </w:r>
      <w:r>
        <w:rPr>
          <w:bCs/>
          <w:b/>
        </w:rPr>
        <w:t xml:space="preserve">7</w:t>
      </w:r>
      <w:r>
        <w:t xml:space="preserve">, 361–370 (1997).</w:t>
      </w:r>
    </w:p>
    <w:bookmarkEnd w:id="197"/>
    <w:bookmarkStart w:id="19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98"/>
    <w:bookmarkStart w:id="19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99"/>
    <w:bookmarkStart w:id="201" w:name="ref-bunn_dendrochronology_2008"/>
    <w:p>
      <w:pPr>
        <w:pStyle w:val="Bibliography"/>
      </w:pPr>
      <w:r>
        <w:t xml:space="preserve">78.</w:t>
      </w:r>
      <w:r>
        <w:t xml:space="preserve"> </w:t>
      </w:r>
      <w:r>
        <w:t xml:space="preserve">	</w:t>
      </w:r>
      <w:r>
        <w:t xml:space="preserve">Bunn, A. G.</w:t>
      </w:r>
      <w:r>
        <w:t xml:space="preserve"> </w:t>
      </w:r>
      <w:hyperlink r:id="rId200">
        <w:r>
          <w:rPr>
            <w:rStyle w:val="Hyperlink"/>
          </w:rPr>
          <w:t xml:space="preserve">A dendrochronology program library in</w:t>
        </w:r>
        <w:r>
          <w:rPr>
            <w:rStyle w:val="Hyperlink"/>
          </w:rPr>
          <w:t xml:space="preserve"> </w:t>
        </w:r>
        <w:r>
          <w:rPr>
            <w:rStyle w:val="Hyperlink"/>
          </w:rPr>
          <w:t xml:space="preserve">R</w:t>
        </w:r>
        <w:r>
          <w:rPr>
            <w:rStyle w:val="Hyperlink"/>
          </w:rPr>
          <w:t xml:space="preserve"> </w:t>
        </w:r>
        <w:r>
          <w:rPr>
            <w:rStyle w:val="Hyperlink"/>
          </w:rPr>
          <w:t xml:space="preserve">(</w:t>
        </w:r>
        <w:r>
          <w:rPr>
            <w:rStyle w:val="Hyperlink"/>
          </w:rPr>
          <w:t xml:space="preserve">dplR</w:t>
        </w:r>
        <w:r>
          <w:rPr>
            <w:rStyle w:val="Hyperlink"/>
          </w:rPr>
          <w:t xml:space="preserve">)</w:t>
        </w:r>
      </w:hyperlink>
      <w:r>
        <w:t xml:space="preserve">.</w:t>
      </w:r>
      <w:r>
        <w:t xml:space="preserve"> </w:t>
      </w:r>
      <w:r>
        <w:rPr>
          <w:iCs/>
          <w:i/>
        </w:rPr>
        <w:t xml:space="preserve">Dendrochronologia</w:t>
      </w:r>
      <w:r>
        <w:t xml:space="preserve"> </w:t>
      </w:r>
      <w:r>
        <w:rPr>
          <w:bCs/>
          <w:b/>
        </w:rPr>
        <w:t xml:space="preserve">26</w:t>
      </w:r>
      <w:r>
        <w:t xml:space="preserve">, 115–124 (2008).</w:t>
      </w:r>
    </w:p>
    <w:bookmarkEnd w:id="201"/>
    <w:bookmarkStart w:id="203" w:name="ref-zang_dendroclimatic_2013"/>
    <w:p>
      <w:pPr>
        <w:pStyle w:val="Bibliography"/>
      </w:pPr>
      <w:r>
        <w:t xml:space="preserve">79.</w:t>
      </w:r>
      <w:r>
        <w:t xml:space="preserve"> </w:t>
      </w:r>
      <w:r>
        <w:t xml:space="preserve">	</w:t>
      </w:r>
      <w:r>
        <w:t xml:space="preserve">Zang, C. &amp; Biondi, F.</w:t>
      </w:r>
      <w:r>
        <w:t xml:space="preserve"> </w:t>
      </w:r>
      <w:hyperlink r:id="rId202">
        <w:r>
          <w:rPr>
            <w:rStyle w:val="Hyperlink"/>
          </w:rPr>
          <w:t xml:space="preserve">Dendroclimatic calibration in</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The bootRes</w:t>
        </w:r>
        <w:r>
          <w:rPr>
            <w:rStyle w:val="Hyperlink"/>
          </w:rPr>
          <w:t xml:space="preserve"> </w:t>
        </w:r>
        <w:r>
          <w:rPr>
            <w:rStyle w:val="Hyperlink"/>
          </w:rPr>
          <w:t xml:space="preserve">package for response and correlation function analysis</w:t>
        </w:r>
      </w:hyperlink>
      <w:r>
        <w:t xml:space="preserve">.</w:t>
      </w:r>
      <w:r>
        <w:t xml:space="preserve"> </w:t>
      </w:r>
      <w:r>
        <w:rPr>
          <w:iCs/>
          <w:i/>
        </w:rPr>
        <w:t xml:space="preserve">Dendrochronologia</w:t>
      </w:r>
      <w:r>
        <w:t xml:space="preserve"> </w:t>
      </w:r>
      <w:r>
        <w:rPr>
          <w:bCs/>
          <w:b/>
        </w:rPr>
        <w:t xml:space="preserve">31</w:t>
      </w:r>
      <w:r>
        <w:t xml:space="preserve">, 68–74 (2013).</w:t>
      </w:r>
    </w:p>
    <w:bookmarkEnd w:id="203"/>
    <w:bookmarkEnd w:id="204"/>
    <w:bookmarkEnd w:id="205"/>
    <w:sectPr w:rsidR="00D701CB" w:rsidSect="00322D48">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47261BAD"/>
    <w:multiLevelType w:val="multilevel"/>
    <w:tmpl w:val="9C32ABF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052A4B"/>
    <w:pPr>
      <w:spacing w:after="48" w:afterLines="20" w:before="48" w:beforeLines="20"/>
    </w:pPr>
    <w:rPr>
      <w:rFonts w:ascii="Times" w:cs="Calibri" w:hAnsi="Times"/>
      <w:sz w:val="20"/>
      <w:szCs w:val="20"/>
    </w:r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LineNumber" w:type="charact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76" Target="https://doi.org/10.1002/2016GB005557" TargetMode="External" /><Relationship Type="http://schemas.openxmlformats.org/officeDocument/2006/relationships/hyperlink" Id="rId123" Target="https://doi.org/10.1002/ece3.1117" TargetMode="External" /><Relationship Type="http://schemas.openxmlformats.org/officeDocument/2006/relationships/hyperlink" Id="rId62" Target="https://doi.org/10.1002/ecm.1423" TargetMode="External" /><Relationship Type="http://schemas.openxmlformats.org/officeDocument/2006/relationships/hyperlink" Id="rId188" Target="https://doi.org/10.1002/ecs2.1454" TargetMode="External" /><Relationship Type="http://schemas.openxmlformats.org/officeDocument/2006/relationships/hyperlink" Id="rId177" Target="https://doi.org/10.1002/joc.3887" TargetMode="External" /><Relationship Type="http://schemas.openxmlformats.org/officeDocument/2006/relationships/hyperlink" Id="rId193" Target="https://doi.org/10.1007/978-94-015-7879-0" TargetMode="External" /><Relationship Type="http://schemas.openxmlformats.org/officeDocument/2006/relationships/hyperlink" Id="rId78" Target="https://doi.org/10.1007/s10021-014-9757-5" TargetMode="External" /><Relationship Type="http://schemas.openxmlformats.org/officeDocument/2006/relationships/hyperlink" Id="rId74" Target="https://doi.org/10.1007/s13595-015-0477-6" TargetMode="External" /><Relationship Type="http://schemas.openxmlformats.org/officeDocument/2006/relationships/hyperlink" Id="rId68" Target="https://doi.org/10.1016/j.agrformet.2016.06.010" TargetMode="External" /><Relationship Type="http://schemas.openxmlformats.org/officeDocument/2006/relationships/hyperlink" Id="rId95" Target="https://doi.org/10.1016/j.agrformet.2018.01.011" TargetMode="External" /><Relationship Type="http://schemas.openxmlformats.org/officeDocument/2006/relationships/hyperlink" Id="rId161" Target="https://doi.org/10.1016/j.biocon.2020.108907" TargetMode="External" /><Relationship Type="http://schemas.openxmlformats.org/officeDocument/2006/relationships/hyperlink" Id="rId153" Target="https://doi.org/10.1016/j.catena.2020.104936" TargetMode="External" /><Relationship Type="http://schemas.openxmlformats.org/officeDocument/2006/relationships/hyperlink" Id="rId200" Target="https://doi.org/10.1016/j.dendro.2008.01.002" TargetMode="External" /><Relationship Type="http://schemas.openxmlformats.org/officeDocument/2006/relationships/hyperlink" Id="rId202" Target="https://doi.org/10.1016/j.dendro.2012.08.001" TargetMode="External" /><Relationship Type="http://schemas.openxmlformats.org/officeDocument/2006/relationships/hyperlink" Id="rId137" Target="https://doi.org/10.1016/j.quaint.2012.05.037" TargetMode="External" /><Relationship Type="http://schemas.openxmlformats.org/officeDocument/2006/relationships/hyperlink" Id="rId186" Target="https://doi.org/10.1017/qua.2019.33" TargetMode="External" /><Relationship Type="http://schemas.openxmlformats.org/officeDocument/2006/relationships/hyperlink" Id="rId139" Target="https://doi.org/10.1029/2002EO000187" TargetMode="External" /><Relationship Type="http://schemas.openxmlformats.org/officeDocument/2006/relationships/hyperlink" Id="rId64" Target="https://doi.org/10.1038/382146a0" TargetMode="External" /><Relationship Type="http://schemas.openxmlformats.org/officeDocument/2006/relationships/hyperlink" Id="rId58" Target="https://doi.org/10.1038/nclimate2253" TargetMode="External" /><Relationship Type="http://schemas.openxmlformats.org/officeDocument/2006/relationships/hyperlink" Id="rId151" Target="https://doi.org/10.1038/nclimate3114" TargetMode="External" /><Relationship Type="http://schemas.openxmlformats.org/officeDocument/2006/relationships/hyperlink" Id="rId131" Target="https://doi.org/10.1038/nplants.2015.160" TargetMode="External" /><Relationship Type="http://schemas.openxmlformats.org/officeDocument/2006/relationships/hyperlink" Id="rId129" Target="https://doi.org/10.1038/nplants.2016.133" TargetMode="External" /><Relationship Type="http://schemas.openxmlformats.org/officeDocument/2006/relationships/hyperlink" Id="rId82" Target="https://doi.org/10.1038/s41558-020-00976-6" TargetMode="External" /><Relationship Type="http://schemas.openxmlformats.org/officeDocument/2006/relationships/hyperlink" Id="rId149" Target="https://doi.org/10.1038/s41558-021-01244-x" TargetMode="External" /><Relationship Type="http://schemas.openxmlformats.org/officeDocument/2006/relationships/hyperlink" Id="rId105" Target="https://doi.org/10.1038/s41559-022-01668-4" TargetMode="External" /><Relationship Type="http://schemas.openxmlformats.org/officeDocument/2006/relationships/hyperlink" Id="rId60" Target="https://doi.org/10.1038/s41586-018-0555-7" TargetMode="External" /><Relationship Type="http://schemas.openxmlformats.org/officeDocument/2006/relationships/hyperlink" Id="rId93" Target="https://doi.org/10.1038/s41586-020-2128-9" TargetMode="External" /><Relationship Type="http://schemas.openxmlformats.org/officeDocument/2006/relationships/hyperlink" Id="rId163" Target="https://doi.org/10.1038/s41597-020-0453-3" TargetMode="External" /><Relationship Type="http://schemas.openxmlformats.org/officeDocument/2006/relationships/hyperlink" Id="rId84" Target="https://doi.org/10.1073/pnas.1810512116" TargetMode="External" /><Relationship Type="http://schemas.openxmlformats.org/officeDocument/2006/relationships/hyperlink" Id="rId141" Target="https://doi.org/10.1073/pnas.2002713117" TargetMode="External" /><Relationship Type="http://schemas.openxmlformats.org/officeDocument/2006/relationships/hyperlink" Id="rId99" Target="https://doi.org/10.1073/pnas.2007058117" TargetMode="External" /><Relationship Type="http://schemas.openxmlformats.org/officeDocument/2006/relationships/hyperlink" Id="rId86" Target="https://doi.org/10.1088/1748-9326/7/4/044008" TargetMode="External" /><Relationship Type="http://schemas.openxmlformats.org/officeDocument/2006/relationships/hyperlink" Id="rId125" Target="https://doi.org/10.1093/treephys/tpab101" TargetMode="External" /><Relationship Type="http://schemas.openxmlformats.org/officeDocument/2006/relationships/hyperlink" Id="rId115" Target="https://doi.org/10.1111/1365-2745.13682" TargetMode="External" /><Relationship Type="http://schemas.openxmlformats.org/officeDocument/2006/relationships/hyperlink" Id="rId180" Target="https://doi.org/10.1111/2041-210X.12590" TargetMode="External" /><Relationship Type="http://schemas.openxmlformats.org/officeDocument/2006/relationships/hyperlink" Id="rId111" Target="https://doi.org/10.1111/ele.13933" TargetMode="External" /><Relationship Type="http://schemas.openxmlformats.org/officeDocument/2006/relationships/hyperlink" Id="rId159" Target="https://doi.org/10.1111/gcb.12712" TargetMode="External" /><Relationship Type="http://schemas.openxmlformats.org/officeDocument/2006/relationships/hyperlink" Id="rId119" Target="https://doi.org/10.1111/gcb.14096" TargetMode="External" /><Relationship Type="http://schemas.openxmlformats.org/officeDocument/2006/relationships/hyperlink" Id="rId70" Target="https://doi.org/10.1111/gcb.14731" TargetMode="External" /><Relationship Type="http://schemas.openxmlformats.org/officeDocument/2006/relationships/hyperlink" Id="rId145" Target="https://doi.org/10.1111/gcb.15574" TargetMode="External" /><Relationship Type="http://schemas.openxmlformats.org/officeDocument/2006/relationships/hyperlink" Id="rId143" Target="https://doi.org/10.1111/gcb.15934" TargetMode="External" /><Relationship Type="http://schemas.openxmlformats.org/officeDocument/2006/relationships/hyperlink" Id="rId91" Target="https://doi.org/10.1111/gcb.16104" TargetMode="External" /><Relationship Type="http://schemas.openxmlformats.org/officeDocument/2006/relationships/hyperlink" Id="rId147" Target="https://doi.org/10.1111/j.1365-2486.2005.001012.x" TargetMode="External" /><Relationship Type="http://schemas.openxmlformats.org/officeDocument/2006/relationships/hyperlink" Id="rId66" Target="https://doi.org/10.1111/j.1365-2486.2010.02281.x" TargetMode="External" /><Relationship Type="http://schemas.openxmlformats.org/officeDocument/2006/relationships/hyperlink" Id="rId80" Target="https://doi.org/10.1111/j.1365-2486.2011.02562.x" TargetMode="External" /><Relationship Type="http://schemas.openxmlformats.org/officeDocument/2006/relationships/hyperlink" Id="rId101" Target="https://doi.org/10.1111/j.1466-8238.2008.00417.x" TargetMode="External" /><Relationship Type="http://schemas.openxmlformats.org/officeDocument/2006/relationships/hyperlink" Id="rId127" Target="https://doi.org/10.1111/nph.12042" TargetMode="External" /><Relationship Type="http://schemas.openxmlformats.org/officeDocument/2006/relationships/hyperlink" Id="rId97" Target="https://doi.org/10.1111/nph.13771" TargetMode="External" /><Relationship Type="http://schemas.openxmlformats.org/officeDocument/2006/relationships/hyperlink" Id="rId121" Target="https://doi.org/10.1111/nph.15906" TargetMode="External" /><Relationship Type="http://schemas.openxmlformats.org/officeDocument/2006/relationships/hyperlink" Id="rId72" Target="https://doi.org/10.1111/nph.17289" TargetMode="External" /><Relationship Type="http://schemas.openxmlformats.org/officeDocument/2006/relationships/hyperlink" Id="rId107" Target="https://doi.org/10.1111/nph.17552" TargetMode="External" /><Relationship Type="http://schemas.openxmlformats.org/officeDocument/2006/relationships/hyperlink" Id="rId109" Target="https://doi.org/10.1111/nph.17952" TargetMode="External" /><Relationship Type="http://schemas.openxmlformats.org/officeDocument/2006/relationships/hyperlink" Id="rId103" Target="https://doi.org/10.1126/sciadv.aat4313" TargetMode="External" /><Relationship Type="http://schemas.openxmlformats.org/officeDocument/2006/relationships/hyperlink" Id="rId155" Target="https://doi.org/10.1126/sciadv.aax0255" TargetMode="External" /><Relationship Type="http://schemas.openxmlformats.org/officeDocument/2006/relationships/hyperlink" Id="rId113" Target="https://doi.org/10.1126/science.abd8911" TargetMode="External" /><Relationship Type="http://schemas.openxmlformats.org/officeDocument/2006/relationships/hyperlink" Id="rId117" Target="https://doi.org/10.1126/science.abm4875" TargetMode="External" /><Relationship Type="http://schemas.openxmlformats.org/officeDocument/2006/relationships/hyperlink" Id="rId133" Target="https://doi.org/10.1139/x06-133" TargetMode="External" /><Relationship Type="http://schemas.openxmlformats.org/officeDocument/2006/relationships/hyperlink" Id="rId165" Target="https://doi.org/10.1175/2009JCLI2909.1" TargetMode="External" /><Relationship Type="http://schemas.openxmlformats.org/officeDocument/2006/relationships/hyperlink" Id="rId196" Target="https://doi.org/10.1177/095968369700700314" TargetMode="External" /><Relationship Type="http://schemas.openxmlformats.org/officeDocument/2006/relationships/hyperlink" Id="rId157" Target="https://doi.org/10.1890/13-0010.1" TargetMode="External" /><Relationship Type="http://schemas.openxmlformats.org/officeDocument/2006/relationships/hyperlink" Id="rId135" Target="https://doi.org/10.3390/f11050600" TargetMode="External" /><Relationship Type="http://schemas.openxmlformats.org/officeDocument/2006/relationships/hyperlink" Id="rId168" Target="https://doi.org/10.5067/MODIS/MCD12Q2.006" TargetMode="External" /><Relationship Type="http://schemas.openxmlformats.org/officeDocument/2006/relationships/hyperlink" Id="rId191" Target="https://doi.org/10.5194/cp-16-1901-2020" TargetMode="External" /><Relationship Type="http://schemas.openxmlformats.org/officeDocument/2006/relationships/hyperlink" Id="rId88" Target="https://doi.org/10.5194/essd-12-3269-2020" TargetMode="External" /><Relationship Type="http://schemas.openxmlformats.org/officeDocument/2006/relationships/hyperlink" Id="rId170" Target="https://doi.org/10.5281/ZENODO.4041609" TargetMode="External" /><Relationship Type="http://schemas.openxmlformats.org/officeDocument/2006/relationships/hyperlink" Id="rId173" Target="https://doi.org/10.6073/PASTA/213335F5DAA17222A738C105B9FA60C4" TargetMode="External" /><Relationship Type="http://schemas.openxmlformats.org/officeDocument/2006/relationships/hyperlink" Id="rId175"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76" Target="https://doi.org/10.1002/2016GB005557" TargetMode="External" /><Relationship Type="http://schemas.openxmlformats.org/officeDocument/2006/relationships/hyperlink" Id="rId123" Target="https://doi.org/10.1002/ece3.1117" TargetMode="External" /><Relationship Type="http://schemas.openxmlformats.org/officeDocument/2006/relationships/hyperlink" Id="rId62" Target="https://doi.org/10.1002/ecm.1423" TargetMode="External" /><Relationship Type="http://schemas.openxmlformats.org/officeDocument/2006/relationships/hyperlink" Id="rId188" Target="https://doi.org/10.1002/ecs2.1454" TargetMode="External" /><Relationship Type="http://schemas.openxmlformats.org/officeDocument/2006/relationships/hyperlink" Id="rId177" Target="https://doi.org/10.1002/joc.3887" TargetMode="External" /><Relationship Type="http://schemas.openxmlformats.org/officeDocument/2006/relationships/hyperlink" Id="rId193" Target="https://doi.org/10.1007/978-94-015-7879-0" TargetMode="External" /><Relationship Type="http://schemas.openxmlformats.org/officeDocument/2006/relationships/hyperlink" Id="rId78" Target="https://doi.org/10.1007/s10021-014-9757-5" TargetMode="External" /><Relationship Type="http://schemas.openxmlformats.org/officeDocument/2006/relationships/hyperlink" Id="rId74" Target="https://doi.org/10.1007/s13595-015-0477-6" TargetMode="External" /><Relationship Type="http://schemas.openxmlformats.org/officeDocument/2006/relationships/hyperlink" Id="rId68" Target="https://doi.org/10.1016/j.agrformet.2016.06.010" TargetMode="External" /><Relationship Type="http://schemas.openxmlformats.org/officeDocument/2006/relationships/hyperlink" Id="rId95" Target="https://doi.org/10.1016/j.agrformet.2018.01.011" TargetMode="External" /><Relationship Type="http://schemas.openxmlformats.org/officeDocument/2006/relationships/hyperlink" Id="rId161" Target="https://doi.org/10.1016/j.biocon.2020.108907" TargetMode="External" /><Relationship Type="http://schemas.openxmlformats.org/officeDocument/2006/relationships/hyperlink" Id="rId153" Target="https://doi.org/10.1016/j.catena.2020.104936" TargetMode="External" /><Relationship Type="http://schemas.openxmlformats.org/officeDocument/2006/relationships/hyperlink" Id="rId200" Target="https://doi.org/10.1016/j.dendro.2008.01.002" TargetMode="External" /><Relationship Type="http://schemas.openxmlformats.org/officeDocument/2006/relationships/hyperlink" Id="rId202" Target="https://doi.org/10.1016/j.dendro.2012.08.001" TargetMode="External" /><Relationship Type="http://schemas.openxmlformats.org/officeDocument/2006/relationships/hyperlink" Id="rId137" Target="https://doi.org/10.1016/j.quaint.2012.05.037" TargetMode="External" /><Relationship Type="http://schemas.openxmlformats.org/officeDocument/2006/relationships/hyperlink" Id="rId186" Target="https://doi.org/10.1017/qua.2019.33" TargetMode="External" /><Relationship Type="http://schemas.openxmlformats.org/officeDocument/2006/relationships/hyperlink" Id="rId139" Target="https://doi.org/10.1029/2002EO000187" TargetMode="External" /><Relationship Type="http://schemas.openxmlformats.org/officeDocument/2006/relationships/hyperlink" Id="rId64" Target="https://doi.org/10.1038/382146a0" TargetMode="External" /><Relationship Type="http://schemas.openxmlformats.org/officeDocument/2006/relationships/hyperlink" Id="rId58" Target="https://doi.org/10.1038/nclimate2253" TargetMode="External" /><Relationship Type="http://schemas.openxmlformats.org/officeDocument/2006/relationships/hyperlink" Id="rId151" Target="https://doi.org/10.1038/nclimate3114" TargetMode="External" /><Relationship Type="http://schemas.openxmlformats.org/officeDocument/2006/relationships/hyperlink" Id="rId131" Target="https://doi.org/10.1038/nplants.2015.160" TargetMode="External" /><Relationship Type="http://schemas.openxmlformats.org/officeDocument/2006/relationships/hyperlink" Id="rId129" Target="https://doi.org/10.1038/nplants.2016.133" TargetMode="External" /><Relationship Type="http://schemas.openxmlformats.org/officeDocument/2006/relationships/hyperlink" Id="rId82" Target="https://doi.org/10.1038/s41558-020-00976-6" TargetMode="External" /><Relationship Type="http://schemas.openxmlformats.org/officeDocument/2006/relationships/hyperlink" Id="rId149" Target="https://doi.org/10.1038/s41558-021-01244-x" TargetMode="External" /><Relationship Type="http://schemas.openxmlformats.org/officeDocument/2006/relationships/hyperlink" Id="rId105" Target="https://doi.org/10.1038/s41559-022-01668-4" TargetMode="External" /><Relationship Type="http://schemas.openxmlformats.org/officeDocument/2006/relationships/hyperlink" Id="rId60" Target="https://doi.org/10.1038/s41586-018-0555-7" TargetMode="External" /><Relationship Type="http://schemas.openxmlformats.org/officeDocument/2006/relationships/hyperlink" Id="rId93" Target="https://doi.org/10.1038/s41586-020-2128-9" TargetMode="External" /><Relationship Type="http://schemas.openxmlformats.org/officeDocument/2006/relationships/hyperlink" Id="rId163" Target="https://doi.org/10.1038/s41597-020-0453-3" TargetMode="External" /><Relationship Type="http://schemas.openxmlformats.org/officeDocument/2006/relationships/hyperlink" Id="rId84" Target="https://doi.org/10.1073/pnas.1810512116" TargetMode="External" /><Relationship Type="http://schemas.openxmlformats.org/officeDocument/2006/relationships/hyperlink" Id="rId141" Target="https://doi.org/10.1073/pnas.2002713117" TargetMode="External" /><Relationship Type="http://schemas.openxmlformats.org/officeDocument/2006/relationships/hyperlink" Id="rId99" Target="https://doi.org/10.1073/pnas.2007058117" TargetMode="External" /><Relationship Type="http://schemas.openxmlformats.org/officeDocument/2006/relationships/hyperlink" Id="rId86" Target="https://doi.org/10.1088/1748-9326/7/4/044008" TargetMode="External" /><Relationship Type="http://schemas.openxmlformats.org/officeDocument/2006/relationships/hyperlink" Id="rId125" Target="https://doi.org/10.1093/treephys/tpab101" TargetMode="External" /><Relationship Type="http://schemas.openxmlformats.org/officeDocument/2006/relationships/hyperlink" Id="rId115" Target="https://doi.org/10.1111/1365-2745.13682" TargetMode="External" /><Relationship Type="http://schemas.openxmlformats.org/officeDocument/2006/relationships/hyperlink" Id="rId180" Target="https://doi.org/10.1111/2041-210X.12590" TargetMode="External" /><Relationship Type="http://schemas.openxmlformats.org/officeDocument/2006/relationships/hyperlink" Id="rId111" Target="https://doi.org/10.1111/ele.13933" TargetMode="External" /><Relationship Type="http://schemas.openxmlformats.org/officeDocument/2006/relationships/hyperlink" Id="rId159" Target="https://doi.org/10.1111/gcb.12712" TargetMode="External" /><Relationship Type="http://schemas.openxmlformats.org/officeDocument/2006/relationships/hyperlink" Id="rId119" Target="https://doi.org/10.1111/gcb.14096" TargetMode="External" /><Relationship Type="http://schemas.openxmlformats.org/officeDocument/2006/relationships/hyperlink" Id="rId70" Target="https://doi.org/10.1111/gcb.14731" TargetMode="External" /><Relationship Type="http://schemas.openxmlformats.org/officeDocument/2006/relationships/hyperlink" Id="rId145" Target="https://doi.org/10.1111/gcb.15574" TargetMode="External" /><Relationship Type="http://schemas.openxmlformats.org/officeDocument/2006/relationships/hyperlink" Id="rId143" Target="https://doi.org/10.1111/gcb.15934" TargetMode="External" /><Relationship Type="http://schemas.openxmlformats.org/officeDocument/2006/relationships/hyperlink" Id="rId91" Target="https://doi.org/10.1111/gcb.16104" TargetMode="External" /><Relationship Type="http://schemas.openxmlformats.org/officeDocument/2006/relationships/hyperlink" Id="rId147" Target="https://doi.org/10.1111/j.1365-2486.2005.001012.x" TargetMode="External" /><Relationship Type="http://schemas.openxmlformats.org/officeDocument/2006/relationships/hyperlink" Id="rId66" Target="https://doi.org/10.1111/j.1365-2486.2010.02281.x" TargetMode="External" /><Relationship Type="http://schemas.openxmlformats.org/officeDocument/2006/relationships/hyperlink" Id="rId80" Target="https://doi.org/10.1111/j.1365-2486.2011.02562.x" TargetMode="External" /><Relationship Type="http://schemas.openxmlformats.org/officeDocument/2006/relationships/hyperlink" Id="rId101" Target="https://doi.org/10.1111/j.1466-8238.2008.00417.x" TargetMode="External" /><Relationship Type="http://schemas.openxmlformats.org/officeDocument/2006/relationships/hyperlink" Id="rId127" Target="https://doi.org/10.1111/nph.12042" TargetMode="External" /><Relationship Type="http://schemas.openxmlformats.org/officeDocument/2006/relationships/hyperlink" Id="rId97" Target="https://doi.org/10.1111/nph.13771" TargetMode="External" /><Relationship Type="http://schemas.openxmlformats.org/officeDocument/2006/relationships/hyperlink" Id="rId121" Target="https://doi.org/10.1111/nph.15906" TargetMode="External" /><Relationship Type="http://schemas.openxmlformats.org/officeDocument/2006/relationships/hyperlink" Id="rId72" Target="https://doi.org/10.1111/nph.17289" TargetMode="External" /><Relationship Type="http://schemas.openxmlformats.org/officeDocument/2006/relationships/hyperlink" Id="rId107" Target="https://doi.org/10.1111/nph.17552" TargetMode="External" /><Relationship Type="http://schemas.openxmlformats.org/officeDocument/2006/relationships/hyperlink" Id="rId109" Target="https://doi.org/10.1111/nph.17952" TargetMode="External" /><Relationship Type="http://schemas.openxmlformats.org/officeDocument/2006/relationships/hyperlink" Id="rId103" Target="https://doi.org/10.1126/sciadv.aat4313" TargetMode="External" /><Relationship Type="http://schemas.openxmlformats.org/officeDocument/2006/relationships/hyperlink" Id="rId155" Target="https://doi.org/10.1126/sciadv.aax0255" TargetMode="External" /><Relationship Type="http://schemas.openxmlformats.org/officeDocument/2006/relationships/hyperlink" Id="rId113" Target="https://doi.org/10.1126/science.abd8911" TargetMode="External" /><Relationship Type="http://schemas.openxmlformats.org/officeDocument/2006/relationships/hyperlink" Id="rId117" Target="https://doi.org/10.1126/science.abm4875" TargetMode="External" /><Relationship Type="http://schemas.openxmlformats.org/officeDocument/2006/relationships/hyperlink" Id="rId133" Target="https://doi.org/10.1139/x06-133" TargetMode="External" /><Relationship Type="http://schemas.openxmlformats.org/officeDocument/2006/relationships/hyperlink" Id="rId165" Target="https://doi.org/10.1175/2009JCLI2909.1" TargetMode="External" /><Relationship Type="http://schemas.openxmlformats.org/officeDocument/2006/relationships/hyperlink" Id="rId196" Target="https://doi.org/10.1177/095968369700700314" TargetMode="External" /><Relationship Type="http://schemas.openxmlformats.org/officeDocument/2006/relationships/hyperlink" Id="rId157" Target="https://doi.org/10.1890/13-0010.1" TargetMode="External" /><Relationship Type="http://schemas.openxmlformats.org/officeDocument/2006/relationships/hyperlink" Id="rId135" Target="https://doi.org/10.3390/f11050600" TargetMode="External" /><Relationship Type="http://schemas.openxmlformats.org/officeDocument/2006/relationships/hyperlink" Id="rId168" Target="https://doi.org/10.5067/MODIS/MCD12Q2.006" TargetMode="External" /><Relationship Type="http://schemas.openxmlformats.org/officeDocument/2006/relationships/hyperlink" Id="rId191" Target="https://doi.org/10.5194/cp-16-1901-2020" TargetMode="External" /><Relationship Type="http://schemas.openxmlformats.org/officeDocument/2006/relationships/hyperlink" Id="rId88" Target="https://doi.org/10.5194/essd-12-3269-2020" TargetMode="External" /><Relationship Type="http://schemas.openxmlformats.org/officeDocument/2006/relationships/hyperlink" Id="rId170" Target="https://doi.org/10.5281/ZENODO.4041609" TargetMode="External" /><Relationship Type="http://schemas.openxmlformats.org/officeDocument/2006/relationships/hyperlink" Id="rId173" Target="https://doi.org/10.6073/PASTA/213335F5DAA17222A738C105B9FA60C4" TargetMode="External" /><Relationship Type="http://schemas.openxmlformats.org/officeDocument/2006/relationships/hyperlink" Id="rId175"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2022-08-02T16:01:05Z</dcterms:created>
  <dcterms:modified xsi:type="dcterms:W3CDTF">2022-08-02T16:01:05Z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