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21</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17,24,25</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forests over multiple years</w:t>
      </w:r>
      <w:r>
        <w:rPr>
          <w:vertAlign w:val="superscript"/>
        </w:rPr>
        <w:t xml:space="preserve">26</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27,28</w:t>
      </w:r>
      <w:r>
        <w:t xml:space="preserve">,</w:t>
      </w:r>
      <w:r>
        <w:t xml:space="preserve"> </w:t>
      </w:r>
      <w:r>
        <w:t xml:space="preserve"> </w:t>
      </w:r>
      <w:r>
        <w:t xml:space="preserve">with some hints that warmer springs may have a modest positive effect on growth</w:t>
      </w:r>
      <w:r>
        <w:rPr>
          <w:vertAlign w:val="superscript"/>
        </w:rPr>
        <w:t xml:space="preserve">28</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growth phenology</w:t>
      </w:r>
      <w:r>
        <w:rPr>
          <w:vertAlign w:val="superscript"/>
        </w:rPr>
        <w:t xml:space="preserve">26</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31</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17,24,32</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3,33</w:t>
      </w:r>
      <w:r>
        <w:t xml:space="preserve">; however, spring temperatures and summer Standardized Precipitation Evapotranspiration Index</w:t>
      </w:r>
      <w:r>
        <w:rPr>
          <w:vertAlign w:val="superscript"/>
        </w:rPr>
        <w:t xml:space="preserve">34</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12,35,36</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37</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38–40</w:t>
      </w:r>
      <w:r>
        <w:t xml:space="preserve">, which is more strongly controlled by summer drought stress</w:t>
      </w:r>
      <w:r>
        <w:rPr>
          <w:vertAlign w:val="superscript"/>
        </w:rPr>
        <w:t xml:space="preserve">38,39</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41,42</w:t>
      </w:r>
      <w:r>
        <w:t xml:space="preserve">, potentially including an earlier start to growth</w:t>
      </w:r>
      <w:r>
        <w:rPr>
          <w:vertAlign w:val="superscript"/>
        </w:rPr>
        <w:t xml:space="preserve">32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3,43</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41</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44</w:t>
      </w:r>
      <w:r>
        <w:t xml:space="preserve">.</w:t>
      </w:r>
      <w:r>
        <w:t xml:space="preserve"> </w:t>
      </w:r>
      <w:r>
        <w:t xml:space="preserve">Moreover, acclimation of trees to warming temperatures</w:t>
      </w:r>
      <w:r>
        <w:rPr>
          <w:vertAlign w:val="superscript"/>
        </w:rPr>
        <w:t xml:space="preserve">45</w:t>
      </w:r>
      <w:r>
        <w:t xml:space="preserve"> </w:t>
      </w:r>
      <w:r>
        <w:t xml:space="preserve">and, on longer time scales, species adaptations and shifts in community composition</w:t>
      </w:r>
      <w:r>
        <w:rPr>
          <w:vertAlign w:val="superscript"/>
        </w:rPr>
        <w:t xml:space="preserve">46</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47</w:t>
      </w:r>
      <w:r>
        <w:t xml:space="preserve">, woody productivity</w:t>
      </w:r>
      <w:r>
        <w:rPr>
          <w:vertAlign w:val="superscript"/>
        </w:rPr>
        <w:t xml:space="preserve">48</w:t>
      </w:r>
      <w:r>
        <w:t xml:space="preserve">, and</w:t>
      </w:r>
      <w:r>
        <w:t xml:space="preserve"> </w:t>
      </w:r>
      <w:r>
        <w:rPr>
          <w:iCs/>
          <w:i/>
        </w:rPr>
        <w:t xml:space="preserve">NEE</w:t>
      </w:r>
      <w:r>
        <w:rPr>
          <w:vertAlign w:val="superscript"/>
        </w:rPr>
        <w:t xml:space="preserve">49</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50</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51,52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47</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29</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29</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53</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56,57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34</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54,61,62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63</w:t>
      </w:r>
      <w:r>
        <w:t xml:space="preserve">.</w:t>
      </w:r>
    </w:p>
    <w:p>
      <w:pPr>
        <w:pStyle w:val="BodyText"/>
      </w:pPr>
      <w:r>
        <w:t xml:space="preserve">Dominant tree species were cored at both SCBI</w:t>
      </w:r>
      <w:r>
        <w:rPr>
          <w:vertAlign w:val="superscript"/>
        </w:rPr>
        <w:t xml:space="preserve">28,50</w:t>
      </w:r>
      <w:r>
        <w:t xml:space="preserve"> </w:t>
      </w:r>
      <w:r>
        <w:t xml:space="preserve">and Harvard Forest</w:t>
      </w:r>
      <w:r>
        <w:rPr>
          <w:vertAlign w:val="superscript"/>
        </w:rPr>
        <w:t xml:space="preserve">4,64,65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27,66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67,68</w:t>
      </w:r>
      <w:r>
        <w:t xml:space="preserve">.</w:t>
      </w:r>
      <w:r>
        <w:t xml:space="preserve"> </w:t>
      </w:r>
      <w:r>
        <w:t xml:space="preserve">An adaptive power transformation, a process that also stabilises the variance over time</w:t>
      </w:r>
      <w:r>
        <w:rPr>
          <w:vertAlign w:val="superscript"/>
        </w:rPr>
        <w:t xml:space="preserve">69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72</w:t>
      </w:r>
      <w:r>
        <w:t xml:space="preserve"> </w:t>
      </w:r>
      <w:r>
        <w:t xml:space="preserve">and</w:t>
      </w:r>
      <w:r>
        <w:t xml:space="preserve"> </w:t>
      </w:r>
      <w:r>
        <w:rPr>
          <w:iCs/>
          <w:i/>
        </w:rPr>
        <w:t xml:space="preserve">bootRes</w:t>
      </w:r>
      <w:r>
        <w:rPr>
          <w:vertAlign w:val="superscript"/>
        </w:rPr>
        <w:t xml:space="preserve">73</w:t>
      </w:r>
      <w:r>
        <w:t xml:space="preserve"> </w:t>
      </w:r>
      <w:r>
        <w:t xml:space="preserve">in R v 4.0 (R Core Team, 2020), which correlated functions and bootstrapped confidence intervals for these relationships</w:t>
      </w:r>
      <w:r>
        <w:rPr>
          <w:vertAlign w:val="superscript"/>
        </w:rPr>
        <w:t xml:space="preserve">74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 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3" w:name="References"/>
    <w:p>
      <w:pPr>
        <w:pStyle w:val="Heading1"/>
      </w:pPr>
      <w:r>
        <w:t xml:space="preserve">References</w:t>
      </w:r>
    </w:p>
    <w:bookmarkStart w:id="132"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friedlingstein_global_2021"/>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7">
        <w:r>
          <w:rPr>
            <w:rStyle w:val="Hyperlink"/>
          </w:rPr>
          <w:t xml:space="preserve">10.5194/essd-2021-386</w:t>
        </w:r>
      </w:hyperlink>
      <w:r>
        <w:t xml:space="preserve">.</w:t>
      </w:r>
    </w:p>
    <w:bookmarkEnd w:id="68"/>
    <w:bookmarkStart w:id="70" w:name="ref-harris_global_2021"/>
    <w:p>
      <w:pPr>
        <w:pStyle w:val="Bibliography"/>
      </w:pPr>
      <w:r>
        <w:t xml:space="preserve">20.</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23.</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keenan_timing_2015"/>
    <w:p>
      <w:pPr>
        <w:pStyle w:val="Bibliography"/>
      </w:pPr>
      <w:r>
        <w:t xml:space="preserve">24.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4"/>
    <w:bookmarkStart w:id="75" w:name="ref-zohner_how_2021"/>
    <w:p>
      <w:pPr>
        <w:pStyle w:val="Bibliography"/>
      </w:pPr>
      <w:r>
        <w:t xml:space="preserve">25.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5"/>
    <w:bookmarkStart w:id="77" w:name="ref-dorangeville_peak_2021"/>
    <w:p>
      <w:pPr>
        <w:pStyle w:val="Bibliography"/>
      </w:pPr>
      <w:r>
        <w:t xml:space="preserve">26.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6">
        <w:r>
          <w:rPr>
            <w:rStyle w:val="Hyperlink"/>
          </w:rPr>
          <w:t xml:space="preserve">10.1093/treephys/tpab101</w:t>
        </w:r>
      </w:hyperlink>
      <w:r>
        <w:t xml:space="preserve">.</w:t>
      </w:r>
    </w:p>
    <w:bookmarkEnd w:id="77"/>
    <w:bookmarkStart w:id="78" w:name="ref-dorangeville_drought_2018"/>
    <w:p>
      <w:pPr>
        <w:pStyle w:val="Bibliography"/>
      </w:pPr>
      <w:r>
        <w:t xml:space="preserve">27.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8"/>
    <w:bookmarkStart w:id="79" w:name="ref-helcoski_growing_2019"/>
    <w:p>
      <w:pPr>
        <w:pStyle w:val="Bibliography"/>
      </w:pPr>
      <w:r>
        <w:t xml:space="preserve">28.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9"/>
    <w:bookmarkStart w:id="80" w:name="ref-mcmahon_general_2015"/>
    <w:p>
      <w:pPr>
        <w:pStyle w:val="Bibliography"/>
      </w:pPr>
      <w:r>
        <w:t xml:space="preserve">29.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0"/>
    <w:bookmarkStart w:id="81" w:name="ref-parmesan_globally_2003"/>
    <w:p>
      <w:pPr>
        <w:pStyle w:val="Bibliography"/>
      </w:pPr>
      <w:r>
        <w:t xml:space="preserve">30.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81"/>
    <w:bookmarkStart w:id="82" w:name="ref-friedl_tale_2014"/>
    <w:p>
      <w:pPr>
        <w:pStyle w:val="Bibliography"/>
      </w:pPr>
      <w:r>
        <w:t xml:space="preserve">31.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82"/>
    <w:bookmarkStart w:id="83" w:name="ref-fu_variation_2014"/>
    <w:p>
      <w:pPr>
        <w:pStyle w:val="Bibliography"/>
      </w:pPr>
      <w:r>
        <w:t xml:space="preserve">32.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83"/>
    <w:bookmarkStart w:id="84"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4"/>
    <w:bookmarkStart w:id="85" w:name="ref-vicente-serrano_multiscalar_2010"/>
    <w:p>
      <w:pPr>
        <w:pStyle w:val="Bibliography"/>
      </w:pPr>
      <w:r>
        <w:t xml:space="preserve">34.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85"/>
    <w:bookmarkStart w:id="86"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6"/>
    <w:bookmarkStart w:id="87" w:name="ref-xie_predicting_2018"/>
    <w:p>
      <w:pPr>
        <w:pStyle w:val="Bibliography"/>
      </w:pPr>
      <w:r>
        <w:t xml:space="preserve">36.</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87"/>
    <w:bookmarkStart w:id="88"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38.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39.</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trumbore_quantifying_2002"/>
    <w:p>
      <w:pPr>
        <w:pStyle w:val="Bibliography"/>
      </w:pPr>
      <w:r>
        <w:t xml:space="preserve">41.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2"/>
    <w:bookmarkStart w:id="93" w:name="ref-richardson_seasonal_2013"/>
    <w:p>
      <w:pPr>
        <w:pStyle w:val="Bibliography"/>
      </w:pPr>
      <w:r>
        <w:t xml:space="preserve">42.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3"/>
    <w:bookmarkStart w:id="94" w:name="ref-oishi_warmer_2018"/>
    <w:p>
      <w:pPr>
        <w:pStyle w:val="Bibliography"/>
      </w:pPr>
      <w:r>
        <w:t xml:space="preserve">43.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4"/>
    <w:bookmarkStart w:id="95" w:name="ref-kannenberg_linking_2019"/>
    <w:p>
      <w:pPr>
        <w:pStyle w:val="Bibliography"/>
      </w:pPr>
      <w:r>
        <w:t xml:space="preserve">44.</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95"/>
    <w:bookmarkStart w:id="96" w:name="ref-gessler_way_2020"/>
    <w:p>
      <w:pPr>
        <w:pStyle w:val="Bibliography"/>
      </w:pPr>
      <w:r>
        <w:t xml:space="preserve">45.</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96"/>
    <w:bookmarkStart w:id="97" w:name="ref-fisichelli_temperate_2014"/>
    <w:p>
      <w:pPr>
        <w:pStyle w:val="Bibliography"/>
      </w:pPr>
      <w:r>
        <w:t xml:space="preserve">46.</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97"/>
    <w:bookmarkStart w:id="98" w:name="ref-anderson-teixeira_joint_2021"/>
    <w:p>
      <w:pPr>
        <w:pStyle w:val="Bibliography"/>
      </w:pPr>
      <w:r>
        <w:t xml:space="preserve">47.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bourg_initial_2013"/>
    <w:p>
      <w:pPr>
        <w:pStyle w:val="Bibliography"/>
      </w:pPr>
      <w:r>
        <w:t xml:space="preserve">50.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102"/>
    <w:bookmarkStart w:id="103" w:name="ref-anderson-teixeira_ctfsforestgeo_2015"/>
    <w:p>
      <w:pPr>
        <w:pStyle w:val="Bibliography"/>
      </w:pPr>
      <w:r>
        <w:t xml:space="preserve">51.</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3"/>
    <w:bookmarkStart w:id="104" w:name="ref-davies_forestgeo_2021"/>
    <w:p>
      <w:pPr>
        <w:pStyle w:val="Bibliography"/>
      </w:pPr>
      <w:r>
        <w:t xml:space="preserve">52.</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4"/>
    <w:bookmarkStart w:id="106" w:name="ref-friedl_mcd12q2_2019"/>
    <w:p>
      <w:pPr>
        <w:pStyle w:val="Bibliography"/>
      </w:pPr>
      <w:r>
        <w:t xml:space="preserve">53.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5">
        <w:r>
          <w:rPr>
            <w:rStyle w:val="Hyperlink"/>
          </w:rPr>
          <w:t xml:space="preserve">10.5067/MODIS/MCD12Q2.006</w:t>
        </w:r>
      </w:hyperlink>
      <w:r>
        <w:t xml:space="preserve">.</w:t>
      </w:r>
    </w:p>
    <w:bookmarkEnd w:id="106"/>
    <w:bookmarkStart w:id="108" w:name="ref-anderson-teixeira_forestgeo_2020"/>
    <w:p>
      <w:pPr>
        <w:pStyle w:val="Bibliography"/>
      </w:pPr>
      <w:r>
        <w:t xml:space="preserve">54.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107">
        <w:r>
          <w:rPr>
            <w:rStyle w:val="Hyperlink"/>
          </w:rPr>
          <w:t xml:space="preserve">10.5281/ZENODO.4041609</w:t>
        </w:r>
      </w:hyperlink>
      <w:r>
        <w:t xml:space="preserve">.</w:t>
      </w:r>
    </w:p>
    <w:bookmarkEnd w:id="108"/>
    <w:bookmarkStart w:id="109" w:name="ref-benestad_empiricalstatistical_2008"/>
    <w:p>
      <w:pPr>
        <w:pStyle w:val="Bibliography"/>
      </w:pPr>
      <w:r>
        <w:t xml:space="preserve">55.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09"/>
    <w:bookmarkStart w:id="111" w:name="ref-boose_shaler_2021"/>
    <w:p>
      <w:pPr>
        <w:pStyle w:val="Bibliography"/>
      </w:pPr>
      <w:r>
        <w:t xml:space="preserve">56.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0">
        <w:r>
          <w:rPr>
            <w:rStyle w:val="Hyperlink"/>
          </w:rPr>
          <w:t xml:space="preserve">10.6073/PASTA/213335F5DAA17222A738C105B9FA60C4</w:t>
        </w:r>
      </w:hyperlink>
      <w:r>
        <w:t xml:space="preserve">.</w:t>
      </w:r>
    </w:p>
    <w:bookmarkEnd w:id="111"/>
    <w:bookmarkStart w:id="113" w:name="ref-boose_fisher_2021"/>
    <w:p>
      <w:pPr>
        <w:pStyle w:val="Bibliography"/>
      </w:pPr>
      <w:r>
        <w:t xml:space="preserve">57.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2">
        <w:r>
          <w:rPr>
            <w:rStyle w:val="Hyperlink"/>
          </w:rPr>
          <w:t xml:space="preserve">10.6073/PASTA/69E92642B512897032446CFE795CFFB8</w:t>
        </w:r>
      </w:hyperlink>
      <w:r>
        <w:t xml:space="preserve">.</w:t>
      </w:r>
    </w:p>
    <w:bookmarkEnd w:id="113"/>
    <w:bookmarkStart w:id="114"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4"/>
    <w:bookmarkStart w:id="115"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15"/>
    <w:bookmarkStart w:id="116"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16"/>
    <w:bookmarkStart w:id="117" w:name="ref-begueria_standardized_2014"/>
    <w:p>
      <w:pPr>
        <w:pStyle w:val="Bibliography"/>
      </w:pPr>
      <w:r>
        <w:t xml:space="preserve">61.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7"/>
    <w:bookmarkStart w:id="118" w:name="ref-vicente-serrano_multiscalar_2010a"/>
    <w:p>
      <w:pPr>
        <w:pStyle w:val="Bibliography"/>
      </w:pPr>
      <w:r>
        <w:t xml:space="preserve">62.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8"/>
    <w:bookmarkStart w:id="119" w:name="ref-stokes_introduction_1968"/>
    <w:p>
      <w:pPr>
        <w:pStyle w:val="Bibliography"/>
      </w:pPr>
      <w:r>
        <w:t xml:space="preserve">63.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19"/>
    <w:bookmarkStart w:id="120" w:name="ref-alexander_potential_2019"/>
    <w:p>
      <w:pPr>
        <w:pStyle w:val="Bibliography"/>
      </w:pPr>
      <w:r>
        <w:t xml:space="preserve">64.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0"/>
    <w:bookmarkStart w:id="121" w:name="ref-dye_comparing_2016"/>
    <w:p>
      <w:pPr>
        <w:pStyle w:val="Bibliography"/>
      </w:pPr>
      <w:r>
        <w:t xml:space="preserve">65.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1"/>
    <w:bookmarkStart w:id="122" w:name="ref-maxwell_sampling_2020"/>
    <w:p>
      <w:pPr>
        <w:pStyle w:val="Bibliography"/>
      </w:pPr>
      <w:r>
        <w:t xml:space="preserve">66.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2"/>
    <w:bookmarkStart w:id="124" w:name="ref-cook_methods_1990"/>
    <w:p>
      <w:pPr>
        <w:pStyle w:val="Bibliography"/>
      </w:pPr>
      <w:r>
        <w:t xml:space="preserve">67.</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23">
        <w:r>
          <w:rPr>
            <w:rStyle w:val="Hyperlink"/>
          </w:rPr>
          <w:t xml:space="preserve">10.1007/978-94-015-7879-0</w:t>
        </w:r>
      </w:hyperlink>
      <w:r>
        <w:t xml:space="preserve">.</w:t>
      </w:r>
    </w:p>
    <w:bookmarkEnd w:id="124"/>
    <w:bookmarkStart w:id="125" w:name="ref-cook_time_1985"/>
    <w:p>
      <w:pPr>
        <w:pStyle w:val="Bibliography"/>
      </w:pPr>
      <w:r>
        <w:t xml:space="preserve">68.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25"/>
    <w:bookmarkStart w:id="126" w:name="ref-cook_calculating_1997"/>
    <w:p>
      <w:pPr>
        <w:pStyle w:val="Bibliography"/>
      </w:pPr>
      <w:r>
        <w:t xml:space="preserve">69.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6"/>
    <w:bookmarkStart w:id="127" w:name="ref-jones_estimating_1997"/>
    <w:p>
      <w:pPr>
        <w:pStyle w:val="Bibliography"/>
      </w:pPr>
      <w:r>
        <w:t xml:space="preserve">70.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7"/>
    <w:bookmarkStart w:id="128" w:name="ref-harris_version_2020"/>
    <w:p>
      <w:pPr>
        <w:pStyle w:val="Bibliography"/>
      </w:pPr>
      <w:r>
        <w:t xml:space="preserve">71.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28"/>
    <w:bookmarkStart w:id="129" w:name="ref-bunn_dendrochronology_2008"/>
    <w:p>
      <w:pPr>
        <w:pStyle w:val="Bibliography"/>
      </w:pPr>
      <w:r>
        <w:t xml:space="preserve">72.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29"/>
    <w:bookmarkStart w:id="130" w:name="ref-zang_dendroclimatic_2013"/>
    <w:p>
      <w:pPr>
        <w:pStyle w:val="Bibliography"/>
      </w:pPr>
      <w:r>
        <w:t xml:space="preserve">73.</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0"/>
    <w:bookmarkStart w:id="131" w:name="ref-biondi_dendroclim2002_2004"/>
    <w:p>
      <w:pPr>
        <w:pStyle w:val="Bibliography"/>
      </w:pPr>
      <w:r>
        <w:t xml:space="preserve">74.</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1"/>
    <w:bookmarkEnd w:id="132"/>
    <w:bookmarkEnd w:id="133"/>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3"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76"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05" Target="https://doi.org/10.5067/MODIS/MCD12Q2.006" TargetMode="External" /><Relationship Type="http://schemas.openxmlformats.org/officeDocument/2006/relationships/hyperlink" Id="rId67" Target="https://doi.org/10.5194/essd-2021-386" TargetMode="External" /><Relationship Type="http://schemas.openxmlformats.org/officeDocument/2006/relationships/hyperlink" Id="rId107" Target="https://doi.org/10.5281/ZENODO.4041609" TargetMode="External" /><Relationship Type="http://schemas.openxmlformats.org/officeDocument/2006/relationships/hyperlink" Id="rId110" Target="https://doi.org/10.6073/PASTA/213335F5DAA17222A738C105B9FA60C4" TargetMode="External" /><Relationship Type="http://schemas.openxmlformats.org/officeDocument/2006/relationships/hyperlink" Id="rId11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3"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76"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05" Target="https://doi.org/10.5067/MODIS/MCD12Q2.006" TargetMode="External" /><Relationship Type="http://schemas.openxmlformats.org/officeDocument/2006/relationships/hyperlink" Id="rId67" Target="https://doi.org/10.5194/essd-2021-386" TargetMode="External" /><Relationship Type="http://schemas.openxmlformats.org/officeDocument/2006/relationships/hyperlink" Id="rId107" Target="https://doi.org/10.5281/ZENODO.4041609" TargetMode="External" /><Relationship Type="http://schemas.openxmlformats.org/officeDocument/2006/relationships/hyperlink" Id="rId110" Target="https://doi.org/10.6073/PASTA/213335F5DAA17222A738C105B9FA60C4" TargetMode="External" /><Relationship Type="http://schemas.openxmlformats.org/officeDocument/2006/relationships/hyperlink" Id="rId11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2021-12-03T16:38:01Z</dcterms:created>
  <dcterms:modified xsi:type="dcterms:W3CDTF">2021-12-03T16:38:01Z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