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w:t>
      </w:r>
      <w:r>
        <w:rPr>
          <w:bCs/>
          <w:b/>
        </w:rPr>
        <w:t xml:space="preserve">;</w:t>
      </w:r>
      <w:r>
        <w:rPr>
          <w:vertAlign w:val="superscript"/>
          <w:bCs/>
          <w:b/>
        </w:rPr>
        <w:t xml:space="preserve">2</w:t>
      </w:r>
      <w:r>
        <w:rPr>
          <w:bCs/>
          <w:b/>
        </w:rPr>
        <w:t xml:space="preserve">;</w:t>
      </w:r>
      <w:r>
        <w:rPr>
          <w:vertAlign w:val="superscript"/>
          <w:bCs/>
          <w:b/>
        </w:rPr>
        <w:t xml:space="preserve">3</w:t>
      </w:r>
      <w:r>
        <w:rPr>
          <w:bCs/>
          <w:b/>
        </w:rPr>
        <w:t xml:space="preserve">;</w:t>
      </w:r>
      <w:r>
        <w:rPr>
          <w:vertAlign w:val="superscript"/>
          <w:bCs/>
          <w:b/>
        </w:rPr>
        <w:t xml:space="preserve">4</w:t>
      </w:r>
      <w:r>
        <w:rPr>
          <w:bCs/>
          <w:b/>
        </w:rPr>
        <w:t xml:space="preserve">;</w:t>
      </w:r>
      <w:r>
        <w:rPr>
          <w:bCs/>
          <w:b/>
        </w:rPr>
        <w:t xml:space="preserve">] 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w:t>
      </w:r>
      <w:r>
        <w:rPr>
          <w:bCs/>
          <w:b/>
        </w:rPr>
        <w:t xml:space="preserve">;</w:t>
      </w:r>
      <w:r>
        <w:rPr>
          <w:vertAlign w:val="superscript"/>
          <w:bCs/>
          <w:b/>
        </w:rPr>
        <w:t xml:space="preserve">4</w:t>
      </w:r>
      <w:r>
        <w:rPr>
          <w:bCs/>
          <w:b/>
        </w:rPr>
        <w:t xml:space="preserve">;</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3,21,22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751032"/>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751032"/>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measuring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(+0.0029-0.008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rPr>
          <w:vertAlign w:val="superscript"/>
        </w:rPr>
        <w:t xml:space="preserve">33</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(at p = 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Extended Data Figure 1).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w:t>
      </w:r>
      <w:r>
        <w:t xml:space="preserve">(Extended Data Figure 1).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 daylength, or sink limitation</w:t>
      </w:r>
      <w:r>
        <w:rPr>
          <w:vertAlign w:val="superscript"/>
        </w:rPr>
        <w:t xml:space="preserve">28,30,31,38,11,</w:t>
      </w:r>
      <w:r>
        <w:rPr>
          <w:vertAlign w:val="superscript"/>
        </w:rPr>
        <w:t xml:space="preserve"> </w:t>
      </w:r>
      <w:r>
        <w:rPr>
          <w:vertAlign w:val="superscript"/>
        </w:rPr>
        <w:t xml:space="preserve">23</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3,22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indeces.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33,71</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72</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72,73</w:t>
      </w:r>
      <w:r>
        <w:t xml:space="preserve">.</w:t>
      </w:r>
      <w:r>
        <w:t xml:space="preserve"> </w:t>
      </w:r>
      <w:r>
        <w:t xml:space="preserve">An adaptive power transformation, a process that also stabilises the variance over time</w:t>
      </w:r>
      <w:r>
        <w:rPr>
          <w:vertAlign w:val="superscript"/>
        </w:rPr>
        <w:t xml:space="preserve">74</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75</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73</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76</w:t>
      </w:r>
      <w:r>
        <w:t xml:space="preserve"> </w:t>
      </w:r>
      <w:r>
        <w:t xml:space="preserve">using the packages</w:t>
      </w:r>
      <w:r>
        <w:t xml:space="preserve"> </w:t>
      </w:r>
      <w:r>
        <w:rPr>
          <w:iCs/>
          <w:i/>
        </w:rPr>
        <w:t xml:space="preserve">dplR</w:t>
      </w:r>
      <w:r>
        <w:rPr>
          <w:vertAlign w:val="superscript"/>
        </w:rPr>
        <w:t xml:space="preserve">77</w:t>
      </w:r>
      <w:r>
        <w:t xml:space="preserve"> </w:t>
      </w:r>
      <w:r>
        <w:t xml:space="preserve">and</w:t>
      </w:r>
      <w:r>
        <w:t xml:space="preserve"> </w:t>
      </w:r>
      <w:r>
        <w:rPr>
          <w:iCs/>
          <w:i/>
        </w:rPr>
        <w:t xml:space="preserve">bootRes</w:t>
      </w:r>
      <w:r>
        <w:rPr>
          <w:vertAlign w:val="superscript"/>
        </w:rPr>
        <w:t xml:space="preserve">78</w:t>
      </w:r>
      <w:r>
        <w:t xml:space="preserve"> </w:t>
      </w:r>
      <w:r>
        <w:t xml:space="preserve">to assess correlations, provide bootstrapped confidence intervals for these relationships, and create summary figures (Fig. 3, Extended Data Figures 6-7) following the methods of Ref.</w:t>
      </w:r>
      <w:r>
        <w:rPr>
          <w:vertAlign w:val="superscript"/>
        </w:rPr>
        <w:t xml:space="preserve">79</w:t>
      </w:r>
      <w:r>
        <w:t xml:space="preserve">.</w:t>
      </w:r>
      <w:r>
        <w:t xml:space="preserve"> </w:t>
      </w:r>
      <w:r>
        <w:t xml:space="preserve">Our analysis focused on assessing correlations of RWI to months spanning from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6" w:name="References"/>
    <w:p>
      <w:pPr>
        <w:pStyle w:val="Heading1"/>
      </w:pPr>
      <w:r>
        <w:t xml:space="preserve">References</w:t>
      </w:r>
    </w:p>
    <w:bookmarkStart w:id="135"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7"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57"/>
    <w:bookmarkStart w:id="58"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0"/>
    <w:bookmarkStart w:id="61"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1"/>
    <w:bookmarkStart w:id="63"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2">
        <w:r>
          <w:rPr>
            <w:rStyle w:val="Hyperlink"/>
          </w:rPr>
          <w:t xml:space="preserve">10.1038/s41558-020-00976-6</w:t>
        </w:r>
      </w:hyperlink>
      <w:r>
        <w:t xml:space="preserve">.</w:t>
      </w:r>
    </w:p>
    <w:bookmarkEnd w:id="63"/>
    <w:bookmarkStart w:id="64"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4"/>
    <w:bookmarkStart w:id="65"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67"/>
    <w:bookmarkStart w:id="68"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68"/>
    <w:bookmarkStart w:id="69"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69"/>
    <w:bookmarkStart w:id="70"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0"/>
    <w:bookmarkStart w:id="71"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1"/>
    <w:bookmarkStart w:id="72"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2"/>
    <w:bookmarkStart w:id="73"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3"/>
    <w:bookmarkStart w:id="74"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4"/>
    <w:bookmarkStart w:id="76"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5">
        <w:r>
          <w:rPr>
            <w:rStyle w:val="Hyperlink"/>
          </w:rPr>
          <w:t xml:space="preserve">10.1038/s41559-022-01668-4</w:t>
        </w:r>
      </w:hyperlink>
      <w:r>
        <w:t xml:space="preserve">.</w:t>
      </w:r>
    </w:p>
    <w:bookmarkEnd w:id="76"/>
    <w:bookmarkStart w:id="77"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77"/>
    <w:bookmarkStart w:id="78"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78"/>
    <w:bookmarkStart w:id="79"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79"/>
    <w:bookmarkStart w:id="80"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0"/>
    <w:bookmarkStart w:id="81"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1"/>
    <w:bookmarkStart w:id="82"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2"/>
    <w:bookmarkStart w:id="83"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3"/>
    <w:bookmarkStart w:id="84"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4"/>
    <w:bookmarkStart w:id="85"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5"/>
    <w:bookmarkStart w:id="86"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6"/>
    <w:bookmarkStart w:id="87"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7"/>
    <w:bookmarkStart w:id="88"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8"/>
    <w:bookmarkStart w:id="89"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89"/>
    <w:bookmarkStart w:id="90"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0"/>
    <w:bookmarkStart w:id="91"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1"/>
    <w:bookmarkStart w:id="92"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2"/>
    <w:bookmarkStart w:id="94"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3">
        <w:r>
          <w:rPr>
            <w:rStyle w:val="Hyperlink"/>
          </w:rPr>
          <w:t xml:space="preserve">10.1073/pnas.2002713117</w:t>
        </w:r>
      </w:hyperlink>
      <w:r>
        <w:t xml:space="preserve">.</w:t>
      </w:r>
    </w:p>
    <w:bookmarkEnd w:id="94"/>
    <w:bookmarkStart w:id="95"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5"/>
    <w:bookmarkStart w:id="96"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6"/>
    <w:bookmarkStart w:id="97"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97"/>
    <w:bookmarkStart w:id="98"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98"/>
    <w:bookmarkStart w:id="99"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99"/>
    <w:bookmarkStart w:id="100"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0"/>
    <w:bookmarkStart w:id="101"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1"/>
    <w:bookmarkStart w:id="102"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2"/>
    <w:bookmarkStart w:id="103"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3"/>
    <w:bookmarkStart w:id="104"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4"/>
    <w:bookmarkStart w:id="105"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5"/>
    <w:bookmarkStart w:id="106"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6"/>
    <w:bookmarkStart w:id="107"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7"/>
    <w:bookmarkStart w:id="109"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08">
        <w:r>
          <w:rPr>
            <w:rStyle w:val="Hyperlink"/>
          </w:rPr>
          <w:t xml:space="preserve">10.5067/MODIS/MCD12Q2.006</w:t>
        </w:r>
      </w:hyperlink>
      <w:r>
        <w:t xml:space="preserve">.</w:t>
      </w:r>
    </w:p>
    <w:bookmarkEnd w:id="109"/>
    <w:bookmarkStart w:id="111"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0">
        <w:r>
          <w:rPr>
            <w:rStyle w:val="Hyperlink"/>
          </w:rPr>
          <w:t xml:space="preserve">10.5281/ZENODO.4041609</w:t>
        </w:r>
      </w:hyperlink>
      <w:r>
        <w:t xml:space="preserve">.</w:t>
      </w:r>
    </w:p>
    <w:bookmarkEnd w:id="111"/>
    <w:bookmarkStart w:id="112"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2"/>
    <w:bookmarkStart w:id="114"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3">
        <w:r>
          <w:rPr>
            <w:rStyle w:val="Hyperlink"/>
          </w:rPr>
          <w:t xml:space="preserve">10.6073/PASTA/213335F5DAA17222A738C105B9FA60C4</w:t>
        </w:r>
      </w:hyperlink>
      <w:r>
        <w:t xml:space="preserve">.</w:t>
      </w:r>
    </w:p>
    <w:bookmarkEnd w:id="114"/>
    <w:bookmarkStart w:id="116"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5">
        <w:r>
          <w:rPr>
            <w:rStyle w:val="Hyperlink"/>
          </w:rPr>
          <w:t xml:space="preserve">10.6073/PASTA/69E92642B512897032446CFE795CFFB8</w:t>
        </w:r>
      </w:hyperlink>
      <w:r>
        <w:t xml:space="preserve">.</w:t>
      </w:r>
    </w:p>
    <w:bookmarkEnd w:id="116"/>
    <w:bookmarkStart w:id="117"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17"/>
    <w:bookmarkStart w:id="118"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8"/>
    <w:bookmarkStart w:id="119"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2"/>
    <w:bookmarkStart w:id="123"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3"/>
    <w:bookmarkStart w:id="124"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4"/>
    <w:bookmarkStart w:id="125" w:name="ref-maxwell_sampling_2020"/>
    <w:p>
      <w:pPr>
        <w:pStyle w:val="Bibliography"/>
      </w:pPr>
      <w:r>
        <w:t xml:space="preserve">71.</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5"/>
    <w:bookmarkStart w:id="127" w:name="ref-cook_methods_1990"/>
    <w:p>
      <w:pPr>
        <w:pStyle w:val="Bibliography"/>
      </w:pPr>
      <w:r>
        <w:t xml:space="preserve">72.</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6">
        <w:r>
          <w:rPr>
            <w:rStyle w:val="Hyperlink"/>
          </w:rPr>
          <w:t xml:space="preserve">10.1007/978-94-015-7879-0</w:t>
        </w:r>
      </w:hyperlink>
      <w:r>
        <w:t xml:space="preserve">.</w:t>
      </w:r>
    </w:p>
    <w:bookmarkEnd w:id="127"/>
    <w:bookmarkStart w:id="128" w:name="ref-cook_time_1985"/>
    <w:p>
      <w:pPr>
        <w:pStyle w:val="Bibliography"/>
      </w:pPr>
      <w:r>
        <w:t xml:space="preserve">73.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28"/>
    <w:bookmarkStart w:id="129" w:name="ref-cook_calculating_1997"/>
    <w:p>
      <w:pPr>
        <w:pStyle w:val="Bibliography"/>
      </w:pPr>
      <w:r>
        <w:t xml:space="preserve">74.</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29"/>
    <w:bookmarkStart w:id="130" w:name="ref-jones_estimating_1997"/>
    <w:p>
      <w:pPr>
        <w:pStyle w:val="Bibliography"/>
      </w:pPr>
      <w:r>
        <w:t xml:space="preserve">75.</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0"/>
    <w:bookmarkStart w:id="131" w:name="ref-rcoreteam_language_2020"/>
    <w:p>
      <w:pPr>
        <w:pStyle w:val="Bibliography"/>
      </w:pPr>
      <w:r>
        <w:t xml:space="preserve">76.</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1"/>
    <w:bookmarkStart w:id="132" w:name="ref-bunn_dendrochronology_2008"/>
    <w:p>
      <w:pPr>
        <w:pStyle w:val="Bibliography"/>
      </w:pPr>
      <w:r>
        <w:t xml:space="preserve">77.</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2"/>
    <w:bookmarkStart w:id="133" w:name="ref-zang_dendroclimatic_2013"/>
    <w:p>
      <w:pPr>
        <w:pStyle w:val="Bibliography"/>
      </w:pPr>
      <w:r>
        <w:t xml:space="preserve">78.</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3"/>
    <w:bookmarkStart w:id="134" w:name="ref-biondi_dendroclim2002_2004"/>
    <w:p>
      <w:pPr>
        <w:pStyle w:val="Bibliography"/>
      </w:pPr>
      <w:r>
        <w:t xml:space="preserve">79.</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4"/>
    <w:bookmarkEnd w:id="135"/>
    <w:bookmarkEnd w:id="136"/>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2"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6" Target="https://doi.org/10.1007/978-94-015-7879-0" TargetMode="External" /><Relationship Type="http://schemas.openxmlformats.org/officeDocument/2006/relationships/hyperlink" Id="rId62" Target="https://doi.org/10.1038/s41558-020-00976-6" TargetMode="External" /><Relationship Type="http://schemas.openxmlformats.org/officeDocument/2006/relationships/hyperlink" Id="rId75" Target="https://doi.org/10.1038/s41559-022-01668-4" TargetMode="External" /><Relationship Type="http://schemas.openxmlformats.org/officeDocument/2006/relationships/hyperlink" Id="rId93" Target="https://doi.org/10.1073/pnas.2002713117" TargetMode="External" /><Relationship Type="http://schemas.openxmlformats.org/officeDocument/2006/relationships/hyperlink" Id="rId108" Target="https://doi.org/10.5067/MODIS/MCD12Q2.006" TargetMode="External" /><Relationship Type="http://schemas.openxmlformats.org/officeDocument/2006/relationships/hyperlink" Id="rId110" Target="https://doi.org/10.5281/ZENODO.4041609" TargetMode="External" /><Relationship Type="http://schemas.openxmlformats.org/officeDocument/2006/relationships/hyperlink" Id="rId113" Target="https://doi.org/10.6073/PASTA/213335F5DAA17222A738C105B9FA60C4" TargetMode="External" /><Relationship Type="http://schemas.openxmlformats.org/officeDocument/2006/relationships/hyperlink" Id="rId115"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2022-03-26T13:25:41Z</dcterms:created>
  <dcterms:modified xsi:type="dcterms:W3CDTF">2022-03-26T13:25:41Z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