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w:t>
      </w:r>
      <w:r>
        <w:rPr>
          <w:vertAlign w:val="superscript"/>
        </w:rPr>
        <w:t xml:space="preserve"> </w:t>
      </w:r>
      <w:r>
        <w:rPr>
          <w:vertAlign w:val="superscript"/>
        </w:rPr>
        <w:t xml:space="preserve">27</w:t>
      </w:r>
      <w:r>
        <w:t xml:space="preserve"> </w:t>
      </w:r>
      <w:r>
        <w:t xml:space="preserve">and increased annual growth in mesic climates</w:t>
      </w:r>
      <w:r>
        <w:rPr>
          <w:vertAlign w:val="superscript"/>
        </w:rPr>
        <w:t xml:space="preserve">28–31</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32,33</w:t>
      </w:r>
      <w:r>
        <w:t xml:space="preserve">, and annual growth is more closely linked to conditions within the growing season than to growing season length</w:t>
      </w:r>
      <w:r>
        <w:rPr>
          <w:vertAlign w:val="superscript"/>
        </w:rPr>
        <w:t xml:space="preserve">34</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31,37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growth rate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33,39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 mm/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plus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40</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4,34</w:t>
      </w:r>
      <w:r>
        <w:t xml:space="preserve">, is driven by cues other than photosynthate limitation, such as water stress, daylength, or sink limitation</w:t>
      </w:r>
      <w:r>
        <w:rPr>
          <w:vertAlign w:val="superscript"/>
        </w:rPr>
        <w:t xml:space="preserve">17,32,34,41,14,</w:t>
      </w:r>
      <w:r>
        <w:rPr>
          <w:vertAlign w:val="superscript"/>
        </w:rPr>
        <w:t xml:space="preserve"> </w:t>
      </w:r>
      <w:r>
        <w:rPr>
          <w:vertAlign w:val="superscript"/>
        </w:rPr>
        <w:t xml:space="preserve">25</w:t>
      </w:r>
      <w:r>
        <w:t xml:space="preserve">.</w:t>
      </w:r>
      <w:r>
        <w:t xml:space="preserve"> </w:t>
      </w:r>
      <w:r>
        <w:t xml:space="preserve">This adds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42,</w:t>
      </w:r>
      <w:r>
        <w:rPr>
          <w:bCs/>
          <w:b/>
          <w:vertAlign w:val="superscript"/>
        </w:rPr>
        <w:t xml:space="preserve">refs?</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43</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44–46</w:t>
      </w:r>
      <w:r>
        <w:t xml:space="preserve">.</w:t>
      </w:r>
      <w:r>
        <w:t xml:space="preserve"> </w:t>
      </w:r>
      <w:r>
        <w:t xml:space="preserve">Thus, it is unlikely that warm springs have a positive effect on total C content of annual rings or</w:t>
      </w:r>
      <w:r>
        <w:t xml:space="preserve"> </w:t>
      </w:r>
      <m:oMath>
        <m:r>
          <m:t>A</m:t>
        </m:r>
        <m:r>
          <m:t>N</m:t>
        </m:r>
        <m:r>
          <m:t>P</m:t>
        </m:r>
        <m:sSub>
          <m:e>
            <m:r>
              <m:t>P</m:t>
            </m:r>
          </m:e>
          <m:sub>
            <m:r>
              <m:t>w</m:t>
            </m:r>
            <m:r>
              <m:t>o</m:t>
            </m:r>
            <m:r>
              <m:t>o</m:t>
            </m:r>
            <m:r>
              <m:t>d</m:t>
            </m:r>
            <m:r>
              <m:t>y</m:t>
            </m:r>
          </m:sub>
        </m:sSub>
      </m:oMath>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35</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42</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 although even the C in shorter-lived pools would often be carried over into the following year</w:t>
      </w:r>
      <w:r>
        <w:rPr>
          <w:vertAlign w:val="superscript"/>
        </w:rPr>
        <w:t xml:space="preserve">48</w:t>
      </w:r>
      <w:r>
        <w:t xml:space="preserve">.</w:t>
      </w:r>
      <w:r>
        <w:t xml:space="preserve"> </w:t>
      </w:r>
      <w:r>
        <w:t xml:space="preserve">Thus, observed augmentation of NEE by warm springs</w:t>
      </w:r>
      <w:r>
        <w:rPr>
          <w:vertAlign w:val="superscript"/>
        </w:rPr>
        <w:t xml:space="preserve">2,11,12</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30</w:t>
      </w:r>
      <w:r>
        <w:t xml:space="preserve">, woody productivity</w:t>
      </w:r>
      <w:r>
        <w:rPr>
          <w:vertAlign w:val="superscript"/>
        </w:rPr>
        <w:t xml:space="preserve">49</w:t>
      </w:r>
      <w:r>
        <w:t xml:space="preserve">, and NEE</w:t>
      </w:r>
      <w:r>
        <w:rPr>
          <w:vertAlign w:val="superscript"/>
        </w:rPr>
        <w:t xml:space="preserve">50</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35,51</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25,32,34,52</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29,30,36,37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3,53,54</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31</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55</w:t>
      </w:r>
      <w:r>
        <w:t xml:space="preserve"> </w:t>
      </w:r>
      <w:r>
        <w:t xml:space="preserve">and Harvard Forest</w:t>
      </w:r>
      <w:r>
        <w:rPr>
          <w:vertAlign w:val="superscript"/>
        </w:rPr>
        <w:t xml:space="preserve">4,39</w:t>
      </w:r>
      <w:r>
        <w:t xml:space="preserve">, both part of the Forest Global Earth Observatory (ForestGEO)</w:t>
      </w:r>
      <w:r>
        <w:rPr>
          <w:vertAlign w:val="superscript"/>
        </w:rPr>
        <w:t xml:space="preserve">56,57</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55</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30</w:t>
      </w:r>
      <w:r>
        <w:t xml:space="preserve">.</w:t>
      </w:r>
      <w:r>
        <w:t xml:space="preserve"> </w:t>
      </w:r>
      <w:r>
        <w:t xml:space="preserve">Within the study period for the dendrometer band analysis (2011-2020), Spring temperatures (March + April</w:t>
      </w:r>
      <w:r>
        <w:t xml:space="preserve"> </w:t>
      </w:r>
      <m:oMath>
        <m:sSub>
          <m:e>
            <m:r>
              <m:t>T</m:t>
            </m:r>
          </m:e>
          <m:sub>
            <m:r>
              <m:t>m</m:t>
            </m:r>
            <m:r>
              <m:t>a</m:t>
            </m:r>
            <m:r>
              <m:t>x</m:t>
            </m:r>
          </m:sub>
        </m:sSub>
      </m:oMath>
      <w:r>
        <w:t xml:space="preserve">) and summer SPEI values (4-month value of August) were similar to the average prior to the study period (1970-2010). Prior to the study period, the average spring</w:t>
      </w:r>
      <w:r>
        <w:t xml:space="preserve"> </w:t>
      </w:r>
      <m:oMath>
        <m:sSub>
          <m:e>
            <m:r>
              <m:t>T</m:t>
            </m:r>
          </m:e>
          <m:sub>
            <m:r>
              <m:t>m</m:t>
            </m:r>
            <m:r>
              <m:t>a</m:t>
            </m:r>
            <m:r>
              <m:t>x</m:t>
            </m:r>
          </m:sub>
        </m:sSub>
      </m:oMath>
      <w:r>
        <w:t xml:space="preserve"> </w:t>
      </w:r>
      <w:r>
        <w:t xml:space="preserve">was 16.9</w:t>
      </w:r>
      <w:r>
        <w:t xml:space="preserve"> </w:t>
      </w:r>
      <m:oMath>
        <m:r>
          <m:t>d</m:t>
        </m:r>
        <m:r>
          <m:t>e</m:t>
        </m:r>
        <m:r>
          <m:t>g</m:t>
        </m:r>
        <m:r>
          <m:t>r</m:t>
        </m:r>
        <m:r>
          <m:t>e</m:t>
        </m:r>
        <m:r>
          <m:t>e</m:t>
        </m:r>
        <m:r>
          <m:t>C</m:t>
        </m:r>
      </m:oMath>
      <w:r>
        <w:t xml:space="preserve"> </w:t>
      </w:r>
      <w:r>
        <w:t xml:space="preserve">and summer SPEI was -0.06. In the study period, average spring</w:t>
      </w:r>
      <w:r>
        <w:t xml:space="preserve"> </w:t>
      </w:r>
      <m:oMath>
        <m:sSub>
          <m:e>
            <m:r>
              <m:t>T</m:t>
            </m:r>
          </m:e>
          <m:sub>
            <m:r>
              <m:t>m</m:t>
            </m:r>
            <m:r>
              <m:t>a</m:t>
            </m:r>
            <m:r>
              <m:t>x</m:t>
            </m:r>
          </m:sub>
        </m:sSub>
      </m:oMath>
      <w:r>
        <w:t xml:space="preserve"> </w:t>
      </w:r>
      <w:r>
        <w:t xml:space="preserve">was 17.6</w:t>
      </w:r>
      <w:r>
        <w:t xml:space="preserve"> </w:t>
      </w:r>
      <m:oMath>
        <m:r>
          <m:t>d</m:t>
        </m:r>
        <m:r>
          <m:t>e</m:t>
        </m:r>
        <m:r>
          <m:t>g</m:t>
        </m:r>
        <m:r>
          <m:t>r</m:t>
        </m:r>
        <m:r>
          <m:t>e</m:t>
        </m:r>
        <m:r>
          <m:t>e</m:t>
        </m:r>
        <m:r>
          <m:t>C</m:t>
        </m:r>
      </m:oMath>
      <w:r>
        <w:t xml:space="preserve"> </w:t>
      </w:r>
      <w:r>
        <w:t xml:space="preserve">and summer SPEI was 0.51.</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30</w:t>
      </w:r>
      <w:r>
        <w:t xml:space="preserve">.</w:t>
      </w:r>
      <w:r>
        <w:t xml:space="preserve"> </w:t>
      </w:r>
      <w:r>
        <w:t xml:space="preserve">Within the study period for the dendrometer band analysis (1999-2003), Spring temperatures (March + April</w:t>
      </w:r>
      <w:r>
        <w:t xml:space="preserve"> </w:t>
      </w:r>
      <m:oMath>
        <m:sSub>
          <m:e>
            <m:r>
              <m:t>T</m:t>
            </m:r>
          </m:e>
          <m:sub>
            <m:r>
              <m:t>m</m:t>
            </m:r>
            <m:r>
              <m:t>a</m:t>
            </m:r>
            <m:r>
              <m:t>x</m:t>
            </m:r>
          </m:sub>
        </m:sSub>
      </m:oMath>
      <w:r>
        <w:t xml:space="preserve">) and summer SPEI values (4-month value of August) were similar to the average prior to the study period (1970-1998). Prior to the study period, the average spring</w:t>
      </w:r>
      <w:r>
        <w:t xml:space="preserve"> </w:t>
      </w:r>
      <m:oMath>
        <m:sSub>
          <m:e>
            <m:r>
              <m:t>T</m:t>
            </m:r>
          </m:e>
          <m:sub>
            <m:r>
              <m:t>m</m:t>
            </m:r>
            <m:r>
              <m:t>a</m:t>
            </m:r>
            <m:r>
              <m:t>x</m:t>
            </m:r>
          </m:sub>
        </m:sSub>
      </m:oMath>
      <w:r>
        <w:t xml:space="preserve"> </w:t>
      </w:r>
      <w:r>
        <w:t xml:space="preserve">was 10.9</w:t>
      </w:r>
      <w:r>
        <w:t xml:space="preserve"> </w:t>
      </w:r>
      <m:oMath>
        <m:r>
          <m:t>d</m:t>
        </m:r>
        <m:r>
          <m:t>e</m:t>
        </m:r>
        <m:r>
          <m:t>g</m:t>
        </m:r>
        <m:r>
          <m:t>r</m:t>
        </m:r>
        <m:r>
          <m:t>e</m:t>
        </m:r>
        <m:r>
          <m:t>e</m:t>
        </m:r>
        <m:r>
          <m:t>C</m:t>
        </m:r>
      </m:oMath>
      <w:r>
        <w:t xml:space="preserve"> </w:t>
      </w:r>
      <w:r>
        <w:t xml:space="preserve">and summer SPEI was 0.13. In the study period, average spring</w:t>
      </w:r>
      <w:r>
        <w:t xml:space="preserve"> </w:t>
      </w:r>
      <m:oMath>
        <m:sSub>
          <m:e>
            <m:r>
              <m:t>T</m:t>
            </m:r>
          </m:e>
          <m:sub>
            <m:r>
              <m:t>m</m:t>
            </m:r>
            <m:r>
              <m:t>a</m:t>
            </m:r>
            <m:r>
              <m:t>x</m:t>
            </m:r>
          </m:sub>
        </m:sSub>
      </m:oMath>
      <w:r>
        <w:t xml:space="preserve"> </w:t>
      </w:r>
      <w:r>
        <w:t xml:space="preserve">was 11.2</w:t>
      </w:r>
      <w:r>
        <w:t xml:space="preserve"> </w:t>
      </w:r>
      <m:oMath>
        <m:r>
          <m:t>d</m:t>
        </m:r>
        <m:r>
          <m:t>e</m:t>
        </m:r>
        <m:r>
          <m:t>g</m:t>
        </m:r>
        <m:r>
          <m:t>r</m:t>
        </m:r>
        <m:r>
          <m:t>e</m:t>
        </m:r>
        <m:r>
          <m:t>e</m:t>
        </m:r>
        <m:r>
          <m:t>C</m:t>
        </m:r>
      </m:oMath>
      <w:r>
        <w:t xml:space="preserve"> </w:t>
      </w:r>
      <w:r>
        <w:t xml:space="preserve">and summer SPEI was 0.20.</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39</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38,58</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59</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60</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61</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62,63</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64</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CTW</w:t>
      </w:r>
      <w:r>
        <w:t xml:space="preserve"> </w:t>
      </w:r>
      <m:oMath>
        <m:sSub>
          <m:e>
            <m:r>
              <m:t>T</m:t>
            </m:r>
          </m:e>
          <m:sub>
            <m:r>
              <m:t>m</m:t>
            </m:r>
            <m:r>
              <m:t>a</m:t>
            </m:r>
            <m:r>
              <m:t>x</m:t>
            </m:r>
          </m:sub>
        </m:sSub>
      </m:oMath>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65,66</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67</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60,68,69</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70</w:t>
      </w:r>
      <w:r>
        <w:t xml:space="preserve">.</w:t>
      </w:r>
    </w:p>
    <w:p>
      <w:pPr>
        <w:pStyle w:val="BodyText"/>
      </w:pPr>
      <w:r>
        <w:t xml:space="preserve">Dominant tree species were cored at both SCBI</w:t>
      </w:r>
      <w:r>
        <w:rPr>
          <w:vertAlign w:val="superscript"/>
        </w:rPr>
        <w:t xml:space="preserve">37,55</w:t>
      </w:r>
      <w:r>
        <w:t xml:space="preserve"> </w:t>
      </w:r>
      <w:r>
        <w:t xml:space="preserve">and Harvard Forest</w:t>
      </w:r>
      <w:r>
        <w:rPr>
          <w:vertAlign w:val="superscript"/>
        </w:rPr>
        <w:t xml:space="preserve">4,71,72</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36,73</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stabilises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78</w:t>
      </w:r>
      <w:r>
        <w:t xml:space="preserve"> </w:t>
      </w:r>
      <w:r>
        <w:t xml:space="preserve">Correlations between monthly climate and RWI were assessed in R</w:t>
      </w:r>
      <w:r>
        <w:t xml:space="preserve"> </w:t>
      </w:r>
      <w:r>
        <w:rPr>
          <w:bCs/>
          <w:b/>
        </w:rPr>
        <w:t xml:space="preserve">v 4.0</w:t>
      </w:r>
      <w:r>
        <w:rPr>
          <w:vertAlign w:val="superscript"/>
        </w:rPr>
        <w:t xml:space="preserve">79</w:t>
      </w:r>
      <w:r>
        <w:t xml:space="preserve"> </w:t>
      </w:r>
      <w:r>
        <w:t xml:space="preserve">using the packages</w:t>
      </w:r>
      <w:r>
        <w:t xml:space="preserve"> </w:t>
      </w:r>
      <w:r>
        <w:rPr>
          <w:iCs/>
          <w:i/>
        </w:rPr>
        <w:t xml:space="preserve">dplR</w:t>
      </w:r>
      <w:r>
        <w:rPr>
          <w:vertAlign w:val="superscript"/>
        </w:rPr>
        <w:t xml:space="preserve">80</w:t>
      </w:r>
      <w:r>
        <w:t xml:space="preserve"> </w:t>
      </w:r>
      <w:r>
        <w:t xml:space="preserve"> </w:t>
      </w:r>
      <w:r>
        <w:t xml:space="preserve">and</w:t>
      </w:r>
      <w:r>
        <w:t xml:space="preserve"> </w:t>
      </w:r>
      <w:r>
        <w:rPr>
          <w:iCs/>
          <w:i/>
        </w:rPr>
        <w:t xml:space="preserve">bootRes</w:t>
      </w:r>
      <w:r>
        <w:rPr>
          <w:vertAlign w:val="superscript"/>
        </w:rPr>
        <w:t xml:space="preserve">81</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82</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27.</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cook_predicting_1991"/>
    <w:p>
      <w:pPr>
        <w:pStyle w:val="Bibliography"/>
      </w:pPr>
      <w:r>
        <w:t xml:space="preserve">28.</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7"/>
    <w:bookmarkStart w:id="78" w:name="ref-babst_twentieth_2019"/>
    <w:p>
      <w:pPr>
        <w:pStyle w:val="Bibliography"/>
      </w:pPr>
      <w:r>
        <w:t xml:space="preserve">29.</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79" w:name="ref-anderson-teixeira_joint_2022"/>
    <w:p>
      <w:pPr>
        <w:pStyle w:val="Bibliography"/>
      </w:pPr>
      <w:r>
        <w:t xml:space="preserve">30.</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79"/>
    <w:bookmarkStart w:id="81" w:name="ref-gao_earlier_2022"/>
    <w:p>
      <w:pPr>
        <w:pStyle w:val="Bibliography"/>
      </w:pPr>
      <w:r>
        <w:t xml:space="preserve">31.</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0">
        <w:r>
          <w:rPr>
            <w:rStyle w:val="Hyperlink"/>
          </w:rPr>
          <w:t xml:space="preserve">10.1038/s41559-022-01668-4</w:t>
        </w:r>
      </w:hyperlink>
      <w:r>
        <w:t xml:space="preserve">.</w:t>
      </w:r>
    </w:p>
    <w:bookmarkEnd w:id="81"/>
    <w:bookmarkStart w:id="82" w:name="ref-zweifel_why_2021"/>
    <w:p>
      <w:pPr>
        <w:pStyle w:val="Bibliography"/>
      </w:pPr>
      <w:r>
        <w:t xml:space="preserve">32.</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2"/>
    <w:bookmarkStart w:id="83"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89" w:name="ref-dorangeville_peak_2022"/>
    <w:p>
      <w:pPr>
        <w:pStyle w:val="Bibliography"/>
      </w:pPr>
      <w:r>
        <w:t xml:space="preserve">39.</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9"/>
    <w:bookmarkStart w:id="90" w:name="ref-richardson_seasonal_2013"/>
    <w:p>
      <w:pPr>
        <w:pStyle w:val="Bibliography"/>
      </w:pPr>
      <w:r>
        <w:t xml:space="preserve">40.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0"/>
    <w:bookmarkStart w:id="91" w:name="ref-keenan_timing_2015"/>
    <w:p>
      <w:pPr>
        <w:pStyle w:val="Bibliography"/>
      </w:pPr>
      <w:r>
        <w:t xml:space="preserve">41.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1"/>
    <w:bookmarkStart w:id="92" w:name="ref-jiang_fate_2020"/>
    <w:p>
      <w:pPr>
        <w:pStyle w:val="Bibliography"/>
      </w:pPr>
      <w:r>
        <w:t xml:space="preserve">42.</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2"/>
    <w:bookmarkStart w:id="93"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3"/>
    <w:bookmarkStart w:id="94" w:name="ref-tardif_influence_2006"/>
    <w:p>
      <w:pPr>
        <w:pStyle w:val="Bibliography"/>
      </w:pPr>
      <w:r>
        <w:t xml:space="preserve">44.</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4"/>
    <w:bookmarkStart w:id="95" w:name="ref-roibu_climatic_2020"/>
    <w:p>
      <w:pPr>
        <w:pStyle w:val="Bibliography"/>
      </w:pPr>
      <w:r>
        <w:t xml:space="preserve">45.</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46.</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7"/>
    <w:bookmarkStart w:id="98" w:name="ref-trumbore_quantifying_2002"/>
    <w:p>
      <w:pPr>
        <w:pStyle w:val="Bibliography"/>
      </w:pPr>
      <w:r>
        <w:t xml:space="preserve">48.</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8"/>
    <w:bookmarkStart w:id="99" w:name="ref-banburymorgan_global_2021"/>
    <w:p>
      <w:pPr>
        <w:pStyle w:val="Bibliography"/>
      </w:pPr>
      <w:r>
        <w:t xml:space="preserve">49.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50.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51.</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52.</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54.</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55.</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56.</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57.</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errmann_tree_2016"/>
    <w:p>
      <w:pPr>
        <w:pStyle w:val="Bibliography"/>
      </w:pPr>
      <w:r>
        <w:t xml:space="preserve">58.</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8"/>
    <w:bookmarkStart w:id="110" w:name="ref-friedl_mcd12q2_2019"/>
    <w:p>
      <w:pPr>
        <w:pStyle w:val="Bibliography"/>
      </w:pPr>
      <w:r>
        <w:t xml:space="preserve">59.</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9">
        <w:r>
          <w:rPr>
            <w:rStyle w:val="Hyperlink"/>
          </w:rPr>
          <w:t xml:space="preserve">10.5067/MODIS/MCD12Q2.006</w:t>
        </w:r>
      </w:hyperlink>
      <w:r>
        <w:t xml:space="preserve">.</w:t>
      </w:r>
    </w:p>
    <w:bookmarkEnd w:id="110"/>
    <w:bookmarkStart w:id="112" w:name="ref-anderson-teixeira_forestgeo_2020"/>
    <w:p>
      <w:pPr>
        <w:pStyle w:val="Bibliography"/>
      </w:pPr>
      <w:r>
        <w:t xml:space="preserve">60.</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1">
        <w:r>
          <w:rPr>
            <w:rStyle w:val="Hyperlink"/>
          </w:rPr>
          <w:t xml:space="preserve">10.5281/ZENODO.4041609</w:t>
        </w:r>
      </w:hyperlink>
      <w:r>
        <w:t xml:space="preserve">.</w:t>
      </w:r>
    </w:p>
    <w:bookmarkEnd w:id="112"/>
    <w:bookmarkStart w:id="113" w:name="ref-benestad_empiricalstatistical_2008"/>
    <w:p>
      <w:pPr>
        <w:pStyle w:val="Bibliography"/>
      </w:pPr>
      <w:r>
        <w:t xml:space="preserve">61.</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3"/>
    <w:bookmarkStart w:id="115" w:name="ref-boose_shaler_2021"/>
    <w:p>
      <w:pPr>
        <w:pStyle w:val="Bibliography"/>
      </w:pPr>
      <w:r>
        <w:t xml:space="preserve">62.</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4">
        <w:r>
          <w:rPr>
            <w:rStyle w:val="Hyperlink"/>
          </w:rPr>
          <w:t xml:space="preserve">10.6073/PASTA/213335F5DAA17222A738C105B9FA60C4</w:t>
        </w:r>
      </w:hyperlink>
      <w:r>
        <w:t xml:space="preserve">.</w:t>
      </w:r>
    </w:p>
    <w:bookmarkEnd w:id="115"/>
    <w:bookmarkStart w:id="117" w:name="ref-boose_fisher_2021"/>
    <w:p>
      <w:pPr>
        <w:pStyle w:val="Bibliography"/>
      </w:pPr>
      <w:r>
        <w:t xml:space="preserve">63.</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6">
        <w:r>
          <w:rPr>
            <w:rStyle w:val="Hyperlink"/>
          </w:rPr>
          <w:t xml:space="preserve">10.6073/PASTA/69E92642B512897032446CFE795CFFB8</w:t>
        </w:r>
      </w:hyperlink>
      <w:r>
        <w:t xml:space="preserve">.</w:t>
      </w:r>
    </w:p>
    <w:bookmarkEnd w:id="117"/>
    <w:bookmarkStart w:id="118" w:name="ref-vandepol_identifying_2016"/>
    <w:p>
      <w:pPr>
        <w:pStyle w:val="Bibliography"/>
      </w:pPr>
      <w:r>
        <w:t xml:space="preserve">64.</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8"/>
    <w:bookmarkStart w:id="119" w:name="ref-gabry_rstanarm_2020"/>
    <w:p>
      <w:pPr>
        <w:pStyle w:val="Bibliography"/>
      </w:pPr>
      <w:r>
        <w:t xml:space="preserve">65.</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19"/>
    <w:bookmarkStart w:id="120" w:name="ref-standevelopmentteam_stan_2019"/>
    <w:p>
      <w:pPr>
        <w:pStyle w:val="Bibliography"/>
      </w:pPr>
      <w:r>
        <w:t xml:space="preserve">66.</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0"/>
    <w:bookmarkStart w:id="121" w:name="ref-vicente-serrano_multiscalar_2010"/>
    <w:p>
      <w:pPr>
        <w:pStyle w:val="Bibliography"/>
      </w:pPr>
      <w:r>
        <w:t xml:space="preserve">67.</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begueria_standardized_2014"/>
    <w:p>
      <w:pPr>
        <w:pStyle w:val="Bibliography"/>
      </w:pPr>
      <w:r>
        <w:t xml:space="preserve">68.</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2"/>
    <w:bookmarkStart w:id="123" w:name="ref-vicente-serrano_multiscalar_2010a"/>
    <w:p>
      <w:pPr>
        <w:pStyle w:val="Bibliography"/>
      </w:pPr>
      <w:r>
        <w:t xml:space="preserve">69.</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3"/>
    <w:bookmarkStart w:id="124" w:name="ref-stokes_introduction_1968"/>
    <w:p>
      <w:pPr>
        <w:pStyle w:val="Bibliography"/>
      </w:pPr>
      <w:r>
        <w:t xml:space="preserve">70.</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4"/>
    <w:bookmarkStart w:id="125" w:name="ref-alexander_potential_2019"/>
    <w:p>
      <w:pPr>
        <w:pStyle w:val="Bibliography"/>
      </w:pPr>
      <w:r>
        <w:t xml:space="preserve">71.</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5"/>
    <w:bookmarkStart w:id="126" w:name="ref-dye_comparing_2016"/>
    <w:p>
      <w:pPr>
        <w:pStyle w:val="Bibliography"/>
      </w:pPr>
      <w:r>
        <w:t xml:space="preserve">72.</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6"/>
    <w:bookmarkStart w:id="127"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7"/>
    <w:bookmarkStart w:id="129"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8">
        <w:r>
          <w:rPr>
            <w:rStyle w:val="Hyperlink"/>
          </w:rPr>
          <w:t xml:space="preserve">10.1007/978-94-015-7879-0</w:t>
        </w:r>
      </w:hyperlink>
      <w:r>
        <w:t xml:space="preserve">.</w:t>
      </w:r>
    </w:p>
    <w:bookmarkEnd w:id="129"/>
    <w:bookmarkStart w:id="130"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0"/>
    <w:bookmarkStart w:id="131"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1"/>
    <w:bookmarkStart w:id="132"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2"/>
    <w:bookmarkStart w:id="133" w:name="ref-harris_version_2020"/>
    <w:p>
      <w:pPr>
        <w:pStyle w:val="Bibliography"/>
      </w:pPr>
      <w:r>
        <w:t xml:space="preserve">78.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3"/>
    <w:bookmarkStart w:id="134" w:name="ref-rcoreteam_language_2020"/>
    <w:p>
      <w:pPr>
        <w:pStyle w:val="Bibliography"/>
      </w:pPr>
      <w:r>
        <w:t xml:space="preserve">79.</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4"/>
    <w:bookmarkStart w:id="135" w:name="ref-bunn_dendrochronology_2008"/>
    <w:p>
      <w:pPr>
        <w:pStyle w:val="Bibliography"/>
      </w:pPr>
      <w:r>
        <w:t xml:space="preserve">80.</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81.</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82.</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09" Target="https://doi.org/10.5067/MODIS/MCD12Q2.006" TargetMode="External" /><Relationship Type="http://schemas.openxmlformats.org/officeDocument/2006/relationships/hyperlink" Id="rId111" Target="https://doi.org/10.5281/ZENODO.4041609" TargetMode="External" /><Relationship Type="http://schemas.openxmlformats.org/officeDocument/2006/relationships/hyperlink" Id="rId114" Target="https://doi.org/10.6073/PASTA/213335F5DAA17222A738C105B9FA60C4" TargetMode="External" /><Relationship Type="http://schemas.openxmlformats.org/officeDocument/2006/relationships/hyperlink" Id="rId11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09" Target="https://doi.org/10.5067/MODIS/MCD12Q2.006" TargetMode="External" /><Relationship Type="http://schemas.openxmlformats.org/officeDocument/2006/relationships/hyperlink" Id="rId111" Target="https://doi.org/10.5281/ZENODO.4041609" TargetMode="External" /><Relationship Type="http://schemas.openxmlformats.org/officeDocument/2006/relationships/hyperlink" Id="rId114" Target="https://doi.org/10.6073/PASTA/213335F5DAA17222A738C105B9FA60C4" TargetMode="External" /><Relationship Type="http://schemas.openxmlformats.org/officeDocument/2006/relationships/hyperlink" Id="rId11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2022-03-21T15:46:54Z</dcterms:created>
  <dcterms:modified xsi:type="dcterms:W3CDTF">2022-03-21T15:46:54Z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