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31–34</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35,36</w:t>
      </w:r>
      <w:r>
        <w:t xml:space="preserve">, and annual growth is more closely linked to conditions within the growing season than to growing season length</w:t>
      </w:r>
      <w:r>
        <w:rPr>
          <w:vertAlign w:val="superscript"/>
        </w:rPr>
        <w:t xml:space="preserve">37</w:t>
      </w:r>
      <w:r>
        <w:t xml:space="preserve">, gross primary productivity (GPP)</w:t>
      </w:r>
      <w:r>
        <w:rPr>
          <w:vertAlign w:val="superscript"/>
        </w:rPr>
        <w:t xml:space="preserve">27</w:t>
      </w:r>
      <w:r>
        <w:t xml:space="preserve">, or 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19,27,38</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39,40</w:t>
      </w:r>
      <w:r>
        <w:t xml:space="preserve">, with some evidence that warmer springs may have a modest, but usually insignificant, positive effect on growth</w:t>
      </w:r>
      <w:r>
        <w:rPr>
          <w:vertAlign w:val="superscript"/>
        </w:rPr>
        <w:t xml:space="preserve">34,40</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41</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36,42</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42</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9,43,44</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40</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39</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45</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 peak canopy greenness (Extended Data Figure 2)</w:t>
      </w:r>
      <w:r>
        <w:rPr>
          <w:vertAlign w:val="superscript"/>
        </w:rPr>
        <w:t xml:space="preserve">4,37</w:t>
      </w:r>
      <w:r>
        <w:t xml:space="preserve">, is likely driven by cues other than photosynthate limitation, such as water stress, daylength, or sink limitation</w:t>
      </w:r>
      <w:r>
        <w:rPr>
          <w:vertAlign w:val="superscript"/>
        </w:rPr>
        <w:t xml:space="preserve">16,19,27,35,37,46,47</w:t>
      </w:r>
      <w:r>
        <w:t xml:space="preserve">.</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37,39</w:t>
      </w:r>
      <w:r>
        <w:t xml:space="preserve">.</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27,36,37</w:t>
      </w:r>
      <w:r>
        <w:t xml:space="preserve"> </w:t>
      </w:r>
      <w:r>
        <w:t xml:space="preserve">and with parallel findings for NEE</w:t>
      </w:r>
      <w:r>
        <w:rPr>
          <w:vertAlign w:val="superscript"/>
        </w:rPr>
        <w:t xml:space="preserve">13,14</w:t>
      </w:r>
      <w:r>
        <w:t xml:space="preserve">.</w:t>
      </w:r>
      <w:r>
        <w:t xml:space="preserve"> </w:t>
      </w:r>
      <w:r>
        <w:t xml:space="preserve">However, there is also a disconnect with findings that NEE 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12,48,49</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diameter growth in the current or following year (Extended Data Figure 7).</w:t>
      </w:r>
    </w:p>
    <w:p>
      <w:pPr>
        <w:pStyle w:val="BodyText"/>
      </w:pPr>
      <w:r>
        <w:t xml:space="preserve">Although stem diameter increments are routinely used to calculate</w:t>
      </w:r>
      <w:r>
        <w:t xml:space="preserve"> </w:t>
      </w:r>
      <m:oMath>
        <m:r>
          <m:t>A</m:t>
        </m:r>
        <m:r>
          <m:t>N</m:t>
        </m:r>
        <m:r>
          <m:t>P</m:t>
        </m:r>
        <m:sSub>
          <m:e>
            <m:r>
              <m:t>P</m:t>
            </m:r>
          </m:e>
          <m:sub>
            <m:r>
              <m:t>w</m:t>
            </m:r>
            <m:r>
              <m:t>o</m:t>
            </m:r>
            <m:r>
              <m:t>o</m:t>
            </m:r>
            <m:r>
              <m:t>d</m:t>
            </m:r>
            <m:r>
              <m:t>y</m:t>
            </m:r>
          </m:sub>
        </m:sSub>
      </m:oMath>
      <w:r>
        <w:rPr>
          <w:bCs/>
          <w:b/>
          <w:vertAlign w:val="superscript"/>
        </w:rPr>
        <w:t xml:space="preserve">refs?</w:t>
      </w:r>
      <w:r>
        <w:t xml:space="preserve">, stem volume growth does not directly translate into C content, but rather can be partially decoupled through differences in wood density or C content</w:t>
      </w:r>
      <w:r>
        <w:rPr>
          <w:vertAlign w:val="superscript"/>
        </w:rPr>
        <w:t xml:space="preserve">27,</w:t>
      </w:r>
      <w:r>
        <w:rPr>
          <w:bCs/>
          <w:b/>
          <w:vertAlign w:val="superscript"/>
        </w:rPr>
        <w:t xml:space="preserve">and_refs_therein?</w:t>
      </w:r>
      <w:r>
        <w:t xml:space="preserve">.</w:t>
      </w:r>
      <w:r>
        <w:br/>
      </w:r>
      <w:r>
        <w:t xml:space="preserve">Thus, it is theoretically possible that extra C is allocated to enhanced cell wall thickening, a process that lags behind stem expansion</w:t>
      </w:r>
      <w:r>
        <w:rPr>
          <w:vertAlign w:val="superscript"/>
        </w:rPr>
        <w:t xml:space="preserve">50</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51–53</w:t>
      </w:r>
      <w:r>
        <w:t xml:space="preserve">, which is more strongly controlled by summer drought stress</w:t>
      </w:r>
      <w:r>
        <w:rPr>
          <w:vertAlign w:val="superscript"/>
        </w:rPr>
        <w:t xml:space="preserve">51,52</w:t>
      </w:r>
      <w:r>
        <w:t xml:space="preserve">, suggesting that a positive effect of warm springs on the total C content of annual rings is unlikely.</w:t>
      </w:r>
      <w:r>
        <w:t xml:space="preserve"> </w:t>
      </w:r>
      <w:r>
        <w:rPr>
          <w:iCs/>
          <w:i/>
        </w:rPr>
        <w:t xml:space="preserve">Rather, the most likely explanation of the observed lack of correlation between spring temperatures and stem growth is that</w:t>
      </w:r>
      <w:r>
        <w:rPr>
          <w:iCs/>
          <w:i/>
        </w:rPr>
        <w:t xml:space="preserve"> </w:t>
      </w:r>
      <m:oMath>
        <m:r>
          <m:t>A</m:t>
        </m:r>
        <m:r>
          <m:t>N</m:t>
        </m:r>
        <m:r>
          <m:t>P</m:t>
        </m:r>
        <m:sSub>
          <m:e>
            <m:r>
              <m:t>P</m:t>
            </m:r>
          </m:e>
          <m:sub>
            <m:r>
              <m:t>w</m:t>
            </m:r>
            <m:r>
              <m:t>o</m:t>
            </m:r>
            <m:r>
              <m:t>o</m:t>
            </m:r>
            <m:r>
              <m:t>d</m:t>
            </m:r>
            <m:r>
              <m:t>y</m:t>
            </m:r>
          </m:sub>
        </m:sSub>
      </m:oMath>
      <w:r>
        <w:rPr>
          <w:iCs/>
          <w:i/>
        </w:rPr>
        <w:t xml:space="preserve"> </w:t>
      </w:r>
      <w:r>
        <w:rPr>
          <w:iCs/>
          <w:i/>
        </w:rPr>
        <w:t xml:space="preserve">is limited by sink factors, such that the expected increase photosynthate availability</w:t>
      </w:r>
      <w:r>
        <w:rPr>
          <w:bCs/>
          <w:b/>
          <w:vertAlign w:val="superscript"/>
          <w:iCs/>
          <w:i/>
        </w:rPr>
        <w:t xml:space="preserve">refs?</w:t>
      </w:r>
      <w:r>
        <w:rPr>
          <w:iCs/>
          <w:i/>
        </w:rPr>
        <w:t xml:space="preserve"> </w:t>
      </w:r>
      <w:r>
        <w:rPr>
          <w:iCs/>
          <w:i/>
        </w:rPr>
        <w:t xml:space="preserve">(observed at Harvard Forest</w:t>
      </w:r>
      <w:r>
        <w:rPr>
          <w:bCs/>
          <w:b/>
          <w:vertAlign w:val="superscript"/>
          <w:iCs/>
          <w:i/>
        </w:rPr>
        <w:t xml:space="preserve">finzi_carbon_2020_but_verify?</w:t>
      </w:r>
      <w:r>
        <w:rPr>
          <w:iCs/>
          <w:i/>
        </w:rPr>
        <w:t xml:space="preserve">) does not enhance growth.</w:t>
      </w:r>
      <w:r>
        <w:t xml:space="preserve"> </w:t>
      </w:r>
      <w:r>
        <w:rPr>
          <w:iCs/>
          <w:i/>
        </w:rPr>
        <w:t xml:space="preserve">Indeed, such a phenomenon has been observed when GPP has been increased through lengthening of the growing season</w:t>
      </w:r>
      <w:r>
        <w:rPr>
          <w:bCs/>
          <w:b/>
          <w:vertAlign w:val="superscript"/>
          <w:iCs/>
          <w:i/>
        </w:rPr>
        <w:t xml:space="preserve">refs?</w:t>
      </w:r>
      <w:r>
        <w:rPr>
          <w:iCs/>
          <w:i/>
        </w:rPr>
        <w:t xml:space="preserve"> </w:t>
      </w:r>
      <w:r>
        <w:rPr>
          <w:iCs/>
          <w:i/>
        </w:rPr>
        <w:t xml:space="preserve">or elevated CO</w:t>
      </w:r>
      <w:r>
        <w:rPr>
          <w:vertAlign w:val="subscript"/>
          <w:iCs/>
          <w:i/>
        </w:rPr>
        <w:t xml:space="preserve">2</w:t>
      </w:r>
      <w:r>
        <w:rPr>
          <w:bCs/>
          <w:b/>
          <w:vertAlign w:val="superscript"/>
          <w:iCs/>
          <w:i/>
        </w:rPr>
        <w:t xml:space="preserve">refs?</w:t>
      </w:r>
      <w:r>
        <w:rPr>
          <w:iCs/>
          <w:i/>
        </w:rPr>
        <w:t xml:space="preserve">.</w:t>
      </w:r>
    </w:p>
    <w:p>
      <w:pPr>
        <w:pStyle w:val="BodyText"/>
      </w:pPr>
      <w:r>
        <w:t xml:space="preserve">Our results add to a growing body of evidence for a sink limitation of stem growth and</w:t>
      </w:r>
      <w:r>
        <w:t xml:space="preserve"> </w:t>
      </w:r>
      <m:oMath>
        <m:r>
          <m:t>A</m:t>
        </m:r>
        <m:r>
          <m:t>N</m:t>
        </m:r>
        <m:r>
          <m:t>P</m:t>
        </m:r>
        <m:sSub>
          <m:e>
            <m:r>
              <m:t>P</m:t>
            </m:r>
          </m:e>
          <m:sub>
            <m:r>
              <m:t>w</m:t>
            </m:r>
            <m:r>
              <m:t>o</m:t>
            </m:r>
            <m:r>
              <m:t>o</m:t>
            </m:r>
            <m:r>
              <m:t>d</m:t>
            </m:r>
            <m:r>
              <m:t>y</m:t>
            </m:r>
          </m:sub>
        </m:sSub>
      </m:oMath>
      <w:r>
        <w:rPr>
          <w:bCs/>
          <w:b/>
          <w:vertAlign w:val="superscript"/>
        </w:rPr>
        <w:t xml:space="preserve">refs?</w:t>
      </w:r>
      <w:r>
        <w:t xml:space="preserve">, wherein global change factors such as warming spring temperatures</w:t>
      </w:r>
      <w:r>
        <w:rPr>
          <w:bCs/>
          <w:b/>
          <w:vertAlign w:val="superscript"/>
        </w:rPr>
        <w:t xml:space="preserve">refs?</w:t>
      </w:r>
      <w:r>
        <w:t xml:space="preserve"> </w:t>
      </w:r>
      <w:r>
        <w:t xml:space="preserve">or elevated CO</w:t>
      </w:r>
      <w:r>
        <w:rPr>
          <w:vertAlign w:val="subscript"/>
        </w:rPr>
        <w:t xml:space="preserve">2</w:t>
      </w:r>
      <w:r>
        <w:rPr>
          <w:bCs/>
          <w:b/>
          <w:vertAlign w:val="superscript"/>
        </w:rPr>
        <w:t xml:space="preserve">refs?</w:t>
      </w:r>
      <w:r>
        <w:t xml:space="preserve"> </w:t>
      </w:r>
      <w:r>
        <w:t xml:space="preserve">enhance GPP, but woody growth is less responsive, if at all</w:t>
      </w:r>
      <w:r>
        <w:rPr>
          <w:bCs/>
          <w:b/>
          <w:vertAlign w:val="superscript"/>
        </w:rPr>
        <w:t xml:space="preserve">refs?</w:t>
      </w:r>
      <w:r>
        <w:t xml:space="preserve">.</w:t>
      </w:r>
      <w:r>
        <w:t xml:space="preserve"> </w:t>
      </w:r>
      <w:r>
        <w:t xml:space="preserve">The fate of any additional C fixed during years with warm springs remains unresolved, but possible</w:t>
      </w:r>
      <w:r>
        <w:t xml:space="preserve"> </w:t>
      </w:r>
      <w:r>
        <w:rPr>
          <w:iCs/>
          <w:i/>
        </w:rPr>
        <w:t xml:space="preserve">destinations</w:t>
      </w:r>
      <w:r>
        <w:t xml:space="preserve"> </w:t>
      </w:r>
      <w:r>
        <w:t xml:space="preserve">– including respiration, NSC storage, and production of foliage, reproductive structures, roots</w:t>
      </w:r>
      <w:r>
        <w:rPr>
          <w:vertAlign w:val="superscript"/>
        </w:rPr>
        <w:t xml:space="preserve">38</w:t>
      </w:r>
      <w:r>
        <w:t xml:space="preserve">, or root exudates – generally have shorter residence times that woody growth.</w:t>
      </w:r>
      <w:r>
        <w:t xml:space="preserve"> </w:t>
      </w:r>
      <w:r>
        <w:t xml:space="preserve">Indeed, in a situation where GPP was enhanced (through experimental elevation of CO</w:t>
      </w:r>
      <w:r>
        <w:rPr>
          <w:vertAlign w:val="subscript"/>
        </w:rPr>
        <w:t xml:space="preserve">2</w:t>
      </w:r>
      <w:r>
        <w:t xml:space="preserve">) but</w:t>
      </w:r>
      <w:r>
        <w:t xml:space="preserve"> </w:t>
      </w:r>
      <m:oMath>
        <m:r>
          <m:t>A</m:t>
        </m:r>
        <m:r>
          <m:t>N</m:t>
        </m:r>
        <m:r>
          <m:t>P</m:t>
        </m:r>
        <m:sSub>
          <m:e>
            <m:r>
              <m:t>P</m:t>
            </m:r>
          </m:e>
          <m:sub>
            <m:r>
              <m:t>w</m:t>
            </m:r>
            <m:r>
              <m:t>o</m:t>
            </m:r>
            <m:r>
              <m:t>o</m:t>
            </m:r>
            <m:r>
              <m:t>d</m:t>
            </m:r>
            <m:r>
              <m:t>y</m:t>
            </m:r>
          </m:sub>
        </m:sSub>
      </m:oMath>
      <w:r>
        <w:t xml:space="preserve"> </w:t>
      </w:r>
      <w:r>
        <w:t xml:space="preserve">was constrained</w:t>
      </w:r>
      <w:r>
        <w:t xml:space="preserve"> </w:t>
      </w:r>
      <w:r>
        <w:rPr>
          <w:iCs/>
          <w:i/>
        </w:rPr>
        <w:t xml:space="preserve">(presumably by sink factors)</w:t>
      </w:r>
      <w:r>
        <w:t xml:space="preserve">, additional C was released back to the atmosphere on relatively short time scales through enhanced respiration</w:t>
      </w:r>
      <w:r>
        <w:rPr>
          <w:vertAlign w:val="superscript"/>
        </w:rPr>
        <w:t xml:space="preserve">54</w:t>
      </w:r>
      <w:r>
        <w:t xml:space="preserve">.</w:t>
      </w:r>
      <w:r>
        <w:t xml:space="preserve"> </w:t>
      </w:r>
      <w:r>
        <w:t xml:space="preserve">Indeed, it has been observed that C loss through fall or winter respiration can offset gains from an earlier spring</w:t>
      </w:r>
      <w:r>
        <w:rPr>
          <w:vertAlign w:val="superscript"/>
        </w:rPr>
        <w:t xml:space="preserve">3,55</w:t>
      </w:r>
      <w:r>
        <w:t xml:space="preserve">.</w:t>
      </w:r>
      <w:r>
        <w:t xml:space="preserve"> </w:t>
      </w:r>
      <w:r>
        <w:t xml:space="preserve">It is also possible that a buildup of NSCs that are not required for growth or other functions would feed back to reduce the rate of photosynthesis</w:t>
      </w:r>
      <w:r>
        <w:rPr>
          <w:bCs/>
          <w:b/>
          <w:vertAlign w:val="superscript"/>
        </w:rPr>
        <w:t xml:space="preserve">refs?</w:t>
      </w:r>
      <w:r>
        <w:t xml:space="preserve">, such that sink limitation of</w:t>
      </w:r>
      <w:r>
        <w:t xml:space="preserve"> </w:t>
      </w:r>
      <m:oMath>
        <m:r>
          <m:t>A</m:t>
        </m:r>
        <m:r>
          <m:t>N</m:t>
        </m:r>
        <m:r>
          <m:t>P</m:t>
        </m:r>
        <m:sSub>
          <m:e>
            <m:r>
              <m:t>P</m:t>
            </m:r>
          </m:e>
          <m:sub>
            <m:r>
              <m:t>w</m:t>
            </m:r>
            <m:r>
              <m:t>o</m:t>
            </m:r>
            <m:r>
              <m:t>o</m:t>
            </m:r>
            <m:r>
              <m:t>d</m:t>
            </m:r>
            <m:r>
              <m:t>y</m:t>
            </m:r>
          </m:sub>
        </m:sSub>
      </m:oMath>
      <w:r>
        <w:t xml:space="preserve"> </w:t>
      </w:r>
      <w:r>
        <w:t xml:space="preserve">reduces GPP relative to its potential in years with warm springs.</w:t>
      </w:r>
      <w:r>
        <w:t xml:space="preserve"> </w:t>
      </w:r>
      <w:r>
        <w:t xml:space="preserve">Either way, our results demonstrate that warm springs do not increase</w:t>
      </w:r>
      <w:r>
        <w:t xml:space="preserve"> </w:t>
      </w:r>
      <m:oMath>
        <m:r>
          <m:t>A</m:t>
        </m:r>
        <m:r>
          <m:t>N</m:t>
        </m:r>
        <m:r>
          <m:t>P</m:t>
        </m:r>
        <m:sSub>
          <m:e>
            <m:r>
              <m:t>P</m:t>
            </m:r>
          </m:e>
          <m:sub>
            <m:r>
              <m:t>w</m:t>
            </m:r>
            <m:r>
              <m:t>o</m:t>
            </m:r>
            <m:r>
              <m:t>o</m:t>
            </m:r>
            <m:r>
              <m:t>d</m:t>
            </m:r>
            <m:r>
              <m:t>y</m:t>
            </m:r>
          </m:sub>
        </m:sSub>
      </m:oMath>
      <w:r>
        <w:t xml:space="preserve"> </w:t>
      </w:r>
      <w:r>
        <w:t xml:space="preserve">on an interannual time scale, contrasting with their tendency to augment</w:t>
      </w:r>
      <w:r>
        <w:t xml:space="preserve"> </w:t>
      </w:r>
      <w:r>
        <w:rPr>
          <w:iCs/>
          <w:i/>
        </w:rPr>
        <w:t xml:space="preserve">NEE</w:t>
      </w:r>
      <w:r>
        <w:rPr>
          <w:vertAlign w:val="superscript"/>
        </w:rPr>
        <w:t xml:space="preserve">2,13,14</w:t>
      </w:r>
      <w:r>
        <w:t xml:space="preserve">.</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spatial gradients in spring temperature,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33</w:t>
      </w:r>
      <w:r>
        <w:t xml:space="preserve">, woody productivity</w:t>
      </w:r>
      <w:r>
        <w:rPr>
          <w:vertAlign w:val="superscript"/>
        </w:rPr>
        <w:t xml:space="preserve">56</w:t>
      </w:r>
      <w:r>
        <w:t xml:space="preserve">, and NEE</w:t>
      </w:r>
      <w:r>
        <w:rPr>
          <w:vertAlign w:val="superscript"/>
        </w:rPr>
        <w:t xml:space="preserve">57</w:t>
      </w:r>
      <w:r>
        <w:t xml:space="preserve">.</w:t>
      </w:r>
      <w:r>
        <w:t xml:space="preserve"> </w:t>
      </w:r>
      <w:r>
        <w:t xml:space="preserve">Thus, warming spring temperatures are likely to increase the biophysical potential for annual tree growth, but that potential is not currently being realized on an interannual time frame.</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38</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temperate deciduous forest ecosystems remains an important outstanding question.</w:t>
      </w:r>
    </w:p>
    <w:p>
      <w:pPr>
        <w:pStyle w:val="BodyText"/>
      </w:pPr>
      <w:r>
        <w:t xml:space="preserve">Irregardless of the influence of spring temperatures on C cycling within the ecosystem, our results make clear that the dominant effect of temperatures on tree growth occur not in the spring, but during the peak growing season.</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w:t>
      </w:r>
      <w:r>
        <w:rPr>
          <w:bCs/>
          <w:b/>
          <w:vertAlign w:val="superscript"/>
        </w:rPr>
        <w:t xml:space="preserve">refs?</w:t>
      </w:r>
      <w:r>
        <w:t xml:space="preserve"> </w:t>
      </w:r>
      <w:r>
        <w:t xml:space="preserve">or high temperatures</w:t>
      </w:r>
      <w:r>
        <w:rPr>
          <w:bCs/>
          <w:b/>
          <w:vertAlign w:val="superscript"/>
        </w:rPr>
        <w:t xml:space="preserve">refs?</w:t>
      </w:r>
      <w:r>
        <w:t xml:space="preserve"> </w:t>
      </w:r>
      <w:r>
        <w:t xml:space="preserve">during the peak growing season.</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3,58,59</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bCs/>
          <w:b/>
          <w:vertAlign w:val="superscript"/>
        </w:rPr>
        <w:t xml:space="preserve">refs?</w:t>
      </w:r>
      <w:r>
        <w:t xml:space="preserv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60</w:t>
      </w:r>
      <w:r>
        <w:t xml:space="preserve"> </w:t>
      </w:r>
      <w:r>
        <w:t xml:space="preserve">and Harvard Forest</w:t>
      </w:r>
      <w:r>
        <w:rPr>
          <w:vertAlign w:val="superscript"/>
        </w:rPr>
        <w:t xml:space="preserve">4,42</w:t>
      </w:r>
      <w:r>
        <w:t xml:space="preserve">, both part of the Forest Global Earth Observatory (ForestGEO)</w:t>
      </w:r>
      <w:r>
        <w:rPr>
          <w:vertAlign w:val="superscript"/>
        </w:rPr>
        <w:t xml:space="preserve">61,62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40</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33</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33</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42</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w:t>
      </w:r>
      <w:r>
        <w:rPr>
          <w:bCs/>
          <w:b/>
        </w:rPr>
        <w:t xml:space="preserve">DATE</w:t>
      </w:r>
      <w:r>
        <w:t xml:space="preserve">).</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41</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41</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41,63</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64</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65</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66</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67,68</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69</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70,71</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72</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65,73,74</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75</w:t>
      </w:r>
      <w:r>
        <w:t xml:space="preserve">.</w:t>
      </w:r>
    </w:p>
    <w:p>
      <w:pPr>
        <w:pStyle w:val="BodyText"/>
      </w:pPr>
      <w:r>
        <w:t xml:space="preserve">Dominant tree species were cored at both SCBI</w:t>
      </w:r>
      <w:r>
        <w:rPr>
          <w:vertAlign w:val="superscript"/>
        </w:rPr>
        <w:t xml:space="preserve">40,60</w:t>
      </w:r>
      <w:r>
        <w:t xml:space="preserve"> </w:t>
      </w:r>
      <w:r>
        <w:t xml:space="preserve">and Harvard Forest</w:t>
      </w:r>
      <w:r>
        <w:rPr>
          <w:vertAlign w:val="superscript"/>
        </w:rPr>
        <w:t xml:space="preserve">4,76,77</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39,78</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79</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79,80</w:t>
      </w:r>
      <w:r>
        <w:t xml:space="preserve">.</w:t>
      </w:r>
      <w:r>
        <w:t xml:space="preserve"> </w:t>
      </w:r>
      <w:r>
        <w:t xml:space="preserve">An adaptive power transformation, a process that also stabilises the variance over time</w:t>
      </w:r>
      <w:r>
        <w:rPr>
          <w:vertAlign w:val="superscript"/>
        </w:rPr>
        <w:t xml:space="preserve">81</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82</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80</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83</w:t>
      </w:r>
      <w:r>
        <w:t xml:space="preserve"> </w:t>
      </w:r>
      <w:r>
        <w:t xml:space="preserve">Correlations between monthly climate and RWI were assessed using</w:t>
      </w:r>
      <w:r>
        <w:t xml:space="preserve"> </w:t>
      </w:r>
      <w:r>
        <w:rPr>
          <w:iCs/>
          <w:i/>
        </w:rPr>
        <w:t xml:space="preserve">dplR</w:t>
      </w:r>
      <w:r>
        <w:rPr>
          <w:vertAlign w:val="superscript"/>
        </w:rPr>
        <w:t xml:space="preserve">84</w:t>
      </w:r>
      <w:r>
        <w:t xml:space="preserve"> </w:t>
      </w:r>
      <w:r>
        <w:t xml:space="preserve">and</w:t>
      </w:r>
      <w:r>
        <w:t xml:space="preserve"> </w:t>
      </w:r>
      <w:r>
        <w:rPr>
          <w:iCs/>
          <w:i/>
        </w:rPr>
        <w:t xml:space="preserve">bootRes</w:t>
      </w:r>
      <w:r>
        <w:rPr>
          <w:vertAlign w:val="superscript"/>
        </w:rPr>
        <w:t xml:space="preserve">85</w:t>
      </w:r>
      <w:r>
        <w:t xml:space="preserve"> </w:t>
      </w:r>
      <w:r>
        <w:t xml:space="preserve">in R v 4.0 (R Core Team, 2020), which correlated functions and bootstrapped confidence intervals for these relationships</w:t>
      </w:r>
      <w:r>
        <w:rPr>
          <w:vertAlign w:val="superscript"/>
        </w:rPr>
        <w:t xml:space="preserve">86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5" w:name="References"/>
    <w:p>
      <w:pPr>
        <w:pStyle w:val="Heading1"/>
      </w:pPr>
      <w:r>
        <w:t xml:space="preserve">References</w:t>
      </w:r>
    </w:p>
    <w:bookmarkStart w:id="14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cook_predicting_1991"/>
    <w:p>
      <w:pPr>
        <w:pStyle w:val="Bibliography"/>
      </w:pPr>
      <w:r>
        <w:t xml:space="preserve">31.</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80"/>
    <w:bookmarkStart w:id="81" w:name="ref-babst_twentieth_2019"/>
    <w:p>
      <w:pPr>
        <w:pStyle w:val="Bibliography"/>
      </w:pPr>
      <w:r>
        <w:t xml:space="preserve">32.</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1"/>
    <w:bookmarkStart w:id="82" w:name="ref-anderson-teixeira_joint_2021"/>
    <w:p>
      <w:pPr>
        <w:pStyle w:val="Bibliography"/>
      </w:pPr>
      <w:r>
        <w:t xml:space="preserve">33.</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gao_earlier_2022"/>
    <w:p>
      <w:pPr>
        <w:pStyle w:val="Bibliography"/>
      </w:pPr>
      <w:r>
        <w:t xml:space="preserve">34.</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3">
        <w:r>
          <w:rPr>
            <w:rStyle w:val="Hyperlink"/>
          </w:rPr>
          <w:t xml:space="preserve">10.1038/s41559-022-01668-4</w:t>
        </w:r>
      </w:hyperlink>
      <w:r>
        <w:t xml:space="preserve">.</w:t>
      </w:r>
    </w:p>
    <w:bookmarkEnd w:id="84"/>
    <w:bookmarkStart w:id="85"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5"/>
    <w:bookmarkStart w:id="86" w:name="ref-tumajer_limitation_2022"/>
    <w:p>
      <w:pPr>
        <w:pStyle w:val="Bibliography"/>
      </w:pPr>
      <w:r>
        <w:t xml:space="preserve">36.</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6"/>
    <w:bookmarkStart w:id="87" w:name="ref-etzold_number_2022"/>
    <w:p>
      <w:pPr>
        <w:pStyle w:val="Bibliography"/>
      </w:pPr>
      <w:r>
        <w:t xml:space="preserve">37.</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7"/>
    <w:bookmarkStart w:id="88" w:name="ref-zohner_how_2021"/>
    <w:p>
      <w:pPr>
        <w:pStyle w:val="Bibliography"/>
      </w:pPr>
      <w:r>
        <w:t xml:space="preserve">38.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8"/>
    <w:bookmarkStart w:id="89" w:name="ref-dorangeville_drought_2018"/>
    <w:p>
      <w:pPr>
        <w:pStyle w:val="Bibliography"/>
      </w:pPr>
      <w:r>
        <w:t xml:space="preserve">39.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9"/>
    <w:bookmarkStart w:id="90" w:name="ref-helcoski_growing_2019"/>
    <w:p>
      <w:pPr>
        <w:pStyle w:val="Bibliography"/>
      </w:pPr>
      <w:r>
        <w:t xml:space="preserve">40.</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90"/>
    <w:bookmarkStart w:id="91" w:name="ref-mcmahon_general_2015"/>
    <w:p>
      <w:pPr>
        <w:pStyle w:val="Bibliography"/>
      </w:pPr>
      <w:r>
        <w:t xml:space="preserve">41.</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3" w:name="ref-dorangeville_peak_2021"/>
    <w:p>
      <w:pPr>
        <w:pStyle w:val="Bibliography"/>
      </w:pPr>
      <w:r>
        <w:t xml:space="preserve">42.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2">
        <w:r>
          <w:rPr>
            <w:rStyle w:val="Hyperlink"/>
          </w:rPr>
          <w:t xml:space="preserve">10.1093/treephys/tpab101</w:t>
        </w:r>
      </w:hyperlink>
      <w:r>
        <w:t xml:space="preserve">.</w:t>
      </w:r>
    </w:p>
    <w:bookmarkEnd w:id="93"/>
    <w:bookmarkStart w:id="94" w:name="ref-parmesan_globally_2003"/>
    <w:p>
      <w:pPr>
        <w:pStyle w:val="Bibliography"/>
      </w:pPr>
      <w:r>
        <w:t xml:space="preserve">43.</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4"/>
    <w:bookmarkStart w:id="95" w:name="ref-friedl_tale_2014"/>
    <w:p>
      <w:pPr>
        <w:pStyle w:val="Bibliography"/>
      </w:pPr>
      <w:r>
        <w:t xml:space="preserve">44.</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5"/>
    <w:bookmarkStart w:id="96" w:name="ref-richardson_seasonal_2013"/>
    <w:p>
      <w:pPr>
        <w:pStyle w:val="Bibliography"/>
      </w:pPr>
      <w:r>
        <w:t xml:space="preserve">45.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6"/>
    <w:bookmarkStart w:id="97" w:name="ref-keenan_timing_2015"/>
    <w:p>
      <w:pPr>
        <w:pStyle w:val="Bibliography"/>
      </w:pPr>
      <w:r>
        <w:t xml:space="preserve">46.</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7"/>
    <w:bookmarkStart w:id="98" w:name="ref-fu_variation_2014"/>
    <w:p>
      <w:pPr>
        <w:pStyle w:val="Bibliography"/>
      </w:pPr>
      <w:r>
        <w:t xml:space="preserve">47.</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8"/>
    <w:bookmarkStart w:id="99" w:name="ref-zohner_ongoing_2019"/>
    <w:p>
      <w:pPr>
        <w:pStyle w:val="Bibliography"/>
      </w:pPr>
      <w:r>
        <w:t xml:space="preserve">48.</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9"/>
    <w:bookmarkStart w:id="100" w:name="ref-xie_predicting_2018"/>
    <w:p>
      <w:pPr>
        <w:pStyle w:val="Bibliography"/>
      </w:pPr>
      <w:r>
        <w:t xml:space="preserve">49.</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100"/>
    <w:bookmarkStart w:id="101" w:name="ref-cuny_woody_2015"/>
    <w:p>
      <w:pPr>
        <w:pStyle w:val="Bibliography"/>
      </w:pPr>
      <w:r>
        <w:t xml:space="preserve">50.</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1"/>
    <w:bookmarkStart w:id="102" w:name="ref-tardif_influence_2006"/>
    <w:p>
      <w:pPr>
        <w:pStyle w:val="Bibliography"/>
      </w:pPr>
      <w:r>
        <w:t xml:space="preserve">51.</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2"/>
    <w:bookmarkStart w:id="103" w:name="ref-roibu_climatic_2020"/>
    <w:p>
      <w:pPr>
        <w:pStyle w:val="Bibliography"/>
      </w:pPr>
      <w:r>
        <w:t xml:space="preserve">52.</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3"/>
    <w:bookmarkStart w:id="104" w:name="ref-kern_multiple_2013"/>
    <w:p>
      <w:pPr>
        <w:pStyle w:val="Bibliography"/>
      </w:pPr>
      <w:r>
        <w:t xml:space="preserve">53.</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4"/>
    <w:bookmarkStart w:id="105" w:name="ref-jiang_fate_2020"/>
    <w:p>
      <w:pPr>
        <w:pStyle w:val="Bibliography"/>
      </w:pPr>
      <w:r>
        <w:t xml:space="preserve">54.</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105"/>
    <w:bookmarkStart w:id="106" w:name="ref-oishi_warmer_2018"/>
    <w:p>
      <w:pPr>
        <w:pStyle w:val="Bibliography"/>
      </w:pPr>
      <w:r>
        <w:t xml:space="preserve">55.</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6"/>
    <w:bookmarkStart w:id="108" w:name="ref-banburymorgan_global_2021"/>
    <w:p>
      <w:pPr>
        <w:pStyle w:val="Bibliography"/>
      </w:pPr>
      <w:r>
        <w:t xml:space="preserve">56.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7">
        <w:r>
          <w:rPr>
            <w:rStyle w:val="Hyperlink"/>
          </w:rPr>
          <w:t xml:space="preserve">10.1111/gcb.15574</w:t>
        </w:r>
      </w:hyperlink>
      <w:r>
        <w:t xml:space="preserve">.</w:t>
      </w:r>
    </w:p>
    <w:bookmarkEnd w:id="108"/>
    <w:bookmarkStart w:id="109" w:name="ref-churkina_spatial_2005"/>
    <w:p>
      <w:pPr>
        <w:pStyle w:val="Bibliography"/>
      </w:pPr>
      <w:r>
        <w:t xml:space="preserve">57.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9"/>
    <w:bookmarkStart w:id="110" w:name="ref-zhang_drought_2021"/>
    <w:p>
      <w:pPr>
        <w:pStyle w:val="Bibliography"/>
      </w:pPr>
      <w:r>
        <w:t xml:space="preserve">58.</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10"/>
    <w:bookmarkStart w:id="111" w:name="ref-lian_summer_2022"/>
    <w:p>
      <w:pPr>
        <w:pStyle w:val="Bibliography"/>
      </w:pPr>
      <w:r>
        <w:t xml:space="preserve">59.</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11"/>
    <w:bookmarkStart w:id="112" w:name="ref-bourg_initial_2013"/>
    <w:p>
      <w:pPr>
        <w:pStyle w:val="Bibliography"/>
      </w:pPr>
      <w:r>
        <w:t xml:space="preserve">60.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2"/>
    <w:bookmarkStart w:id="113" w:name="ref-anderson-teixeira_ctfsforestgeo_2015"/>
    <w:p>
      <w:pPr>
        <w:pStyle w:val="Bibliography"/>
      </w:pPr>
      <w:r>
        <w:t xml:space="preserve">61.</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3"/>
    <w:bookmarkStart w:id="114" w:name="ref-davies_forestgeo_2021"/>
    <w:p>
      <w:pPr>
        <w:pStyle w:val="Bibliography"/>
      </w:pPr>
      <w:r>
        <w:t xml:space="preserve">62.</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4"/>
    <w:bookmarkStart w:id="115" w:name="ref-herrmann_tree_2016"/>
    <w:p>
      <w:pPr>
        <w:pStyle w:val="Bibliography"/>
      </w:pPr>
      <w:r>
        <w:t xml:space="preserve">63.</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64.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65.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66.</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67.</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68.</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vandepol_identifying_2016"/>
    <w:p>
      <w:pPr>
        <w:pStyle w:val="Bibliography"/>
      </w:pPr>
      <w:r>
        <w:t xml:space="preserve">69.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5"/>
    <w:bookmarkStart w:id="126" w:name="ref-gabry_rstanarm_2020"/>
    <w:p>
      <w:pPr>
        <w:pStyle w:val="Bibliography"/>
      </w:pPr>
      <w:r>
        <w:t xml:space="preserve">70.</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6"/>
    <w:bookmarkStart w:id="127" w:name="ref-stan_development_team_stan_2019"/>
    <w:p>
      <w:pPr>
        <w:pStyle w:val="Bibliography"/>
      </w:pPr>
      <w:r>
        <w:t xml:space="preserve">71.</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7"/>
    <w:bookmarkStart w:id="128" w:name="ref-vicente-serrano_multiscalar_2010"/>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8"/>
    <w:bookmarkStart w:id="129" w:name="ref-begueria_standardized_2014"/>
    <w:p>
      <w:pPr>
        <w:pStyle w:val="Bibliography"/>
      </w:pPr>
      <w:r>
        <w:t xml:space="preserve">73.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9"/>
    <w:bookmarkStart w:id="130" w:name="ref-vicente-serrano_multiscalar_2010a"/>
    <w:p>
      <w:pPr>
        <w:pStyle w:val="Bibliography"/>
      </w:pPr>
      <w:r>
        <w:t xml:space="preserve">74.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0"/>
    <w:bookmarkStart w:id="131" w:name="ref-stokes_introduction_1968"/>
    <w:p>
      <w:pPr>
        <w:pStyle w:val="Bibliography"/>
      </w:pPr>
      <w:r>
        <w:t xml:space="preserve">75.</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1"/>
    <w:bookmarkStart w:id="132" w:name="ref-alexander_potential_2019"/>
    <w:p>
      <w:pPr>
        <w:pStyle w:val="Bibliography"/>
      </w:pPr>
      <w:r>
        <w:t xml:space="preserve">76.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77.</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maxwell_sampling_2020"/>
    <w:p>
      <w:pPr>
        <w:pStyle w:val="Bibliography"/>
      </w:pPr>
      <w:r>
        <w:t xml:space="preserve">78.</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4"/>
    <w:bookmarkStart w:id="136" w:name="ref-cook_methods_1990"/>
    <w:p>
      <w:pPr>
        <w:pStyle w:val="Bibliography"/>
      </w:pPr>
      <w:r>
        <w:t xml:space="preserve">79.</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5">
        <w:r>
          <w:rPr>
            <w:rStyle w:val="Hyperlink"/>
          </w:rPr>
          <w:t xml:space="preserve">10.1007/978-94-015-7879-0</w:t>
        </w:r>
      </w:hyperlink>
      <w:r>
        <w:t xml:space="preserve">.</w:t>
      </w:r>
    </w:p>
    <w:bookmarkEnd w:id="136"/>
    <w:bookmarkStart w:id="137" w:name="ref-cook_time_1985"/>
    <w:p>
      <w:pPr>
        <w:pStyle w:val="Bibliography"/>
      </w:pPr>
      <w:r>
        <w:t xml:space="preserve">80.</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7"/>
    <w:bookmarkStart w:id="138" w:name="ref-cook_calculating_1997"/>
    <w:p>
      <w:pPr>
        <w:pStyle w:val="Bibliography"/>
      </w:pPr>
      <w:r>
        <w:t xml:space="preserve">81.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8"/>
    <w:bookmarkStart w:id="139" w:name="ref-jones_estimating_1997"/>
    <w:p>
      <w:pPr>
        <w:pStyle w:val="Bibliography"/>
      </w:pPr>
      <w:r>
        <w:t xml:space="preserve">82.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9"/>
    <w:bookmarkStart w:id="140" w:name="ref-harris_version_2020"/>
    <w:p>
      <w:pPr>
        <w:pStyle w:val="Bibliography"/>
      </w:pPr>
      <w:r>
        <w:t xml:space="preserve">83.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0"/>
    <w:bookmarkStart w:id="141" w:name="ref-bunn_dendrochronology_2008"/>
    <w:p>
      <w:pPr>
        <w:pStyle w:val="Bibliography"/>
      </w:pPr>
      <w:r>
        <w:t xml:space="preserve">84.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1"/>
    <w:bookmarkStart w:id="142" w:name="ref-zang_dendroclimatic_2013"/>
    <w:p>
      <w:pPr>
        <w:pStyle w:val="Bibliography"/>
      </w:pPr>
      <w:r>
        <w:t xml:space="preserve">85.</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2"/>
    <w:bookmarkStart w:id="143" w:name="ref-biondi_dendroclim2002_2004"/>
    <w:p>
      <w:pPr>
        <w:pStyle w:val="Bibliography"/>
      </w:pPr>
      <w:r>
        <w:t xml:space="preserve">86.</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2"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3"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2"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2022-03-11T19:15:51Z</dcterms:created>
  <dcterms:modified xsi:type="dcterms:W3CDTF">2022-03-11T19:15:51Z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