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r>
        <w:t xml:space="preserve"> </w:t>
      </w:r>
      <w:r>
        <w:t xml:space="preserve">( Orcid ID : 0000-0001-7824-306X)</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r>
        <w:t xml:space="preserve"> </w:t>
      </w:r>
      <w:r>
        <w:t xml:space="preserve">( Orcid ID : 0000-0003-1557-8465)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Earth and Spatial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
        </w:rPr>
        <w:t xml:space="preserve">As the climate changes, warmer spring temperatures are causing earlier leaf-out</w:t>
      </w:r>
      <w:r>
        <w:rPr>
          <w:vertAlign w:val="superscript"/>
          <w:b/>
        </w:rPr>
        <w:t xml:space="preserve">1–6</w:t>
      </w:r>
      <w:r>
        <w:rPr>
          <w:b/>
        </w:rPr>
        <w:t xml:space="preserve"> </w:t>
      </w:r>
      <w:r>
        <w:rPr>
          <w:b/>
        </w:rPr>
        <w:t xml:space="preserve">and commencement of net carbon dioxide (CO</w:t>
      </w:r>
      <w:r>
        <w:rPr>
          <w:vertAlign w:val="subscript"/>
          <w:b/>
        </w:rPr>
        <w:t xml:space="preserve">2</w:t>
      </w:r>
      <w:r>
        <w:rPr>
          <w:b/>
        </w:rPr>
        <w:t xml:space="preserve">) sequestration</w:t>
      </w:r>
      <w:r>
        <w:rPr>
          <w:vertAlign w:val="superscript"/>
          <w:b/>
        </w:rPr>
        <w:t xml:space="preserve">2,4</w:t>
      </w:r>
      <w:r>
        <w:rPr>
          <w:b/>
        </w:rPr>
        <w:t xml:space="preserve"> </w:t>
      </w:r>
      <w:r>
        <w:rPr>
          <w:b/>
        </w:rPr>
        <w:t xml:space="preserve">in temperate deciduous forests, resulting in a tendency towards increased growing season length</w:t>
      </w:r>
      <w:r>
        <w:rPr>
          <w:vertAlign w:val="superscript"/>
          <w:b/>
        </w:rPr>
        <w:t xml:space="preserve">1,4,5,7–9</w:t>
      </w:r>
      <w:r>
        <w:rPr>
          <w:b/>
        </w:rPr>
        <w:t xml:space="preserve"> </w:t>
      </w:r>
      <w:r>
        <w:rPr>
          <w:b/>
        </w:rPr>
        <w:t xml:space="preserve">and annual CO</w:t>
      </w:r>
      <w:r>
        <w:rPr>
          <w:vertAlign w:val="subscript"/>
          <w:b/>
        </w:rPr>
        <w:t xml:space="preserve">2</w:t>
      </w:r>
      <w:r>
        <w:rPr>
          <w:b/>
        </w:rPr>
        <w:t xml:space="preserve"> </w:t>
      </w:r>
      <w:r>
        <w:rPr>
          <w:b/>
        </w:rPr>
        <w:t xml:space="preserve">uptake</w:t>
      </w:r>
      <w:r>
        <w:rPr>
          <w:vertAlign w:val="superscript"/>
          <w:b/>
        </w:rPr>
        <w:t xml:space="preserve">2,4,10–14</w:t>
      </w:r>
      <w:r>
        <w:rPr>
          <w:b/>
        </w:rPr>
        <w:t xml:space="preserve">.</w:t>
      </w:r>
      <w:r>
        <w:t xml:space="preserve"> </w:t>
      </w:r>
      <w:r>
        <w:rPr>
          <w:b/>
        </w:rPr>
        <w:t xml:space="preserve">However, less is known about how spring temperatures affect tree stem growth, which sequesters carbon (C) in wood that has a long residence time in the ecosystem</w:t>
      </w:r>
      <w:r>
        <w:rPr>
          <w:vertAlign w:val="superscript"/>
          <w:b/>
        </w:rPr>
        <w:t xml:space="preserve">15,16</w:t>
      </w:r>
      <w:r>
        <w:rPr>
          <w:b/>
        </w:rPr>
        <w:t xml:space="preserve">.</w:t>
      </w:r>
      <w:r>
        <w:t xml:space="preserve"> </w:t>
      </w:r>
      <w:r>
        <w:rPr>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
        </w:rPr>
        <w:t xml:space="preserve">These findings imply that extra CO</w:t>
      </w:r>
      <w:r>
        <w:rPr>
          <w:vertAlign w:val="subscript"/>
          <w:b/>
        </w:rPr>
        <w:t xml:space="preserve">2</w:t>
      </w:r>
      <w:r>
        <w:rPr>
          <w:b/>
        </w:rPr>
        <w:t xml:space="preserve"> </w:t>
      </w:r>
      <w:r>
        <w:rPr>
          <w:b/>
        </w:rPr>
        <w:t xml:space="preserve">uptake in years with warmer springs</w:t>
      </w:r>
      <w:r>
        <w:rPr>
          <w:vertAlign w:val="superscript"/>
          <w:b/>
        </w:rPr>
        <w:t xml:space="preserve">10–12</w:t>
      </w:r>
      <w:r>
        <w:rPr>
          <w:b/>
        </w:rPr>
        <w:t xml:space="preserve"> </w:t>
      </w:r>
      <w:r>
        <w:rPr>
          <w:b/>
        </w:rPr>
        <w:t xml:space="preserve">is not allocated to long-lived woody biomass, where it could have a substantial and lasting impact on the forest C balance.</w:t>
      </w:r>
      <w:r>
        <w:rPr>
          <w:b/>
        </w:rPr>
        <w:t xml:space="preserve"> </w:t>
      </w:r>
      <w:r>
        <w:t xml:space="preserve"> </w:t>
      </w:r>
      <w:r>
        <w:rPr>
          <w:b/>
        </w:rPr>
        <w:t xml:space="preserve">Rather, contradicting current projections from global C cycle models</w:t>
      </w:r>
      <w:r>
        <w:rPr>
          <w:vertAlign w:val="superscript"/>
          <w:b/>
        </w:rPr>
        <w:t xml:space="preserve">2,3,17,18</w:t>
      </w:r>
      <w:r>
        <w:rPr>
          <w:b/>
        </w:rPr>
        <w:t xml:space="preserve">, our empirical results imply that warming spring temperatures are unlikely to increase the woody productivity or strengthen the CO</w:t>
      </w:r>
      <w:r>
        <w:rPr>
          <w:vertAlign w:val="subscript"/>
          <w:b/>
        </w:rPr>
        <w:t xml:space="preserve">2</w:t>
      </w:r>
      <w:r>
        <w:rPr>
          <w:b/>
        </w:rPr>
        <w:t xml:space="preserve"> </w:t>
      </w:r>
      <w:r>
        <w:rPr>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large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 </w:t>
      </w:r>
      <w:r>
        <w:t xml:space="preserve">(&gt;30% of the total forest C sink)</w:t>
      </w:r>
      <w:r>
        <w:rPr>
          <w:vertAlign w:val="superscript"/>
        </w:rPr>
        <w:t xml:space="preserve">21</w:t>
      </w:r>
      <w:r>
        <w:t xml:space="preserve">.</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20,22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CO</w:t>
      </w:r>
      <w:r>
        <w:rPr>
          <w:vertAlign w:val="subscript"/>
        </w:rPr>
        <w:t xml:space="preserve">2</w:t>
      </w:r>
      <w:r>
        <w:t xml:space="preserve"> </w:t>
      </w:r>
      <w:r>
        <w:t xml:space="preserve">uptake (i.e., net ecosystem exchange,</w:t>
      </w:r>
      <w:r>
        <w:t xml:space="preserve"> </w:t>
      </w:r>
      <w:r>
        <w:rPr>
          <w:i/>
        </w:rPr>
        <w:t xml:space="preserve">NEE</w:t>
      </w:r>
      <w:r>
        <w:t xml:space="preserve">)</w:t>
      </w:r>
      <w:r>
        <w:rPr>
          <w:vertAlign w:val="superscript"/>
        </w:rPr>
        <w:t xml:space="preserve">2,3,17</w:t>
      </w:r>
      <w:r>
        <w:t xml:space="preserve">.</w:t>
      </w:r>
      <w:r>
        <w:t xml:space="preserve"> </w:t>
      </w:r>
      <w:r>
        <w:t xml:space="preserve">However, recent experimental and observational findings show that annual productivity can be limited by sink factors</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some studies addressing the responses of leaf phenology and seasonal</w:t>
      </w:r>
      <w:r>
        <w:t xml:space="preserve"> </w:t>
      </w:r>
      <w:r>
        <w:rPr>
          <w:i/>
        </w:rPr>
        <w:t xml:space="preserve">NEE</w:t>
      </w:r>
      <w:r>
        <w:t xml:space="preserve"> </w:t>
      </w:r>
      <w:r>
        <w:t xml:space="preserve">to warming spring temperatures exist</w:t>
      </w:r>
      <w:r>
        <w:rPr>
          <w:vertAlign w:val="superscript"/>
        </w:rPr>
        <w:t xml:space="preserve">1–4,7–9</w:t>
      </w:r>
      <w:r>
        <w:t xml:space="preserve">, little is known about how the longest-lived component of fixed C in trees, the woody growth, is responding to warming spring temperatures.</w:t>
      </w:r>
      <w:r>
        <w:t xml:space="preserve"> </w:t>
      </w:r>
      <w:r>
        <w:t xml:space="preserve">In fact, we are aware of only one study that has documented stem-growth phenology of temperate deciduous species over multiple years</w:t>
      </w:r>
      <w:r>
        <w:rPr>
          <w:vertAlign w:val="superscript"/>
        </w:rPr>
        <w:t xml:space="preserve">25</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relationships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p>
      <w:pPr>
        <w:pStyle w:val="Heading2"/>
      </w:pPr>
      <w:bookmarkStart w:id="21" w:name="Dendrometer"/>
      <w:r>
        <w:t xml:space="preserve">Dendrometer band analysis</w:t>
      </w:r>
      <w:bookmarkEnd w:id="21"/>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ree growth changes under warmer spring temperatures. (a) Schematic illustrating parameters of interest and summarizing how each responds to warmer maximum temperatures during a ‘critical temperature window’, defined as the period with the strongest control over DOY_{25}; (b) Variable definitions and summary responses to warmer spring temperatures at two temperate forests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and</w:t>
      </w:r>
      <w:r>
        <w:t xml:space="preserve"> </w:t>
      </w:r>
      <m:oMath>
        <m:r>
          <m:t>D</m:t>
        </m:r>
        <m:r>
          <m:t>O</m:t>
        </m:r>
        <m:sSub>
          <m:e>
            <m:r>
              <m:t>Y</m:t>
            </m:r>
          </m:e>
          <m:sub>
            <m:r>
              <m:t>25</m:t>
            </m:r>
          </m:sub>
        </m:sSub>
      </m:oMath>
      <w:r>
        <w:t xml:space="preserve"> </w:t>
      </w:r>
      <w:r>
        <w:t xml:space="preserve">(Extended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29</w:t>
      </w:r>
      <w:r>
        <w:t xml:space="preserve">, leaf phenological milestones advanced at both sites (Fig. 2a-b, Extended Data Table 2), with greenup (DOY when EVI2 first crossed 15% of the segment EVI2 amplitude) advancing 4.5 days/</w:t>
      </w:r>
      <m:oMath>
        <m:sSup>
          <m:e>
            <m:r>
              <m:t>​</m:t>
            </m:r>
          </m:e>
          <m:sup>
            <m:r>
              <m:t>∘</m:t>
            </m:r>
          </m:sup>
        </m:sSup>
      </m:oMath>
      <w:r>
        <w:t xml:space="preserve">C at SCBI (p=0.001) and 2.4 days/</w:t>
      </w:r>
      <w:r>
        <w:t xml:space="preserve"> </w:t>
      </w:r>
      <m:oMath>
        <m:sSup>
          <m:e>
            <m:r>
              <m:t>​</m:t>
            </m:r>
          </m:e>
          <m:sup>
            <m: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t>∘</m:t>
            </m:r>
          </m:sup>
        </m:sSup>
      </m:oMath>
      <w:r>
        <w:t xml:space="preserve">C for ring-porous species and 3.5-3.6 days/</w:t>
      </w:r>
      <w:r>
        <w:t xml:space="preserve"> </w:t>
      </w:r>
      <m:oMath>
        <m:sSup>
          <m:e>
            <m:r>
              <m:t>​</m:t>
            </m:r>
          </m:e>
          <m:sup>
            <m:r>
              <m:t>∘</m:t>
            </m:r>
          </m:sup>
        </m:sSup>
      </m:oMath>
      <w:r>
        <w:t xml:space="preserve">C for diffuse-porous species at SCBI, and 2.8-7.2 days/</w:t>
      </w:r>
      <w:r>
        <w:t xml:space="preserve"> </w:t>
      </w:r>
      <m:oMath>
        <m:sSup>
          <m:e>
            <m:r>
              <m:t>​</m:t>
            </m:r>
          </m:e>
          <m:sup>
            <m:r>
              <m:t>∘</m:t>
            </m:r>
          </m:sup>
        </m:sSup>
      </m:oMath>
      <w:r>
        <w:t xml:space="preserve">C for ring-porous species and 6.6-7.9 days/</w:t>
      </w:r>
      <w:r>
        <w:t xml:space="preserve"> </w:t>
      </w:r>
      <m:oMath>
        <m:sSup>
          <m:e>
            <m:r>
              <m:t>​</m:t>
            </m:r>
          </m:e>
          <m:sup>
            <m:r>
              <m:t>∘</m:t>
            </m:r>
          </m:sup>
        </m:sSup>
      </m:oMath>
      <w:r>
        <w:t xml:space="preserve">C for diffuse-porous species at Harvard Forest (Extended Data Table 2).</w:t>
      </w:r>
    </w:p>
    <w:p>
      <w:pPr>
        <w:pStyle w:val="BodyText"/>
      </w:pPr>
      <w:r>
        <w:t xml:space="preserve">Whereas the length of time between canopy greenup and senescence (</w:t>
      </w:r>
      <w:r>
        <w:rPr>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p>
      <w:pPr>
        <w:pStyle w:val="Heading2"/>
      </w:pPr>
      <w:bookmarkStart w:id="24" w:name="Tree"/>
      <w:r>
        <w:t xml:space="preserve">Tree-ring analysis</w:t>
      </w:r>
      <w:bookmarkEnd w:id="24"/>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mean maximum temperatures (</w:t>
      </w:r>
      <m:oMath>
        <m:sSub>
          <m:e>
            <m:r>
              <m:t>T</m:t>
            </m:r>
          </m:e>
          <m:sub>
            <m:r>
              <m:t>m</m:t>
            </m:r>
            <m:r>
              <m:t>a</m:t>
            </m:r>
            <m:r>
              <m:t>x</m:t>
            </m:r>
          </m:sub>
        </m:sSub>
      </m:oMath>
      <w:r>
        <w:rPr>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p>
      <w:pPr>
        <w:pStyle w:val="Heading2"/>
      </w:pPr>
      <w:bookmarkStart w:id="26" w:name="Discussion"/>
      <w:r>
        <w:t xml:space="preserve">Discussion</w:t>
      </w:r>
      <w:bookmarkEnd w:id="26"/>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2a-b)</w:t>
      </w:r>
      <w:r>
        <w:rPr>
          <w:vertAlign w:val="superscript"/>
        </w:rPr>
        <w:t xml:space="preserve">2,4,5</w:t>
      </w:r>
      <w:r>
        <w:t xml:space="preserve"> </w:t>
      </w:r>
      <w:r>
        <w:t xml:space="preserve">and</w:t>
      </w:r>
      <w:r>
        <w:t xml:space="preserve"> </w:t>
      </w:r>
      <w:r>
        <w:rPr>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photosynthate limitation, such as daylength or sink limitation, which also play an important role in autumn leaf senescence</w:t>
      </w:r>
      <w:r>
        <w:rPr>
          <w:vertAlign w:val="superscript"/>
        </w:rPr>
        <w:t xml:space="preserve">17,23,31</w:t>
      </w:r>
      <w:r>
        <w:t xml:space="preserve">.</w:t>
      </w:r>
      <w:r>
        <w:t xml:space="preserve"> </w:t>
      </w:r>
      <w:r>
        <w:t xml:space="preserve">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 xml:space="preserve">26</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3,32</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 implying that the effects of warm spring temperatures on growth phenology elucidated here (Fig. 1) were not attributable to summer drought.</w:t>
      </w:r>
    </w:p>
    <w:p>
      <w:pPr>
        <w:pStyle w:val="BodyText"/>
      </w:pPr>
      <w:r>
        <w:t xml:space="preserve">Our finding that interannual variation in woody growth is more strongly linked to conditions during the peak growing season than to growing season length aligns with parallel findings for</w:t>
      </w:r>
      <w:r>
        <w:t xml:space="preserve"> </w:t>
      </w:r>
      <w:r>
        <w:rPr>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w:t>
      </w:r>
      <w:r>
        <w:t xml:space="preserve">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woody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36</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3,42</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vertAlign w:val="superscript"/>
        </w:rPr>
        <w:t xml:space="preserve">45</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46</w:t>
      </w:r>
      <w:r>
        <w:t xml:space="preserve">, woody productivity</w:t>
      </w:r>
      <w:r>
        <w:rPr>
          <w:vertAlign w:val="superscript"/>
        </w:rPr>
        <w:t xml:space="preserve">47</w:t>
      </w:r>
      <w:r>
        <w:t xml:space="preserve">, and</w:t>
      </w:r>
      <w:r>
        <w:t xml:space="preserve"> </w:t>
      </w:r>
      <w:r>
        <w:rPr>
          <w:i/>
        </w:rPr>
        <w:t xml:space="preserve">NEE</w:t>
      </w:r>
      <w:r>
        <w:rPr>
          <w:vertAlign w:val="superscript"/>
        </w:rPr>
        <w:t xml:space="preserve">48</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p>
      <w:pPr>
        <w:pStyle w:val="Heading1"/>
      </w:pPr>
      <w:bookmarkStart w:id="27" w:name="Methods"/>
      <w:r>
        <w:t xml:space="preserve">Methods</w:t>
      </w:r>
      <w:bookmarkEnd w:id="27"/>
    </w:p>
    <w:p>
      <w:pPr>
        <w:pStyle w:val="Heading2"/>
      </w:pPr>
      <w:bookmarkStart w:id="28" w:name="Dendrometer"/>
      <w:r>
        <w:t xml:space="preserve">Dendrometer band analysis</w:t>
      </w:r>
      <w:bookmarkEnd w:id="28"/>
    </w:p>
    <w:p>
      <w:pPr>
        <w:pStyle w:val="FirstParagraph"/>
      </w:pPr>
      <w:r>
        <w:t xml:space="preserve">Dendrometer band measurements were collected at SCBI</w:t>
      </w:r>
      <w:r>
        <w:rPr>
          <w:vertAlign w:val="superscript"/>
        </w:rPr>
        <w:t xml:space="preserve">49</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50,51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49</w:t>
      </w:r>
      <w:r>
        <w:t xml:space="preserve">.</w:t>
      </w:r>
      <w:r>
        <w:t xml:space="preserve"> </w:t>
      </w:r>
      <w:r>
        <w:t xml:space="preserve">Dominant canopy species within the 25.6 ha ForestGEO plot include tulip poplar (</w:t>
      </w:r>
      <w:r>
        <w:rPr>
          <w:i/>
        </w:rPr>
        <w:t xml:space="preserve">Liriodendron tulipifera</w:t>
      </w:r>
      <w:r>
        <w:t xml:space="preserve"> </w:t>
      </w:r>
      <w:r>
        <w:t xml:space="preserve">L.), oaks (</w:t>
      </w:r>
      <w:r>
        <w:rPr>
          <w:i/>
        </w:rPr>
        <w:t xml:space="preserve">Quercus spp.</w:t>
      </w:r>
      <w:r>
        <w:t xml:space="preserve">), and hickories (</w:t>
      </w:r>
      <w:r>
        <w:rPr>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
        </w:rPr>
        <w:t xml:space="preserve">Tsuga canadensis</w:t>
      </w:r>
      <w:r>
        <w:t xml:space="preserve"> </w:t>
      </w:r>
      <w:r>
        <w:t xml:space="preserve">(L.) Carrière), oak (</w:t>
      </w:r>
      <w:r>
        <w:rPr>
          <w:i/>
        </w:rPr>
        <w:t xml:space="preserve">Quercus spp.</w:t>
      </w:r>
      <w:r>
        <w:t xml:space="preserve">) and red maple (</w:t>
      </w:r>
      <w:r>
        <w:rPr>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46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w:t>
      </w:r>
      <w:r>
        <w:t xml:space="preserve"> </w:t>
      </w:r>
      <w:r>
        <w:rPr>
          <w:i/>
        </w:rPr>
        <w:t xml:space="preserve">i.e.</w:t>
      </w:r>
      <w:r>
        <w:t xml:space="preserve">, julian days) as:</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t>=</m:t>
        </m:r>
        <m:r>
          <m:t>1</m:t>
        </m:r>
      </m:oMath>
      <w:r>
        <w:t xml:space="preserve">.</w:t>
      </w:r>
      <w:r>
        <w:t xml:space="preserve"> </w:t>
      </w:r>
      <w:r>
        <w:t xml:space="preserve">The model was fit in R v4.0 using the functions developed in the</w:t>
      </w:r>
      <w:r>
        <w:t xml:space="preserve"> </w:t>
      </w:r>
      <w:r>
        <w:rPr>
          <w:i/>
        </w:rPr>
        <w:t xml:space="preserve">Rdendrom</w:t>
      </w:r>
      <w:r>
        <w:t xml:space="preserve"> </w:t>
      </w:r>
      <w:r>
        <w:t xml:space="preserve">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(5) models with unexplained sharp spikes in growth rate (SCBI = 0, Harvard Forest = 3);</w:t>
      </w:r>
      <w:r>
        <w:t xml:space="preserve"> </w:t>
      </w:r>
      <w:r>
        <w:t xml:space="preserve">and (6) poorly fit models that did not meet any of the above criteria (SCBI = 2, Harvard Forest = 0).</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52</w:t>
      </w:r>
      <w:r>
        <w:t xml:space="preserve"> </w:t>
      </w:r>
      <w:r>
        <w:t xml:space="preserve">via Google Earth Engine.</w:t>
      </w:r>
      <w:r>
        <w:t xml:space="preserve"> </w:t>
      </w:r>
      <w:r>
        <w:t xml:space="preserve">Extracted pixels were those containing the NEON tower at each site.</w:t>
      </w:r>
      <w:r>
        <w:t xml:space="preserve"> </w:t>
      </w:r>
      <w:r>
        <w:t xml:space="preserve">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9">
        <w:r>
          <w:rPr>
            <w:rStyle w:val="Hyperlink"/>
          </w:rPr>
          <w:t xml:space="preserve">https://forestgeo.github.io/Climate/</w:t>
        </w:r>
      </w:hyperlink>
      <w:r>
        <w:t xml:space="preserve">)</w:t>
      </w:r>
      <w:r>
        <w:rPr>
          <w:vertAlign w:val="superscript"/>
        </w:rPr>
        <w:t xml:space="preserve">53</w:t>
      </w:r>
      <w:r>
        <w:t xml:space="preserve">.</w:t>
      </w:r>
      <w:r>
        <w:t xml:space="preserve"> </w:t>
      </w:r>
      <w:r>
        <w:t xml:space="preserve">The R package</w:t>
      </w:r>
      <w:r>
        <w:t xml:space="preserve"> </w:t>
      </w:r>
      <w:r>
        <w:rPr>
          <w:i/>
        </w:rPr>
        <w:t xml:space="preserve">climpact</w:t>
      </w:r>
      <w:r>
        <w:t xml:space="preserve"> </w:t>
      </w:r>
      <w:r>
        <w:t xml:space="preserve">(see www.climpact-sci.org)</w:t>
      </w:r>
      <w:r>
        <w:rPr>
          <w:vertAlign w:val="superscript"/>
        </w:rPr>
        <w:t xml:space="preserve">54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0">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55,56</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
        </w:rPr>
        <w:t xml:space="preserve">climwin</w:t>
      </w:r>
      <w:r>
        <w:rPr>
          <w:vertAlign w:val="superscript"/>
        </w:rPr>
        <w:t xml:space="preserve">57</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growth phenology parameters,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58,59</w:t>
      </w:r>
      <w:r>
        <w:t xml:space="preserve">. 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tempreatures and summer Standardized Precipitation Evapotranspiration Index</w:t>
      </w:r>
      <w:r>
        <w:rPr>
          <w:vertAlign w:val="superscript"/>
        </w:rPr>
        <w:t xml:space="preserve">33</w:t>
      </w:r>
      <w:r>
        <w:t xml:space="preserve">.</w:t>
      </w:r>
      <w:r>
        <w:t xml:space="preserve"> </w:t>
      </w:r>
      <w:r>
        <w:t xml:space="preserve">The latter was obtained from the ForestGEO Climate Data Portal v1.0 (</w:t>
      </w:r>
      <w:hyperlink r:id="rId29">
        <w:r>
          <w:rPr>
            <w:rStyle w:val="Hyperlink"/>
          </w:rPr>
          <w:t xml:space="preserve">https://forestgeo.github.io/Climate/</w:t>
        </w:r>
      </w:hyperlink>
      <w:r>
        <w:t xml:space="preserve">)</w:t>
      </w:r>
      <w:r>
        <w:rPr>
          <w:vertAlign w:val="superscript"/>
        </w:rPr>
        <w:t xml:space="preserve">53,60,61</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lead to greater summer drought stress.</w:t>
      </w:r>
      <w:r>
        <w:t xml:space="preserve"> </w:t>
      </w:r>
      <w:r>
        <w:t xml:space="preserve">No significant correlations were found (all p&gt;0.05).</w:t>
      </w:r>
    </w:p>
    <w:p>
      <w:pPr>
        <w:pStyle w:val="Heading2"/>
      </w:pPr>
      <w:bookmarkStart w:id="31" w:name="Tree"/>
      <w:r>
        <w:t xml:space="preserve">Tree-ring analysis</w:t>
      </w:r>
      <w:bookmarkEnd w:id="31"/>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62</w:t>
      </w:r>
      <w:r>
        <w:t xml:space="preserve">.</w:t>
      </w:r>
    </w:p>
    <w:p>
      <w:pPr>
        <w:pStyle w:val="BodyText"/>
      </w:pPr>
      <w:r>
        <w:t xml:space="preserve">Dominant tree species were cored at both SCBI</w:t>
      </w:r>
      <w:r>
        <w:rPr>
          <w:vertAlign w:val="superscript"/>
        </w:rPr>
        <w:t xml:space="preserve">27,49</w:t>
      </w:r>
      <w:r>
        <w:t xml:space="preserve"> </w:t>
      </w:r>
      <w:r>
        <w:t xml:space="preserve">and Harvard Forest</w:t>
      </w:r>
      <w:r>
        <w:rPr>
          <w:vertAlign w:val="superscript"/>
        </w:rPr>
        <w:t xml:space="preserve">4,63,64</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26,65</w:t>
      </w:r>
      <w:r>
        <w:t xml:space="preserve">.</w:t>
      </w:r>
      <w:r>
        <w:t xml:space="preserve"> </w:t>
      </w:r>
      <w:r>
        <w:t xml:space="preserve">Again, records were limited to broadleaf deciduous species with clearly defined xylem porosity (</w:t>
      </w:r>
      <w:r>
        <w:rPr>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66</w:t>
      </w:r>
      <w:r>
        <w:t xml:space="preserve"> </w:t>
      </w:r>
      <w:r>
        <w:t xml:space="preserve">A 2/3rds</w:t>
      </w:r>
      <w:r>
        <w:t xml:space="preserve"> </w:t>
      </w:r>
      <w:r>
        <w:rPr>
          <w:i/>
        </w:rPr>
        <w:t xml:space="preserve">n</w:t>
      </w:r>
      <w:r>
        <w:t xml:space="preserve"> </w:t>
      </w:r>
      <w:r>
        <w:t xml:space="preserve">spline was applied to each core using ARSTAN to produce standardized ring-width series;</w:t>
      </w:r>
      <w:r>
        <w:t xml:space="preserve"> </w:t>
      </w:r>
      <w:r>
        <w:rPr>
          <w:i/>
        </w:rPr>
        <w:t xml:space="preserve">n</w:t>
      </w:r>
      <w:r>
        <w:t xml:space="preserve"> </w:t>
      </w:r>
      <w:r>
        <w:t xml:space="preserve">is the number of years in each series</w:t>
      </w:r>
      <w:r>
        <w:rPr>
          <w:vertAlign w:val="superscript"/>
        </w:rPr>
        <w:t xml:space="preserve">66,67</w:t>
      </w:r>
      <w:r>
        <w:t xml:space="preserve">.</w:t>
      </w:r>
      <w:r>
        <w:t xml:space="preserve"> </w:t>
      </w:r>
      <w:r>
        <w:t xml:space="preserve">An adaptive power transformation, a process that also stabilises the variance over time</w:t>
      </w:r>
      <w:r>
        <w:rPr>
          <w:vertAlign w:val="superscript"/>
        </w:rPr>
        <w:t xml:space="preserve">68</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69</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67</w:t>
      </w:r>
      <w:r>
        <w:t xml:space="preserve">.</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70</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71</w:t>
      </w:r>
      <w:r>
        <w:t xml:space="preserve"> </w:t>
      </w:r>
      <w:r>
        <w:t xml:space="preserve">and</w:t>
      </w:r>
      <w:r>
        <w:t xml:space="preserve"> </w:t>
      </w:r>
      <w:r>
        <w:t xml:space="preserve">‘</w:t>
      </w:r>
      <w:r>
        <w:t xml:space="preserve">bootRes</w:t>
      </w:r>
      <w:r>
        <w:t xml:space="preserve">’</w:t>
      </w:r>
      <w:r>
        <w:rPr>
          <w:vertAlign w:val="superscript"/>
        </w:rPr>
        <w:t xml:space="preserve">72</w:t>
      </w:r>
      <w:r>
        <w:t xml:space="preserve"> </w:t>
      </w:r>
      <w:r>
        <w:t xml:space="preserve">in R v 4.0 (R Core Team, 2020), which correlated functions and bootstrapped confidence intervals for these relationships</w:t>
      </w:r>
      <w:r>
        <w:rPr>
          <w:vertAlign w:val="superscript"/>
        </w:rPr>
        <w:t xml:space="preserve">73</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p>
      <w:pPr>
        <w:pStyle w:val="Heading1"/>
      </w:pPr>
      <w:bookmarkStart w:id="32" w:name="Acknowledgements"/>
      <w:r>
        <w:t xml:space="preserve">Acknowledgements</w:t>
      </w:r>
      <w:bookmarkEnd w:id="32"/>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Ecosystesms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p>
      <w:pPr>
        <w:pStyle w:val="Heading1"/>
      </w:pPr>
      <w:bookmarkStart w:id="33" w:name="Author"/>
      <w:r>
        <w:t xml:space="preserve">Author Contributions</w:t>
      </w:r>
      <w:bookmarkEnd w:id="33"/>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p>
      <w:pPr>
        <w:pStyle w:val="Heading1"/>
      </w:pPr>
      <w:bookmarkStart w:id="34" w:name="Additional"/>
      <w:r>
        <w:t xml:space="preserve">Additional Information</w:t>
      </w:r>
      <w:bookmarkEnd w:id="34"/>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35" w:name="References"/>
      <w:r>
        <w:t xml:space="preserve">References</w:t>
      </w:r>
      <w:bookmarkEnd w:id="35"/>
    </w:p>
    <w:bookmarkStart w:id="117" w:name="refs"/>
    <w:bookmarkStart w:id="36"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36"/>
    <w:bookmarkStart w:id="37"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37"/>
    <w:bookmarkStart w:id="38"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38"/>
    <w:bookmarkStart w:id="39" w:name="ref-finzi_carbon_2020"/>
    <w:p>
      <w:pPr>
        <w:pStyle w:val="Bibliography"/>
      </w:pPr>
      <w:r>
        <w:t xml:space="preserve">4. Finzi, A. C.</w:t>
      </w:r>
      <w:r>
        <w:t xml:space="preserve"> </w:t>
      </w:r>
      <w:r>
        <w:rPr>
          <w:i/>
        </w:rPr>
        <w:t xml:space="preserve">et al.</w:t>
      </w:r>
      <w:r>
        <w:t xml:space="preserve"> </w:t>
      </w:r>
      <w:r>
        <w:t xml:space="preserve">Carbon budget of the Harvard Forest Long-Term Ecological Research site: Pattern, process, and response to global change.</w:t>
      </w:r>
      <w:r>
        <w:t xml:space="preserve"> </w:t>
      </w:r>
      <w:r>
        <w:rPr>
          <w:i/>
        </w:rPr>
        <w:t xml:space="preserve">Ecological Monographs</w:t>
      </w:r>
      <w:r>
        <w:t xml:space="preserve"> </w:t>
      </w:r>
      <w:r>
        <w:rPr>
          <w:b/>
        </w:rPr>
        <w:t xml:space="preserve">90</w:t>
      </w:r>
      <w:r>
        <w:t xml:space="preserve">, e01423 (2020).</w:t>
      </w:r>
    </w:p>
    <w:bookmarkEnd w:id="39"/>
    <w:bookmarkStart w:id="40" w:name="ref-stuble_plant_2021"/>
    <w:p>
      <w:pPr>
        <w:pStyle w:val="Bibliography"/>
      </w:pPr>
      <w:r>
        <w:t xml:space="preserve">5. Stuble, K. L., Bennion, L. D. &amp; Kuebbing, S. E. Plant phenological responses to experimental warmingA synthesis.</w:t>
      </w:r>
      <w:r>
        <w:t xml:space="preserve"> </w:t>
      </w:r>
      <w:r>
        <w:rPr>
          <w:i/>
        </w:rPr>
        <w:t xml:space="preserve">Global Change Biology</w:t>
      </w:r>
      <w:r>
        <w:t xml:space="preserve"> </w:t>
      </w:r>
      <w:r>
        <w:rPr>
          <w:b/>
        </w:rPr>
        <w:t xml:space="preserve">27</w:t>
      </w:r>
      <w:r>
        <w:t xml:space="preserve">, 4110–4124 (2021).</w:t>
      </w:r>
    </w:p>
    <w:bookmarkEnd w:id="40"/>
    <w:bookmarkStart w:id="42" w:name="ref-delgado_differences_2020"/>
    <w:p>
      <w:pPr>
        <w:pStyle w:val="Bibliography"/>
      </w:pPr>
      <w:r>
        <w:t xml:space="preserve">6. Delgado, M. del M.</w:t>
      </w:r>
      <w:r>
        <w:t xml:space="preserve"> </w:t>
      </w:r>
      <w:r>
        <w:rPr>
          <w:i/>
        </w:rPr>
        <w:t xml:space="preserve">et al.</w:t>
      </w:r>
      <w:r>
        <w:t xml:space="preserve"> </w:t>
      </w:r>
      <w:r>
        <w:t xml:space="preserve">Differences in spatial versus temporal reaction norms for spring and autumn phenological events.</w:t>
      </w:r>
      <w:r>
        <w:t xml:space="preserve"> </w:t>
      </w:r>
      <w:r>
        <w:rPr>
          <w:i/>
        </w:rPr>
        <w:t xml:space="preserve">Proceedings of the National Academy of Sciences</w:t>
      </w:r>
      <w:r>
        <w:t xml:space="preserve"> </w:t>
      </w:r>
      <w:r>
        <w:t xml:space="preserve">202002713 (2020) doi:</w:t>
      </w:r>
      <w:hyperlink r:id="rId41">
        <w:r>
          <w:rPr>
            <w:rStyle w:val="Hyperlink"/>
          </w:rPr>
          <w:t xml:space="preserve">10.1073/pnas.2002713117</w:t>
        </w:r>
      </w:hyperlink>
      <w:r>
        <w:t xml:space="preserve">.</w:t>
      </w:r>
    </w:p>
    <w:bookmarkEnd w:id="42"/>
    <w:bookmarkStart w:id="43" w:name="ref-menzel_growing_1999"/>
    <w:p>
      <w:pPr>
        <w:pStyle w:val="Bibliography"/>
      </w:pPr>
      <w:r>
        <w:t xml:space="preserve">7. Menzel, A. &amp; Fabian, P. Growing season extended in Europe.</w:t>
      </w:r>
      <w:r>
        <w:t xml:space="preserve"> </w:t>
      </w:r>
      <w:r>
        <w:rPr>
          <w:i/>
        </w:rPr>
        <w:t xml:space="preserve">Nature</w:t>
      </w:r>
      <w:r>
        <w:t xml:space="preserve"> </w:t>
      </w:r>
      <w:r>
        <w:rPr>
          <w:b/>
        </w:rPr>
        <w:t xml:space="preserve">397</w:t>
      </w:r>
      <w:r>
        <w:t xml:space="preserve">, 659–659 (1999).</w:t>
      </w:r>
    </w:p>
    <w:bookmarkEnd w:id="43"/>
    <w:bookmarkStart w:id="44" w:name="ref-menzel_european_2006"/>
    <w:p>
      <w:pPr>
        <w:pStyle w:val="Bibliography"/>
      </w:pPr>
      <w:r>
        <w:t xml:space="preserve">8.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44"/>
    <w:bookmarkStart w:id="45" w:name="ref-ibanez_forecasting_2010"/>
    <w:p>
      <w:pPr>
        <w:pStyle w:val="Bibliography"/>
      </w:pPr>
      <w:r>
        <w:t xml:space="preserve">9.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45"/>
    <w:bookmarkStart w:id="46" w:name="ref-keeling_increased_1996"/>
    <w:p>
      <w:pPr>
        <w:pStyle w:val="Bibliography"/>
      </w:pPr>
      <w:r>
        <w:t xml:space="preserve">10.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46"/>
    <w:bookmarkStart w:id="47" w:name="ref-dragoni_evidence_2011"/>
    <w:p>
      <w:pPr>
        <w:pStyle w:val="Bibliography"/>
      </w:pPr>
      <w:r>
        <w:t xml:space="preserve">11.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47"/>
    <w:bookmarkStart w:id="48" w:name="ref-crabbe_extreme_2016"/>
    <w:p>
      <w:pPr>
        <w:pStyle w:val="Bibliography"/>
      </w:pPr>
      <w:r>
        <w:t xml:space="preserve">12.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48"/>
    <w:bookmarkStart w:id="49" w:name="ref-zhou_explaining_2016"/>
    <w:p>
      <w:pPr>
        <w:pStyle w:val="Bibliography"/>
      </w:pPr>
      <w:r>
        <w:t xml:space="preserve">13.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49"/>
    <w:bookmarkStart w:id="50" w:name="ref-fu_maximum_2019"/>
    <w:p>
      <w:pPr>
        <w:pStyle w:val="Bibliography"/>
      </w:pPr>
      <w:r>
        <w:t xml:space="preserve">14.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0"/>
    <w:bookmarkStart w:id="51" w:name="ref-xue_global_2017"/>
    <w:p>
      <w:pPr>
        <w:pStyle w:val="Bibliography"/>
      </w:pPr>
      <w:r>
        <w:t xml:space="preserve">15.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51"/>
    <w:bookmarkStart w:id="52" w:name="ref-russell_residence_2014"/>
    <w:p>
      <w:pPr>
        <w:pStyle w:val="Bibliography"/>
      </w:pPr>
      <w:r>
        <w:t xml:space="preserve">16.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52"/>
    <w:bookmarkStart w:id="53" w:name="ref-zani_increased_2020"/>
    <w:p>
      <w:pPr>
        <w:pStyle w:val="Bibliography"/>
      </w:pPr>
      <w:r>
        <w:t xml:space="preserve">17. Zani, D., Crowther, T. W., Mo, L., Renner, S. S. &amp; Zohner, C. M. Increased growing-season productivity drives earlier autumn leaf senescence in temperate trees. 7 (2020).</w:t>
      </w:r>
    </w:p>
    <w:bookmarkEnd w:id="53"/>
    <w:bookmarkStart w:id="54" w:name="ref-ahlstrom_robustness_2012"/>
    <w:p>
      <w:pPr>
        <w:pStyle w:val="Bibliography"/>
      </w:pPr>
      <w:r>
        <w:t xml:space="preserve">18. Ahlström, A., Schurgers, G., Arneth, A. &amp; Smith, B. Robustness and uncertainty in terrestrial ecosystem carbon response to CMIP5 climate change projections.</w:t>
      </w:r>
      <w:r>
        <w:t xml:space="preserve"> </w:t>
      </w:r>
      <w:r>
        <w:rPr>
          <w:i/>
        </w:rPr>
        <w:t xml:space="preserve">Environmental Research Letters</w:t>
      </w:r>
      <w:r>
        <w:t xml:space="preserve"> </w:t>
      </w:r>
      <w:r>
        <w:rPr>
          <w:b/>
        </w:rPr>
        <w:t xml:space="preserve">7</w:t>
      </w:r>
      <w:r>
        <w:t xml:space="preserve">, 044008 (2012).</w:t>
      </w:r>
    </w:p>
    <w:bookmarkEnd w:id="54"/>
    <w:bookmarkStart w:id="55" w:name="ref-pan_large_2011"/>
    <w:p>
      <w:pPr>
        <w:pStyle w:val="Bibliography"/>
      </w:pPr>
      <w:r>
        <w:t xml:space="preserve">19. Pan, Y.</w:t>
      </w:r>
      <w:r>
        <w:t xml:space="preserve"> </w:t>
      </w:r>
      <w:r>
        <w:rPr>
          <w:i/>
        </w:rPr>
        <w:t xml:space="preserve">et al.</w:t>
      </w:r>
      <w:r>
        <w:t xml:space="preserve"> </w:t>
      </w:r>
      <w:r>
        <w:t xml:space="preserve">A Large and Persistent Carbon Sink in the World’s Forests.</w:t>
      </w:r>
      <w:r>
        <w:t xml:space="preserve"> </w:t>
      </w:r>
      <w:r>
        <w:rPr>
          <w:i/>
        </w:rPr>
        <w:t xml:space="preserve">Science</w:t>
      </w:r>
      <w:r>
        <w:t xml:space="preserve"> </w:t>
      </w:r>
      <w:r>
        <w:rPr>
          <w:b/>
        </w:rPr>
        <w:t xml:space="preserve">333</w:t>
      </w:r>
      <w:r>
        <w:t xml:space="preserve">, 988–993 (2011).</w:t>
      </w:r>
    </w:p>
    <w:bookmarkEnd w:id="55"/>
    <w:bookmarkStart w:id="56" w:name="ref-friedlingstein_global_2020"/>
    <w:p>
      <w:pPr>
        <w:pStyle w:val="Bibliography"/>
      </w:pPr>
      <w:r>
        <w:t xml:space="preserve">20.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56"/>
    <w:bookmarkStart w:id="57" w:name="ref-pugh_role_2019"/>
    <w:p>
      <w:pPr>
        <w:pStyle w:val="Bibliography"/>
      </w:pPr>
      <w:r>
        <w:t xml:space="preserve">21. Pugh, T. A. M.</w:t>
      </w:r>
      <w:r>
        <w:t xml:space="preserve"> </w:t>
      </w:r>
      <w:r>
        <w:rPr>
          <w:i/>
        </w:rPr>
        <w:t xml:space="preserve">et al.</w:t>
      </w:r>
      <w:r>
        <w:t xml:space="preserve"> </w:t>
      </w:r>
      <w:r>
        <w:t xml:space="preserve">Role of forest regrowth in global carbon sink dynamics.</w:t>
      </w:r>
      <w:r>
        <w:t xml:space="preserve"> </w:t>
      </w:r>
      <w:r>
        <w:rPr>
          <w:i/>
        </w:rPr>
        <w:t xml:space="preserve">Proceedings of the National Academy of Sciences</w:t>
      </w:r>
      <w:r>
        <w:t xml:space="preserve"> </w:t>
      </w:r>
      <w:r>
        <w:rPr>
          <w:b/>
        </w:rPr>
        <w:t xml:space="preserve">116</w:t>
      </w:r>
      <w:r>
        <w:t xml:space="preserve">, 4382–4387 (2019).</w:t>
      </w:r>
    </w:p>
    <w:bookmarkEnd w:id="57"/>
    <w:bookmarkStart w:id="58" w:name="ref-arora_carbon_2020"/>
    <w:p>
      <w:pPr>
        <w:pStyle w:val="Bibliography"/>
      </w:pPr>
      <w:r>
        <w:t xml:space="preserve">22.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58"/>
    <w:bookmarkStart w:id="59" w:name="ref-keenan_timing_2015"/>
    <w:p>
      <w:pPr>
        <w:pStyle w:val="Bibliography"/>
      </w:pPr>
      <w:r>
        <w:t xml:space="preserve">23.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59"/>
    <w:bookmarkStart w:id="60" w:name="ref-zohner_how_2021"/>
    <w:p>
      <w:pPr>
        <w:pStyle w:val="Bibliography"/>
      </w:pPr>
      <w:r>
        <w:t xml:space="preserve">24. Zohner, C. M., Renner, S. S., Sebald, V. &amp; Crowther, T. W. How changes in spring and autumn phenology translate into growth-experimental evidence of asymmetric effects.</w:t>
      </w:r>
      <w:r>
        <w:t xml:space="preserve"> </w:t>
      </w:r>
      <w:r>
        <w:rPr>
          <w:i/>
        </w:rPr>
        <w:t xml:space="preserve">Journal of Ecology</w:t>
      </w:r>
      <w:r>
        <w:t xml:space="preserve"> </w:t>
      </w:r>
      <w:r>
        <w:rPr>
          <w:b/>
        </w:rPr>
        <w:t xml:space="preserve">109</w:t>
      </w:r>
      <w:r>
        <w:t xml:space="preserve">, 2717–2728 (2021).</w:t>
      </w:r>
    </w:p>
    <w:bookmarkEnd w:id="60"/>
    <w:bookmarkStart w:id="62" w:name="ref-dorangeville_peak_2021"/>
    <w:p>
      <w:pPr>
        <w:pStyle w:val="Bibliography"/>
      </w:pPr>
      <w:r>
        <w:t xml:space="preserve">25. D’Orangeville, L.</w:t>
      </w:r>
      <w:r>
        <w:t xml:space="preserve"> </w:t>
      </w:r>
      <w:r>
        <w:rPr>
          <w:i/>
        </w:rPr>
        <w:t xml:space="preserve">et al.</w:t>
      </w:r>
      <w:r>
        <w:t xml:space="preserve"> </w:t>
      </w:r>
      <w:r>
        <w:t xml:space="preserve">Peak radial growth of diffuse-porous species occurs during periods of lower water availability than for ring-porous and coniferous trees.</w:t>
      </w:r>
      <w:r>
        <w:t xml:space="preserve"> </w:t>
      </w:r>
      <w:r>
        <w:rPr>
          <w:i/>
        </w:rPr>
        <w:t xml:space="preserve">Tree Physiology</w:t>
      </w:r>
      <w:r>
        <w:t xml:space="preserve"> </w:t>
      </w:r>
      <w:r>
        <w:t xml:space="preserve">(2021) doi:</w:t>
      </w:r>
      <w:hyperlink r:id="rId61">
        <w:r>
          <w:rPr>
            <w:rStyle w:val="Hyperlink"/>
          </w:rPr>
          <w:t xml:space="preserve">10.1093/treephys/tpab101</w:t>
        </w:r>
      </w:hyperlink>
      <w:r>
        <w:t xml:space="preserve">.</w:t>
      </w:r>
    </w:p>
    <w:bookmarkEnd w:id="62"/>
    <w:bookmarkStart w:id="63" w:name="ref-dorangeville_drought_2018"/>
    <w:p>
      <w:pPr>
        <w:pStyle w:val="Bibliography"/>
      </w:pPr>
      <w:r>
        <w:t xml:space="preserve">26.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63"/>
    <w:bookmarkStart w:id="64" w:name="ref-helcoski_growing_2019"/>
    <w:p>
      <w:pPr>
        <w:pStyle w:val="Bibliography"/>
      </w:pPr>
      <w:r>
        <w:t xml:space="preserve">27.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64"/>
    <w:bookmarkStart w:id="65" w:name="ref-mcmahon_general_2015"/>
    <w:p>
      <w:pPr>
        <w:pStyle w:val="Bibliography"/>
      </w:pPr>
      <w:r>
        <w:t xml:space="preserve">28.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65"/>
    <w:bookmarkStart w:id="66" w:name="ref-parmesan_globally_2003"/>
    <w:p>
      <w:pPr>
        <w:pStyle w:val="Bibliography"/>
      </w:pPr>
      <w:r>
        <w:t xml:space="preserve">29.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66"/>
    <w:bookmarkStart w:id="67" w:name="ref-friedl_tale_2014"/>
    <w:p>
      <w:pPr>
        <w:pStyle w:val="Bibliography"/>
      </w:pPr>
      <w:r>
        <w:t xml:space="preserve">30.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67"/>
    <w:bookmarkStart w:id="68" w:name="ref-fu_variation_2014"/>
    <w:p>
      <w:pPr>
        <w:pStyle w:val="Bibliography"/>
      </w:pPr>
      <w:r>
        <w:t xml:space="preserve">31. Fu, Y. S. H.</w:t>
      </w:r>
      <w:r>
        <w:t xml:space="preserve"> </w:t>
      </w:r>
      <w:r>
        <w:rPr>
          <w:i/>
        </w:rPr>
        <w:t xml:space="preserve">et al.</w:t>
      </w:r>
      <w:r>
        <w:t xml:space="preserve"> </w:t>
      </w:r>
      <w:r>
        <w:t xml:space="preserve">Variation in leaf flushing date influences autumnal senescence and next year’s flushing date in two temperate tree species.</w:t>
      </w:r>
      <w:r>
        <w:t xml:space="preserve"> </w:t>
      </w:r>
      <w:r>
        <w:rPr>
          <w:i/>
        </w:rPr>
        <w:t xml:space="preserve">Proceedings of the National Academy of Sciences</w:t>
      </w:r>
      <w:r>
        <w:t xml:space="preserve"> </w:t>
      </w:r>
      <w:r>
        <w:rPr>
          <w:b/>
        </w:rPr>
        <w:t xml:space="preserve">111</w:t>
      </w:r>
      <w:r>
        <w:t xml:space="preserve">, 7355–7360 (2014).</w:t>
      </w:r>
    </w:p>
    <w:bookmarkEnd w:id="68"/>
    <w:bookmarkStart w:id="69" w:name="ref-zhang_drought_2021"/>
    <w:p>
      <w:pPr>
        <w:pStyle w:val="Bibliography"/>
      </w:pPr>
      <w:r>
        <w:t xml:space="preserve">32.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69"/>
    <w:bookmarkStart w:id="70" w:name="ref-vicente-serrano_multiscalar_2010"/>
    <w:p>
      <w:pPr>
        <w:pStyle w:val="Bibliography"/>
      </w:pPr>
      <w:r>
        <w:t xml:space="preserve">33.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70"/>
    <w:bookmarkStart w:id="71" w:name="ref-zohner_ongoing_2019"/>
    <w:p>
      <w:pPr>
        <w:pStyle w:val="Bibliography"/>
      </w:pPr>
      <w:r>
        <w:t xml:space="preserve">34.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71"/>
    <w:bookmarkStart w:id="72" w:name="ref-xie_predicting_2018"/>
    <w:p>
      <w:pPr>
        <w:pStyle w:val="Bibliography"/>
      </w:pPr>
      <w:r>
        <w:t xml:space="preserve">35. Xie, Y., Wang, X., Wilson, A. M. &amp; Silander, J. A. Predicting autumn phenology: How deciduous tree species respond to weather stressors.</w:t>
      </w:r>
      <w:r>
        <w:t xml:space="preserve"> </w:t>
      </w:r>
      <w:r>
        <w:rPr>
          <w:i/>
        </w:rPr>
        <w:t xml:space="preserve">Agricultural and Forest Meteorology</w:t>
      </w:r>
      <w:r>
        <w:t xml:space="preserve"> </w:t>
      </w:r>
      <w:r>
        <w:rPr>
          <w:b/>
        </w:rPr>
        <w:t xml:space="preserve">250–251</w:t>
      </w:r>
      <w:r>
        <w:t xml:space="preserve">, 127–137 (2018).</w:t>
      </w:r>
    </w:p>
    <w:bookmarkEnd w:id="72"/>
    <w:bookmarkStart w:id="73" w:name="ref-cuny_woody_2015"/>
    <w:p>
      <w:pPr>
        <w:pStyle w:val="Bibliography"/>
      </w:pPr>
      <w:r>
        <w:t xml:space="preserve">36.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73"/>
    <w:bookmarkStart w:id="74" w:name="ref-tardif_influence_2006"/>
    <w:p>
      <w:pPr>
        <w:pStyle w:val="Bibliography"/>
      </w:pPr>
      <w:r>
        <w:t xml:space="preserve">37. Tardif, J. C. &amp; Conciatori, F. Influence of climate on tree rings and vessel features in red oak and white oak growing near their northern distribution limit, southwestern Quebec, Canada.</w:t>
      </w:r>
      <w:r>
        <w:t xml:space="preserve"> </w:t>
      </w:r>
      <w:r>
        <w:rPr>
          <w:i/>
        </w:rPr>
        <w:t xml:space="preserve">Canadian Journal of Forest Research</w:t>
      </w:r>
      <w:r>
        <w:t xml:space="preserve"> </w:t>
      </w:r>
      <w:r>
        <w:rPr>
          <w:b/>
        </w:rPr>
        <w:t xml:space="preserve">36</w:t>
      </w:r>
      <w:r>
        <w:t xml:space="preserve">, 2317–2330 (2006).</w:t>
      </w:r>
    </w:p>
    <w:bookmarkEnd w:id="74"/>
    <w:bookmarkStart w:id="75" w:name="ref-roibu_climatic_2020"/>
    <w:p>
      <w:pPr>
        <w:pStyle w:val="Bibliography"/>
      </w:pPr>
      <w:r>
        <w:t xml:space="preserve">38. Roibu, C.-C.</w:t>
      </w:r>
      <w:r>
        <w:t xml:space="preserve"> </w:t>
      </w:r>
      <w:r>
        <w:rPr>
          <w:i/>
        </w:rPr>
        <w:t xml:space="preserve">et al.</w:t>
      </w:r>
      <w:r>
        <w:t xml:space="preserve"> </w:t>
      </w:r>
      <w:r>
        <w:t xml:space="preserve">The Climatic Response of Tree Ring Width Components of Ash (Fraxinus excelsior L.) And Common Oak (Quercus robur L.) From Eastern Europe.</w:t>
      </w:r>
      <w:r>
        <w:t xml:space="preserve"> </w:t>
      </w:r>
      <w:r>
        <w:rPr>
          <w:i/>
        </w:rPr>
        <w:t xml:space="preserve">Forests</w:t>
      </w:r>
      <w:r>
        <w:t xml:space="preserve"> </w:t>
      </w:r>
      <w:r>
        <w:rPr>
          <w:b/>
        </w:rPr>
        <w:t xml:space="preserve">11</w:t>
      </w:r>
      <w:r>
        <w:t xml:space="preserve">, 600 (2020).</w:t>
      </w:r>
    </w:p>
    <w:bookmarkEnd w:id="75"/>
    <w:bookmarkStart w:id="76" w:name="ref-kern_multiple_2013"/>
    <w:p>
      <w:pPr>
        <w:pStyle w:val="Bibliography"/>
      </w:pPr>
      <w:r>
        <w:t xml:space="preserve">39. Kern, Z.</w:t>
      </w:r>
      <w:r>
        <w:t xml:space="preserve"> </w:t>
      </w:r>
      <w:r>
        <w:rPr>
          <w:i/>
        </w:rPr>
        <w:t xml:space="preserve">et al.</w:t>
      </w:r>
      <w:r>
        <w:t xml:space="preserve"> </w:t>
      </w:r>
      <w:r>
        <w:t xml:space="preserve">Multiple tree-ring proxies (earlywood width, latewood width and</w:t>
      </w:r>
      <w:r>
        <w:t xml:space="preserve"> </w:t>
      </w:r>
      <m:oMath>
        <m:r>
          <m:t>δ</m:t>
        </m:r>
      </m:oMath>
      <w:r>
        <w:t xml:space="preserve">13C) from pedunculate oak (Quercus robur L.), Hungary.</w:t>
      </w:r>
      <w:r>
        <w:t xml:space="preserve"> </w:t>
      </w:r>
      <w:r>
        <w:rPr>
          <w:i/>
        </w:rPr>
        <w:t xml:space="preserve">Quaternary International</w:t>
      </w:r>
      <w:r>
        <w:t xml:space="preserve"> </w:t>
      </w:r>
      <w:r>
        <w:rPr>
          <w:b/>
        </w:rPr>
        <w:t xml:space="preserve">293</w:t>
      </w:r>
      <w:r>
        <w:t xml:space="preserve">, 257–267 (2013).</w:t>
      </w:r>
    </w:p>
    <w:bookmarkEnd w:id="76"/>
    <w:bookmarkStart w:id="77" w:name="ref-trumbore_quantifying_2002"/>
    <w:p>
      <w:pPr>
        <w:pStyle w:val="Bibliography"/>
      </w:pPr>
      <w:r>
        <w:t xml:space="preserve">40.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77"/>
    <w:bookmarkStart w:id="78" w:name="ref-richardson_seasonal_2013"/>
    <w:p>
      <w:pPr>
        <w:pStyle w:val="Bibliography"/>
      </w:pPr>
      <w:r>
        <w:t xml:space="preserve">41.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78"/>
    <w:bookmarkStart w:id="79" w:name="ref-oishi_warmer_2018"/>
    <w:p>
      <w:pPr>
        <w:pStyle w:val="Bibliography"/>
      </w:pPr>
      <w:r>
        <w:t xml:space="preserve">42. Oishi, A. C.</w:t>
      </w:r>
      <w:r>
        <w:t xml:space="preserve"> </w:t>
      </w:r>
      <w:r>
        <w:rPr>
          <w:i/>
        </w:rPr>
        <w:t xml:space="preserve">et al.</w:t>
      </w:r>
      <w:r>
        <w:t xml:space="preserve"> </w:t>
      </w:r>
      <w:r>
        <w:t xml:space="preserve">Warmer temperatures reduce net carbon uptake, but do not affect water use, in a mature southern Appalachian forest.</w:t>
      </w:r>
      <w:r>
        <w:t xml:space="preserve"> </w:t>
      </w:r>
      <w:r>
        <w:rPr>
          <w:i/>
        </w:rPr>
        <w:t xml:space="preserve">Agricultural and Forest Meteorology</w:t>
      </w:r>
      <w:r>
        <w:t xml:space="preserve"> </w:t>
      </w:r>
      <w:r>
        <w:rPr>
          <w:b/>
        </w:rPr>
        <w:t xml:space="preserve">252</w:t>
      </w:r>
      <w:r>
        <w:t xml:space="preserve">, 269–282 (2018).</w:t>
      </w:r>
    </w:p>
    <w:bookmarkEnd w:id="79"/>
    <w:bookmarkStart w:id="80" w:name="ref-kannenberg_linking_2019"/>
    <w:p>
      <w:pPr>
        <w:pStyle w:val="Bibliography"/>
      </w:pPr>
      <w:r>
        <w:t xml:space="preserve">43. Kannenberg, S. A.</w:t>
      </w:r>
      <w:r>
        <w:t xml:space="preserve"> </w:t>
      </w:r>
      <w:r>
        <w:rPr>
          <w:i/>
        </w:rPr>
        <w:t xml:space="preserve">et al.</w:t>
      </w:r>
      <w:r>
        <w:t xml:space="preserve"> </w:t>
      </w:r>
      <w:r>
        <w:t xml:space="preserve">Linking drought legacy effects across scales: From leaves to tree rings to ecosystems.</w:t>
      </w:r>
      <w:r>
        <w:t xml:space="preserve"> </w:t>
      </w:r>
      <w:r>
        <w:rPr>
          <w:i/>
        </w:rPr>
        <w:t xml:space="preserve">Global Change Biology</w:t>
      </w:r>
      <w:r>
        <w:t xml:space="preserve"> </w:t>
      </w:r>
      <w:r>
        <w:rPr>
          <w:b/>
        </w:rPr>
        <w:t xml:space="preserve">25</w:t>
      </w:r>
      <w:r>
        <w:t xml:space="preserve">, 2978–2992 (2019).</w:t>
      </w:r>
    </w:p>
    <w:bookmarkEnd w:id="80"/>
    <w:bookmarkStart w:id="81" w:name="ref-gessler_way_2020"/>
    <w:p>
      <w:pPr>
        <w:pStyle w:val="Bibliography"/>
      </w:pPr>
      <w:r>
        <w:t xml:space="preserve">44. Gessler, A., Bottero, A., Marshall, J. &amp; Arend, M. The way back: Recovery of trees from drought and its implication for acclimation.</w:t>
      </w:r>
      <w:r>
        <w:t xml:space="preserve"> </w:t>
      </w:r>
      <w:r>
        <w:rPr>
          <w:i/>
        </w:rPr>
        <w:t xml:space="preserve">The New phytologist</w:t>
      </w:r>
      <w:r>
        <w:t xml:space="preserve"> </w:t>
      </w:r>
      <w:r>
        <w:rPr>
          <w:b/>
        </w:rPr>
        <w:t xml:space="preserve">228</w:t>
      </w:r>
      <w:r>
        <w:t xml:space="preserve">, 1704–1709 (2020).</w:t>
      </w:r>
    </w:p>
    <w:bookmarkEnd w:id="81"/>
    <w:bookmarkStart w:id="82" w:name="ref-fisichelli_temperate_2014"/>
    <w:p>
      <w:pPr>
        <w:pStyle w:val="Bibliography"/>
      </w:pPr>
      <w:r>
        <w:t xml:space="preserve">45. Fisichelli, N. A., Frelich, L. E. &amp; Reich, P. B. Temperate tree expansion into adjacent boreal forest patches facilitated by warmer temperatures.</w:t>
      </w:r>
      <w:r>
        <w:t xml:space="preserve"> </w:t>
      </w:r>
      <w:r>
        <w:rPr>
          <w:i/>
        </w:rPr>
        <w:t xml:space="preserve">Ecography</w:t>
      </w:r>
      <w:r>
        <w:t xml:space="preserve"> </w:t>
      </w:r>
      <w:r>
        <w:rPr>
          <w:b/>
        </w:rPr>
        <w:t xml:space="preserve">37</w:t>
      </w:r>
      <w:r>
        <w:t xml:space="preserve">, 152–161 (2014).</w:t>
      </w:r>
    </w:p>
    <w:bookmarkEnd w:id="82"/>
    <w:bookmarkStart w:id="83" w:name="ref-anderson-teixeira_joint_2021"/>
    <w:p>
      <w:pPr>
        <w:pStyle w:val="Bibliography"/>
      </w:pPr>
      <w:r>
        <w:t xml:space="preserve">46. Anderson-Teixeira, K. J.</w:t>
      </w:r>
      <w:r>
        <w:t xml:space="preserve"> </w:t>
      </w:r>
      <w:r>
        <w:rPr>
          <w:i/>
        </w:rPr>
        <w:t xml:space="preserve">et al.</w:t>
      </w:r>
      <w:r>
        <w:t xml:space="preserve"> </w:t>
      </w:r>
      <w:r>
        <w:t xml:space="preserve">Joint effects of climate, tree size, and year on annual tree growth derived from tree-ring records of ten globally distributed forests.</w:t>
      </w:r>
      <w:r>
        <w:t xml:space="preserve"> </w:t>
      </w:r>
      <w:r>
        <w:rPr>
          <w:i/>
        </w:rPr>
        <w:t xml:space="preserve">Global Change Biology</w:t>
      </w:r>
      <w:r>
        <w:t xml:space="preserve"> </w:t>
      </w:r>
      <w:r>
        <w:rPr>
          <w:b/>
        </w:rPr>
        <w:t xml:space="preserve">n/a</w:t>
      </w:r>
      <w:r>
        <w:t xml:space="preserve">, (2021).</w:t>
      </w:r>
    </w:p>
    <w:bookmarkEnd w:id="83"/>
    <w:bookmarkStart w:id="85" w:name="ref-banburymorgan_global_2021"/>
    <w:p>
      <w:pPr>
        <w:pStyle w:val="Bibliography"/>
      </w:pPr>
      <w:r>
        <w:t xml:space="preserve">47.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84">
        <w:r>
          <w:rPr>
            <w:rStyle w:val="Hyperlink"/>
          </w:rPr>
          <w:t xml:space="preserve">10.1111/gcb.15574</w:t>
        </w:r>
      </w:hyperlink>
      <w:r>
        <w:t xml:space="preserve">.</w:t>
      </w:r>
    </w:p>
    <w:bookmarkEnd w:id="85"/>
    <w:bookmarkStart w:id="86" w:name="ref-churkina_spatial_2005"/>
    <w:p>
      <w:pPr>
        <w:pStyle w:val="Bibliography"/>
      </w:pPr>
      <w:r>
        <w:t xml:space="preserve">48.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86"/>
    <w:bookmarkStart w:id="87" w:name="ref-bourg_initial_2013"/>
    <w:p>
      <w:pPr>
        <w:pStyle w:val="Bibliography"/>
      </w:pPr>
      <w:r>
        <w:t xml:space="preserve">49. Bourg, N. A., McShea, W. J., Thompson, J. R., McGarvey, J. C. &amp; Shen, X. Initial census, woody seedling, seed rain, and stand structure data for the SCBI SIGEO Large Forest Dynamics Plot:</w:t>
      </w:r>
      <w:r>
        <w:t xml:space="preserve"> </w:t>
      </w:r>
      <w:r>
        <w:rPr>
          <w:i/>
        </w:rPr>
        <w:t xml:space="preserve">Ecological</w:t>
      </w:r>
      <w:r>
        <w:t xml:space="preserve"> </w:t>
      </w:r>
      <w:r>
        <w:rPr>
          <w:i/>
        </w:rPr>
        <w:t xml:space="preserve">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87"/>
    <w:bookmarkStart w:id="88" w:name="ref-anderson-teixeira_ctfsforestgeo_2015"/>
    <w:p>
      <w:pPr>
        <w:pStyle w:val="Bibliography"/>
      </w:pPr>
      <w:r>
        <w:t xml:space="preserve">50. Anderson-Teixeira, K. J.</w:t>
      </w:r>
      <w:r>
        <w:t xml:space="preserve"> </w:t>
      </w:r>
      <w:r>
        <w:rPr>
          <w:i/>
        </w:rPr>
        <w:t xml:space="preserve">et al.</w:t>
      </w:r>
      <w:r>
        <w:t xml:space="preserve"> </w:t>
      </w:r>
      <w:r>
        <w:t xml:space="preserve">CTFS-ForestGEO : A worldwide network monitoring forests in an era of global change.</w:t>
      </w:r>
      <w:r>
        <w:t xml:space="preserve"> </w:t>
      </w:r>
      <w:r>
        <w:rPr>
          <w:i/>
        </w:rPr>
        <w:t xml:space="preserve">Global Change Biology</w:t>
      </w:r>
      <w:r>
        <w:t xml:space="preserve"> </w:t>
      </w:r>
      <w:r>
        <w:rPr>
          <w:b/>
        </w:rPr>
        <w:t xml:space="preserve">21</w:t>
      </w:r>
      <w:r>
        <w:t xml:space="preserve">, 528–549 (2015).</w:t>
      </w:r>
    </w:p>
    <w:bookmarkEnd w:id="88"/>
    <w:bookmarkStart w:id="89" w:name="ref-davies_forestgeo_2021"/>
    <w:p>
      <w:pPr>
        <w:pStyle w:val="Bibliography"/>
      </w:pPr>
      <w:r>
        <w:t xml:space="preserve">51. Davies, S. J.</w:t>
      </w:r>
      <w:r>
        <w:t xml:space="preserve"> </w:t>
      </w:r>
      <w:r>
        <w:rPr>
          <w:i/>
        </w:rPr>
        <w:t xml:space="preserve">et al.</w:t>
      </w:r>
      <w:r>
        <w:t xml:space="preserve"> </w:t>
      </w:r>
      <w:r>
        <w:t xml:space="preserve">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108907 (2021).</w:t>
      </w:r>
    </w:p>
    <w:bookmarkEnd w:id="89"/>
    <w:bookmarkStart w:id="91" w:name="ref-friedl_mcd12q2_2019"/>
    <w:p>
      <w:pPr>
        <w:pStyle w:val="Bibliography"/>
      </w:pPr>
      <w:r>
        <w:t xml:space="preserve">52. Friedl, M., Gray, J. &amp; Sulla-Menashe, D. MCD12Q2 MODIS/Terra+Aqua Land Cover Dynamics Yearly L3 Global 500m SIN Grid V006. (2019) doi:</w:t>
      </w:r>
      <w:hyperlink r:id="rId90">
        <w:r>
          <w:rPr>
            <w:rStyle w:val="Hyperlink"/>
          </w:rPr>
          <w:t xml:space="preserve">10.5067/MODIS/MCD12Q2.006</w:t>
        </w:r>
      </w:hyperlink>
      <w:r>
        <w:t xml:space="preserve">.</w:t>
      </w:r>
    </w:p>
    <w:bookmarkEnd w:id="91"/>
    <w:bookmarkStart w:id="93" w:name="ref-anderson-teixeira_forestgeo_2020"/>
    <w:p>
      <w:pPr>
        <w:pStyle w:val="Bibliography"/>
      </w:pPr>
      <w:r>
        <w:t xml:space="preserve">53. Anderson-Teixeira, K.</w:t>
      </w:r>
      <w:r>
        <w:t xml:space="preserve"> </w:t>
      </w:r>
      <w:r>
        <w:rPr>
          <w:i/>
        </w:rPr>
        <w:t xml:space="preserve">et al.</w:t>
      </w:r>
      <w:r>
        <w:t xml:space="preserve"> </w:t>
      </w:r>
      <w:r>
        <w:t xml:space="preserve">Forestgeo/Climate: Initial release. (2020) doi:</w:t>
      </w:r>
      <w:hyperlink r:id="rId92">
        <w:r>
          <w:rPr>
            <w:rStyle w:val="Hyperlink"/>
          </w:rPr>
          <w:t xml:space="preserve">10.5281/ZENODO.4041609</w:t>
        </w:r>
      </w:hyperlink>
      <w:r>
        <w:t xml:space="preserve">.</w:t>
      </w:r>
    </w:p>
    <w:bookmarkEnd w:id="93"/>
    <w:bookmarkStart w:id="94" w:name="ref-benestad_empiricalstatistical_2008"/>
    <w:p>
      <w:pPr>
        <w:pStyle w:val="Bibliography"/>
      </w:pPr>
      <w:r>
        <w:t xml:space="preserve">54. Benestad, R. E., Hanssen-Bauer, I. &amp; Chen, D.</w:t>
      </w:r>
      <w:r>
        <w:t xml:space="preserve"> </w:t>
      </w:r>
      <w:r>
        <w:rPr>
          <w:i/>
        </w:rPr>
        <w:t xml:space="preserve">Empirical-statistical downscaling</w:t>
      </w:r>
      <w:r>
        <w:t xml:space="preserve">. (World Scientific Pub Co Inc, 2008).</w:t>
      </w:r>
    </w:p>
    <w:bookmarkEnd w:id="94"/>
    <w:bookmarkStart w:id="96" w:name="ref-boose_shaler_2021"/>
    <w:p>
      <w:pPr>
        <w:pStyle w:val="Bibliography"/>
      </w:pPr>
      <w:r>
        <w:t xml:space="preserve">55. Boose, E. &amp; Gould, E. Shaler Meteorological Station at Harvard Forest 1964-2002. (2021) doi:</w:t>
      </w:r>
      <w:hyperlink r:id="rId95">
        <w:r>
          <w:rPr>
            <w:rStyle w:val="Hyperlink"/>
          </w:rPr>
          <w:t xml:space="preserve">10.6073/PASTA/213335F5DAA17222A738C105B9FA60C4</w:t>
        </w:r>
      </w:hyperlink>
      <w:r>
        <w:t xml:space="preserve">.</w:t>
      </w:r>
    </w:p>
    <w:bookmarkEnd w:id="96"/>
    <w:bookmarkStart w:id="98" w:name="ref-boose_fisher_2021"/>
    <w:p>
      <w:pPr>
        <w:pStyle w:val="Bibliography"/>
      </w:pPr>
      <w:r>
        <w:t xml:space="preserve">56. Boose, E. Fisher Meteorological Station at Harvard Forest since 2001. (2021) doi:</w:t>
      </w:r>
      <w:hyperlink r:id="rId97">
        <w:r>
          <w:rPr>
            <w:rStyle w:val="Hyperlink"/>
          </w:rPr>
          <w:t xml:space="preserve">10.6073/PASTA/69E92642B512897032446CFE795CFFB8</w:t>
        </w:r>
      </w:hyperlink>
      <w:r>
        <w:t xml:space="preserve">.</w:t>
      </w:r>
    </w:p>
    <w:bookmarkEnd w:id="98"/>
    <w:bookmarkStart w:id="99" w:name="ref-vandepol_identifying_2016"/>
    <w:p>
      <w:pPr>
        <w:pStyle w:val="Bibliography"/>
      </w:pPr>
      <w:r>
        <w:t xml:space="preserve">57.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99"/>
    <w:bookmarkStart w:id="100" w:name="ref-gabry_rstanarm_2020"/>
    <w:p>
      <w:pPr>
        <w:pStyle w:val="Bibliography"/>
      </w:pPr>
      <w:r>
        <w:t xml:space="preserve">58. Gabry, J.</w:t>
      </w:r>
      <w:r>
        <w:t xml:space="preserve"> </w:t>
      </w:r>
      <w:r>
        <w:rPr>
          <w:i/>
        </w:rPr>
        <w:t xml:space="preserve">et al.</w:t>
      </w:r>
      <w:r>
        <w:t xml:space="preserve"> </w:t>
      </w:r>
      <w:r>
        <w:t xml:space="preserve">Rstanarm: Bayesian Applied Regression Modeling via Stan. (2020).</w:t>
      </w:r>
    </w:p>
    <w:bookmarkEnd w:id="100"/>
    <w:bookmarkStart w:id="101" w:name="ref-stan_development_team_stan_2019"/>
    <w:p>
      <w:pPr>
        <w:pStyle w:val="Bibliography"/>
      </w:pPr>
      <w:r>
        <w:t xml:space="preserve">59. Stan_Development_Team. Stan Modeling Language Users Guide and Reference Manual, 2.28. (2019).</w:t>
      </w:r>
    </w:p>
    <w:bookmarkEnd w:id="101"/>
    <w:bookmarkStart w:id="102" w:name="ref-begueria_standardized_2014"/>
    <w:p>
      <w:pPr>
        <w:pStyle w:val="Bibliography"/>
      </w:pPr>
      <w:r>
        <w:t xml:space="preserve">60. Beguería, S., Vicente-Serrano, S. M., Reig, F. &amp; Latorre, B. Standardized precipitation evapotranspiration index (SPEI) revisited: Parameter fitting, evapotranspiration models, tools, datasets and drought monitoring.</w:t>
      </w:r>
      <w:r>
        <w:t xml:space="preserve"> </w:t>
      </w:r>
      <w:r>
        <w:rPr>
          <w:i/>
        </w:rPr>
        <w:t xml:space="preserve">International Journal of Climatology</w:t>
      </w:r>
      <w:r>
        <w:t xml:space="preserve"> </w:t>
      </w:r>
      <w:r>
        <w:rPr>
          <w:b/>
        </w:rPr>
        <w:t xml:space="preserve">34</w:t>
      </w:r>
      <w:r>
        <w:t xml:space="preserve">, 3001–3023 (2014).</w:t>
      </w:r>
    </w:p>
    <w:bookmarkEnd w:id="102"/>
    <w:bookmarkStart w:id="103" w:name="ref-vicente-serrano_multiscalar_2010a"/>
    <w:p>
      <w:pPr>
        <w:pStyle w:val="Bibliography"/>
      </w:pPr>
      <w:r>
        <w:t xml:space="preserve">61.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103"/>
    <w:bookmarkStart w:id="104" w:name="ref-stokes_introduction_1968"/>
    <w:p>
      <w:pPr>
        <w:pStyle w:val="Bibliography"/>
      </w:pPr>
      <w:r>
        <w:t xml:space="preserve">62. Stokes, M. A. &amp; Smiley, T. L.</w:t>
      </w:r>
      <w:r>
        <w:t xml:space="preserve"> </w:t>
      </w:r>
      <w:r>
        <w:rPr>
          <w:i/>
        </w:rPr>
        <w:t xml:space="preserve">An Introduction to Tree-ring Dating</w:t>
      </w:r>
      <w:r>
        <w:t xml:space="preserve">. (University of Arizona Press, 1968).</w:t>
      </w:r>
    </w:p>
    <w:bookmarkEnd w:id="104"/>
    <w:bookmarkStart w:id="105" w:name="ref-alexander_potential_2019"/>
    <w:p>
      <w:pPr>
        <w:pStyle w:val="Bibliography"/>
      </w:pPr>
      <w:r>
        <w:t xml:space="preserve">63. Alexander, M. R.</w:t>
      </w:r>
      <w:r>
        <w:t xml:space="preserve"> </w:t>
      </w:r>
      <w:r>
        <w:rPr>
          <w:i/>
        </w:rPr>
        <w:t xml:space="preserve">et al.</w:t>
      </w:r>
      <w:r>
        <w:t xml:space="preserve"> </w:t>
      </w:r>
      <w:r>
        <w:t xml:space="preserve">The potential to strengthen temperature reconstructions in ecoregions with limited tree line using a multispecies approach.</w:t>
      </w:r>
      <w:r>
        <w:t xml:space="preserve"> </w:t>
      </w:r>
      <w:r>
        <w:rPr>
          <w:i/>
        </w:rPr>
        <w:t xml:space="preserve">Quaternary Research</w:t>
      </w:r>
      <w:r>
        <w:t xml:space="preserve"> </w:t>
      </w:r>
      <w:r>
        <w:rPr>
          <w:b/>
        </w:rPr>
        <w:t xml:space="preserve">92</w:t>
      </w:r>
      <w:r>
        <w:t xml:space="preserve">, 583–597 (2019).</w:t>
      </w:r>
    </w:p>
    <w:bookmarkEnd w:id="105"/>
    <w:bookmarkStart w:id="106" w:name="ref-dye_comparing_2016"/>
    <w:p>
      <w:pPr>
        <w:pStyle w:val="Bibliography"/>
      </w:pPr>
      <w:r>
        <w:t xml:space="preserve">64. Dye, A.</w:t>
      </w:r>
      <w:r>
        <w:t xml:space="preserve"> </w:t>
      </w:r>
      <w:r>
        <w:rPr>
          <w:i/>
        </w:rPr>
        <w:t xml:space="preserve">et al.</w:t>
      </w:r>
      <w:r>
        <w:t xml:space="preserve"> </w:t>
      </w:r>
      <w:r>
        <w:t xml:space="preserve">Comparing tree-ring and permanent plot estimates of aboveground net primary production in three eastern U.S. Forests.</w:t>
      </w:r>
      <w:r>
        <w:t xml:space="preserve"> </w:t>
      </w:r>
      <w:r>
        <w:rPr>
          <w:i/>
        </w:rPr>
        <w:t xml:space="preserve">Ecosphere</w:t>
      </w:r>
      <w:r>
        <w:t xml:space="preserve"> </w:t>
      </w:r>
      <w:r>
        <w:rPr>
          <w:b/>
        </w:rPr>
        <w:t xml:space="preserve">7</w:t>
      </w:r>
      <w:r>
        <w:t xml:space="preserve">, e01454 (2016).</w:t>
      </w:r>
    </w:p>
    <w:bookmarkEnd w:id="106"/>
    <w:bookmarkStart w:id="107" w:name="ref-maxwell_sampling_2020"/>
    <w:p>
      <w:pPr>
        <w:pStyle w:val="Bibliography"/>
      </w:pPr>
      <w:r>
        <w:t xml:space="preserve">65. Maxwell, J. T.</w:t>
      </w:r>
      <w:r>
        <w:t xml:space="preserve"> </w:t>
      </w:r>
      <w:r>
        <w:rPr>
          <w:i/>
        </w:rPr>
        <w:t xml:space="preserve">et al.</w:t>
      </w:r>
      <w:r>
        <w:t xml:space="preserve"> </w:t>
      </w:r>
      <w:r>
        <w:t xml:space="preserve">Sampling density and date along with species selection influence spatial representation of tree-ring reconstructions.</w:t>
      </w:r>
      <w:r>
        <w:t xml:space="preserve"> </w:t>
      </w:r>
      <w:r>
        <w:rPr>
          <w:i/>
        </w:rPr>
        <w:t xml:space="preserve">Climate of the Past</w:t>
      </w:r>
      <w:r>
        <w:t xml:space="preserve"> </w:t>
      </w:r>
      <w:r>
        <w:rPr>
          <w:b/>
        </w:rPr>
        <w:t xml:space="preserve">16</w:t>
      </w:r>
      <w:r>
        <w:t xml:space="preserve">, 1901–1916 (2020).</w:t>
      </w:r>
    </w:p>
    <w:bookmarkEnd w:id="107"/>
    <w:bookmarkStart w:id="109" w:name="ref-cook_methods_1990"/>
    <w:p>
      <w:pPr>
        <w:pStyle w:val="Bibliography"/>
      </w:pPr>
      <w:r>
        <w:t xml:space="preserve">66.</w:t>
      </w:r>
      <w:r>
        <w:t xml:space="preserve"> </w:t>
      </w:r>
      <w:r>
        <w:rPr>
          <w:i/>
        </w:rPr>
        <w:t xml:space="preserve">Methods of Dendrochronology: Applications in the Environmental Sciences</w:t>
      </w:r>
      <w:r>
        <w:t xml:space="preserve">. (Springer Netherlands, 1990). doi:</w:t>
      </w:r>
      <w:hyperlink r:id="rId108">
        <w:r>
          <w:rPr>
            <w:rStyle w:val="Hyperlink"/>
          </w:rPr>
          <w:t xml:space="preserve">10.1007/978-94-015-7879-0</w:t>
        </w:r>
      </w:hyperlink>
      <w:r>
        <w:t xml:space="preserve">.</w:t>
      </w:r>
    </w:p>
    <w:bookmarkEnd w:id="109"/>
    <w:bookmarkStart w:id="110" w:name="ref-cook_time_1985"/>
    <w:p>
      <w:pPr>
        <w:pStyle w:val="Bibliography"/>
      </w:pPr>
      <w:r>
        <w:t xml:space="preserve">67. Cook, E. R. A Time Series Analysis Approach to Tree Ring Standardization. vol. PhD (University of Arizona, 1985).</w:t>
      </w:r>
    </w:p>
    <w:bookmarkEnd w:id="110"/>
    <w:bookmarkStart w:id="111" w:name="ref-cook_calculating_1997"/>
    <w:p>
      <w:pPr>
        <w:pStyle w:val="Bibliography"/>
      </w:pPr>
      <w:r>
        <w:t xml:space="preserve">68. Cook, E. R. &amp; Peters, K. Calculating unbiased tree-ring indices for the study of climatic and environmental change.</w:t>
      </w:r>
      <w:r>
        <w:t xml:space="preserve"> </w:t>
      </w:r>
      <w:r>
        <w:rPr>
          <w:i/>
        </w:rPr>
        <w:t xml:space="preserve">The Holocene</w:t>
      </w:r>
      <w:r>
        <w:t xml:space="preserve"> </w:t>
      </w:r>
      <w:r>
        <w:rPr>
          <w:b/>
        </w:rPr>
        <w:t xml:space="preserve">7</w:t>
      </w:r>
      <w:r>
        <w:t xml:space="preserve">, 361–370 (1997).</w:t>
      </w:r>
    </w:p>
    <w:bookmarkEnd w:id="111"/>
    <w:bookmarkStart w:id="112" w:name="ref-jones_estimating_1997"/>
    <w:p>
      <w:pPr>
        <w:pStyle w:val="Bibliography"/>
      </w:pPr>
      <w:r>
        <w:t xml:space="preserve">69. Jones, P. D., Osborn, T. J. &amp; Briffa, K. R. Estimating sampling errors in large-scale temperature averages.</w:t>
      </w:r>
      <w:r>
        <w:t xml:space="preserve"> </w:t>
      </w:r>
      <w:r>
        <w:rPr>
          <w:i/>
        </w:rPr>
        <w:t xml:space="preserve">Journal of Climate</w:t>
      </w:r>
      <w:r>
        <w:t xml:space="preserve"> </w:t>
      </w:r>
      <w:r>
        <w:rPr>
          <w:b/>
        </w:rPr>
        <w:t xml:space="preserve">10</w:t>
      </w:r>
      <w:r>
        <w:t xml:space="preserve">, 2548–2568 (1997).</w:t>
      </w:r>
    </w:p>
    <w:bookmarkEnd w:id="112"/>
    <w:bookmarkStart w:id="113" w:name="ref-harris_version_2020"/>
    <w:p>
      <w:pPr>
        <w:pStyle w:val="Bibliography"/>
      </w:pPr>
      <w:r>
        <w:t xml:space="preserve">70.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113"/>
    <w:bookmarkStart w:id="114" w:name="ref-bunn_dendrochronology_2008"/>
    <w:p>
      <w:pPr>
        <w:pStyle w:val="Bibliography"/>
      </w:pPr>
      <w:r>
        <w:t xml:space="preserve">71. Bunn, A. G. A dendrochronology program library in R (dplR).</w:t>
      </w:r>
      <w:r>
        <w:t xml:space="preserve"> </w:t>
      </w:r>
      <w:r>
        <w:rPr>
          <w:i/>
        </w:rPr>
        <w:t xml:space="preserve">Dendrochronologia</w:t>
      </w:r>
      <w:r>
        <w:t xml:space="preserve"> </w:t>
      </w:r>
      <w:r>
        <w:rPr>
          <w:b/>
        </w:rPr>
        <w:t xml:space="preserve">26</w:t>
      </w:r>
      <w:r>
        <w:t xml:space="preserve">, 115–124 (2008).</w:t>
      </w:r>
    </w:p>
    <w:bookmarkEnd w:id="114"/>
    <w:bookmarkStart w:id="115" w:name="ref-zang_dendroclimatic_2013"/>
    <w:p>
      <w:pPr>
        <w:pStyle w:val="Bibliography"/>
      </w:pPr>
      <w:r>
        <w:t xml:space="preserve">72. Zang, C. &amp; Biondi, F. Dendroclimatic calibration in R: The bootRes package for response and correlation function analysis.</w:t>
      </w:r>
      <w:r>
        <w:t xml:space="preserve"> </w:t>
      </w:r>
      <w:r>
        <w:rPr>
          <w:i/>
        </w:rPr>
        <w:t xml:space="preserve">Dendrochronologia</w:t>
      </w:r>
      <w:r>
        <w:t xml:space="preserve"> </w:t>
      </w:r>
      <w:r>
        <w:rPr>
          <w:b/>
        </w:rPr>
        <w:t xml:space="preserve">31</w:t>
      </w:r>
      <w:r>
        <w:t xml:space="preserve">, 68–74 (2013).</w:t>
      </w:r>
    </w:p>
    <w:bookmarkEnd w:id="115"/>
    <w:bookmarkStart w:id="116" w:name="ref-biondi_dendroclim2002_2004"/>
    <w:p>
      <w:pPr>
        <w:pStyle w:val="Bibliography"/>
      </w:pPr>
      <w:r>
        <w:t xml:space="preserve">73. Biondi, F. &amp; Waikul, K. DENDROCLIM2002 : A C++ program for statistical calibration of climate signals in tree-ring chronologies.</w:t>
      </w:r>
      <w:r>
        <w:t xml:space="preserve"> </w:t>
      </w:r>
      <w:r>
        <w:rPr>
          <w:i/>
        </w:rPr>
        <w:t xml:space="preserve">Computers &amp; Geosciences</w:t>
      </w:r>
      <w:r>
        <w:t xml:space="preserve"> </w:t>
      </w:r>
      <w:r>
        <w:rPr>
          <w:b/>
        </w:rPr>
        <w:t xml:space="preserve">30</w:t>
      </w:r>
      <w:r>
        <w:t xml:space="preserve">, 303–311 (2004).</w:t>
      </w:r>
    </w:p>
    <w:bookmarkEnd w:id="116"/>
    <w:bookmarkEnd w:id="117"/>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108" Target="https://doi.org/10.1007/978-94-015-7879-0" TargetMode="External" /><Relationship Type="http://schemas.openxmlformats.org/officeDocument/2006/relationships/hyperlink" Id="rId41" Target="https://doi.org/10.1073/pnas.2002713117" TargetMode="External" /><Relationship Type="http://schemas.openxmlformats.org/officeDocument/2006/relationships/hyperlink" Id="rId61" Target="https://doi.org/10.1093/treephys/tpab101" TargetMode="External" /><Relationship Type="http://schemas.openxmlformats.org/officeDocument/2006/relationships/hyperlink" Id="rId84" Target="https://doi.org/10.1111/gcb.15574" TargetMode="External" /><Relationship Type="http://schemas.openxmlformats.org/officeDocument/2006/relationships/hyperlink" Id="rId90" Target="https://doi.org/10.5067/MODIS/MCD12Q2.006" TargetMode="External" /><Relationship Type="http://schemas.openxmlformats.org/officeDocument/2006/relationships/hyperlink" Id="rId92" Target="https://doi.org/10.5281/ZENODO.4041609" TargetMode="External" /><Relationship Type="http://schemas.openxmlformats.org/officeDocument/2006/relationships/hyperlink" Id="rId95" Target="https://doi.org/10.6073/PASTA/213335F5DAA17222A738C105B9FA60C4" TargetMode="External" /><Relationship Type="http://schemas.openxmlformats.org/officeDocument/2006/relationships/hyperlink" Id="rId97" Target="https://doi.org/10.6073/PASTA/69E92642B512897032446CFE795CFFB8" TargetMode="External" /><Relationship Type="http://schemas.openxmlformats.org/officeDocument/2006/relationships/hyperlink" Id="rId29" Target="https://forestgeo.github.io/Climate/"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8" Target="https://doi.org/10.1007/978-94-015-7879-0" TargetMode="External" /><Relationship Type="http://schemas.openxmlformats.org/officeDocument/2006/relationships/hyperlink" Id="rId41" Target="https://doi.org/10.1073/pnas.2002713117" TargetMode="External" /><Relationship Type="http://schemas.openxmlformats.org/officeDocument/2006/relationships/hyperlink" Id="rId61" Target="https://doi.org/10.1093/treephys/tpab101" TargetMode="External" /><Relationship Type="http://schemas.openxmlformats.org/officeDocument/2006/relationships/hyperlink" Id="rId84" Target="https://doi.org/10.1111/gcb.15574" TargetMode="External" /><Relationship Type="http://schemas.openxmlformats.org/officeDocument/2006/relationships/hyperlink" Id="rId90" Target="https://doi.org/10.5067/MODIS/MCD12Q2.006" TargetMode="External" /><Relationship Type="http://schemas.openxmlformats.org/officeDocument/2006/relationships/hyperlink" Id="rId92" Target="https://doi.org/10.5281/ZENODO.4041609" TargetMode="External" /><Relationship Type="http://schemas.openxmlformats.org/officeDocument/2006/relationships/hyperlink" Id="rId95" Target="https://doi.org/10.6073/PASTA/213335F5DAA17222A738C105B9FA60C4" TargetMode="External" /><Relationship Type="http://schemas.openxmlformats.org/officeDocument/2006/relationships/hyperlink" Id="rId97" Target="https://doi.org/10.6073/PASTA/69E92642B512897032446CFE795CFFB8" TargetMode="External" /><Relationship Type="http://schemas.openxmlformats.org/officeDocument/2006/relationships/hyperlink" Id="rId29" Target="https://forestgeo.github.io/Climate/"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2021-11-18T01:56:42Z</dcterms:created>
  <dcterms:modified xsi:type="dcterms:W3CDTF">2021-11-18T01:56:42Z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