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21,22</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23</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24,25</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recent experimental and observational findings show that annual stem growth is not correlated with growing season length</w:t>
      </w:r>
      <w:r>
        <w:rPr>
          <w:vertAlign w:val="superscript"/>
        </w:rPr>
        <w:t xml:space="preserve">27</w:t>
      </w:r>
      <w:r>
        <w:t xml:space="preserve">,</w:t>
      </w:r>
      <w:r>
        <w:t xml:space="preserve"> </w:t>
      </w:r>
      <w:r>
        <w:rPr>
          <w:iCs/>
          <w:i/>
        </w:rPr>
        <w:t xml:space="preserve">but rather can be limited by sink factors</w:t>
      </w:r>
      <w:r>
        <w:rPr>
          <w:vertAlign w:val="superscript"/>
          <w:iCs/>
          <w:i/>
        </w:rPr>
        <w:t xml:space="preserve">19,28–30</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31–33</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27,30,34–36</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37</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30 and refs therein</w:t>
      </w:r>
    </w:p>
    <w:p>
      <w:pPr>
        <w:numPr>
          <w:ilvl w:val="0"/>
          <w:numId w:val="1002"/>
        </w:numPr>
        <w:pStyle w:val="Compact"/>
      </w:pPr>
      <w:r>
        <w:t xml:space="preserve">stem growth and woody productivity are decoupled from GPP</w:t>
      </w:r>
      <w:r>
        <w:rPr>
          <w:vertAlign w:val="superscript"/>
        </w:rPr>
        <w:t xml:space="preserve">30 and refs therein</w:t>
      </w:r>
    </w:p>
    <w:p>
      <w:pPr>
        <w:numPr>
          <w:ilvl w:val="0"/>
          <w:numId w:val="1002"/>
        </w:numPr>
        <w:pStyle w:val="Compact"/>
      </w:pPr>
      <w:r>
        <w:t xml:space="preserve">close coordination of budburst and initiation of xylogenesis</w:t>
      </w:r>
      <w:r>
        <w:rPr>
          <w:vertAlign w:val="superscript"/>
        </w:rPr>
        <w:t xml:space="preserve">16</w:t>
      </w:r>
    </w:p>
    <w:p>
      <w:pPr>
        <w:numPr>
          <w:ilvl w:val="0"/>
          <w:numId w:val="1002"/>
        </w:numPr>
        <w:pStyle w:val="Compact"/>
      </w:pPr>
      <w:r>
        <w:t xml:space="preserve">start of xylogenesis makes growth possible, but actual growth depends on climate conditions during the growth period</w:t>
      </w:r>
    </w:p>
    <w:p>
      <w:pPr>
        <w:numPr>
          <w:ilvl w:val="0"/>
          <w:numId w:val="1002"/>
        </w:numPr>
        <w:pStyle w:val="Compact"/>
      </w:pPr>
      <w:r>
        <w:t xml:space="preserve">probably include some mention of conifers (for whcih more work has been done)</w:t>
      </w:r>
    </w:p>
    <w:p>
      <w:pPr>
        <w:pStyle w:val="FirstParagraph"/>
      </w:pPr>
      <w:r>
        <w:t xml:space="preserve">~~~~ (rework ending here)</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hints that warmer springs may have a modest positive effect on growth</w:t>
      </w:r>
      <w:r>
        <w:rPr>
          <w:vertAlign w:val="superscript"/>
        </w:rPr>
        <w:t xml:space="preserve">39</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2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diffuse-porous (52 trees at SCBI and 183 trees at Harvard Forest) species, which differ in the seasonal timing of growth</w:t>
      </w:r>
      <w:r>
        <w:rPr>
          <w:vertAlign w:val="superscript"/>
        </w:rPr>
        <w:t xml:space="preserve">34,35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ring-porous species and less than one day longer for diffuse-porous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porous window at HF and diffuse-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(ring-porous window at HF and diffuse-porous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9,41,42</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ring-porous species and 2.8-2.9 days/</w:t>
      </w:r>
      <w:r>
        <w:t xml:space="preserve"> </w:t>
      </w:r>
      <m:oMath>
        <m:sSup>
          <m:e>
            <m:r>
              <m:t>​</m:t>
            </m:r>
          </m:e>
          <m:sup>
            <m:r>
              <m:rPr>
                <m:sty m:val="p"/>
              </m:rPr>
              <m:t>∘</m:t>
            </m:r>
          </m:sup>
        </m:sSup>
      </m:oMath>
      <w:r>
        <w:t xml:space="preserve">C for diffuse-porous species at SCBI, and 10.3-12.3 days/</w:t>
      </w:r>
      <w:r>
        <w:t xml:space="preserve"> </w:t>
      </w:r>
      <m:oMath>
        <m:sSup>
          <m:e>
            <m:r>
              <m:t>​</m:t>
            </m:r>
          </m:e>
          <m:sup>
            <m:r>
              <m:rPr>
                <m:sty m:val="p"/>
              </m:rPr>
              <m:t>∘</m:t>
            </m:r>
          </m:sup>
        </m:sSup>
      </m:oMath>
      <w:r>
        <w:t xml:space="preserve">C for ring-porous species and 0.9-4.2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4,27</w:t>
      </w:r>
      <w:r>
        <w:t xml:space="preserve">, is likely driven by cues other than photosynthate limitation, such as water stress, daylength, or sink limitation</w:t>
      </w:r>
      <w:r>
        <w:rPr>
          <w:vertAlign w:val="superscript"/>
        </w:rPr>
        <w:t xml:space="preserve">16,19,27,28,30,36,43</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27,38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3,44</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27,30,35</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12,45,46</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37</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47–49</w:t>
      </w:r>
      <w:r>
        <w:t xml:space="preserve">, which is more strongly controlled by summer drought stress</w:t>
      </w:r>
      <w:r>
        <w:rPr>
          <w:vertAlign w:val="superscript"/>
        </w:rPr>
        <w:t xml:space="preserve">47,48</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50,51</w:t>
      </w:r>
      <w:r>
        <w:t xml:space="preserve">, potentially including an earlier start to growth</w:t>
      </w:r>
      <w:r>
        <w:rPr>
          <w:vertAlign w:val="superscript"/>
        </w:rPr>
        <w:t xml:space="preserve">43</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29</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53</w:t>
      </w:r>
      <w:r>
        <w:t xml:space="preserve">.</w:t>
      </w:r>
      <w:r>
        <w:t xml:space="preserve"> </w:t>
      </w:r>
      <w:r>
        <w:t xml:space="preserve">Moreover, acclimation of trees to warming temperatures</w:t>
      </w:r>
      <w:r>
        <w:rPr>
          <w:vertAlign w:val="superscript"/>
        </w:rPr>
        <w:t xml:space="preserve">54</w:t>
      </w:r>
      <w:r>
        <w:t xml:space="preserve"> </w:t>
      </w:r>
      <w:r>
        <w:t xml:space="preserve">and, on longer time scales, species adaptations and shifts in community composition</w:t>
      </w:r>
      <w:r>
        <w:rPr>
          <w:vertAlign w:val="superscript"/>
        </w:rPr>
        <w:t xml:space="preserve">55</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56</w:t>
      </w:r>
      <w:r>
        <w:t xml:space="preserve">, woody productivity</w:t>
      </w:r>
      <w:r>
        <w:rPr>
          <w:vertAlign w:val="superscript"/>
        </w:rPr>
        <w:t xml:space="preserve">57</w:t>
      </w:r>
      <w:r>
        <w:t xml:space="preserve">, and</w:t>
      </w:r>
      <w:r>
        <w:t xml:space="preserve"> </w:t>
      </w:r>
      <w:r>
        <w:rPr>
          <w:iCs/>
          <w:i/>
        </w:rPr>
        <w:t xml:space="preserve">NEE</w:t>
      </w:r>
      <w:r>
        <w:rPr>
          <w:vertAlign w:val="superscript"/>
        </w:rPr>
        <w:t xml:space="preserve">58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59</w:t>
      </w:r>
      <w:r>
        <w:t xml:space="preserve"> </w:t>
      </w:r>
      <w:r>
        <w:t xml:space="preserve">and Harvard Forest</w:t>
      </w:r>
      <w:r>
        <w:rPr>
          <w:vertAlign w:val="superscript"/>
        </w:rPr>
        <w:t xml:space="preserve">4,34</w:t>
      </w:r>
      <w:r>
        <w:t xml:space="preserve">, both part of the Forest Global Earth Observatory (ForestGEO)</w:t>
      </w:r>
      <w:r>
        <w:rPr>
          <w:vertAlign w:val="superscript"/>
        </w:rPr>
        <w:t xml:space="preserve">60,61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56</w:t>
      </w:r>
      <w:r>
        <w:t xml:space="preserve">. The summer of 1999 was abnormally dry. Records indicate that in 1999 only 52mm of precipitation fell per month June-August compared to average monthly precipitation values of 100mm+.</w:t>
      </w:r>
      <w:r>
        <w:rPr>
          <w:vertAlign w:val="superscript"/>
        </w:rPr>
        <w:t xml:space="preserve">34</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40,62</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2.5</m:t>
        </m:r>
      </m:oMath>
      <w:r>
        <w:t xml:space="preserve"> </w:t>
      </w:r>
      <w:r>
        <w:t xml:space="preserve">standard deviations away from the mean for each xylem architecture (SCBI = 3, Harvard Forest = 11);</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xylem architecture group, year, and site (SCBI = 74, Harvard Forest = 101);</w:t>
      </w:r>
      <w:r>
        <w:t xml:space="preserve"> </w:t>
      </w:r>
      <w:r>
        <w:t xml:space="preserve">(3)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w:t>
      </w:r>
      <w:r>
        <w:t xml:space="preserve"> </w:t>
      </w:r>
      <w:r>
        <w:t xml:space="preserve">(4) tree years where first intraannual measurement was later than the first spring survey (trees that were missed in the initial census; SCBI = 22, HF = 8).</w:t>
      </w:r>
      <w:r>
        <w:t xml:space="preserve"> </w:t>
      </w:r>
      <w:r>
        <w:t xml:space="preserve">At both sites the tag 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and the results of analyses were not qualitatively different.</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63</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and senescence as used in this study.</w:t>
      </w:r>
      <w:r>
        <w:t xml:space="preserve"> </w:t>
      </w:r>
      <w:r>
        <w:t xml:space="preserve">Data points were kept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66,67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68</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69,70</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71</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64,72,73</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74</w:t>
      </w:r>
      <w:r>
        <w:t xml:space="preserve">.</w:t>
      </w:r>
    </w:p>
    <w:p>
      <w:pPr>
        <w:pStyle w:val="BodyText"/>
      </w:pPr>
      <w:r>
        <w:t xml:space="preserve">Dominant tree species were cored at both SCBI</w:t>
      </w:r>
      <w:r>
        <w:rPr>
          <w:vertAlign w:val="superscript"/>
        </w:rPr>
        <w:t xml:space="preserve">39,59</w:t>
      </w:r>
      <w:r>
        <w:t xml:space="preserve"> </w:t>
      </w:r>
      <w:r>
        <w:t xml:space="preserve">and Harvard Forest</w:t>
      </w:r>
      <w:r>
        <w:rPr>
          <w:vertAlign w:val="superscript"/>
        </w:rPr>
        <w:t xml:space="preserve">4,75,76</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38,77</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78</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78,79</w:t>
      </w:r>
      <w:r>
        <w:t xml:space="preserve">.</w:t>
      </w:r>
      <w:r>
        <w:t xml:space="preserve"> </w:t>
      </w:r>
      <w:r>
        <w:t xml:space="preserve">An adaptive power transformation, a process that also stabilises the variance over time</w:t>
      </w:r>
      <w:r>
        <w:rPr>
          <w:vertAlign w:val="superscript"/>
        </w:rPr>
        <w:t xml:space="preserve">80</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81</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79</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82</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83</w:t>
      </w:r>
      <w:r>
        <w:t xml:space="preserve"> </w:t>
      </w:r>
      <w:r>
        <w:t xml:space="preserve">and</w:t>
      </w:r>
      <w:r>
        <w:t xml:space="preserve"> </w:t>
      </w:r>
      <w:r>
        <w:rPr>
          <w:iCs/>
          <w:i/>
        </w:rPr>
        <w:t xml:space="preserve">bootRes</w:t>
      </w:r>
      <w:r>
        <w:rPr>
          <w:vertAlign w:val="superscript"/>
        </w:rPr>
        <w:t xml:space="preserve">84</w:t>
      </w:r>
      <w:r>
        <w:t xml:space="preserve"> </w:t>
      </w:r>
      <w:r>
        <w:t xml:space="preserve">in R v 4.0 (R Core Team, 2020), which correlated functions and bootstrapped confidence intervals for these relationships</w:t>
      </w:r>
      <w:r>
        <w:rPr>
          <w:vertAlign w:val="superscript"/>
        </w:rPr>
        <w:t xml:space="preserve">85</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4" w:name="References"/>
    <w:p>
      <w:pPr>
        <w:pStyle w:val="Heading1"/>
      </w:pPr>
      <w:r>
        <w:t xml:space="preserve">References</w:t>
      </w:r>
    </w:p>
    <w:bookmarkStart w:id="143"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friedlingstein_global_2021"/>
    <w:p>
      <w:pPr>
        <w:pStyle w:val="Bibliography"/>
      </w:pPr>
      <w:r>
        <w:t xml:space="preserve">21.</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9">
        <w:r>
          <w:rPr>
            <w:rStyle w:val="Hyperlink"/>
          </w:rPr>
          <w:t xml:space="preserve">10.5194/essd-2021-386</w:t>
        </w:r>
      </w:hyperlink>
      <w:r>
        <w:t xml:space="preserve">.</w:t>
      </w:r>
    </w:p>
    <w:bookmarkEnd w:id="70"/>
    <w:bookmarkStart w:id="72" w:name="ref-harris_global_2021"/>
    <w:p>
      <w:pPr>
        <w:pStyle w:val="Bibliography"/>
      </w:pPr>
      <w:r>
        <w:t xml:space="preserve">22.</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1">
        <w:r>
          <w:rPr>
            <w:rStyle w:val="Hyperlink"/>
          </w:rPr>
          <w:t xml:space="preserve">10.1038/s41558-020-00976-6</w:t>
        </w:r>
      </w:hyperlink>
      <w:r>
        <w:t xml:space="preserve">.</w:t>
      </w:r>
    </w:p>
    <w:bookmarkEnd w:id="72"/>
    <w:bookmarkStart w:id="73" w:name="ref-pugh_role_2019"/>
    <w:p>
      <w:pPr>
        <w:pStyle w:val="Bibliography"/>
      </w:pPr>
      <w:r>
        <w:t xml:space="preserve">23.</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3"/>
    <w:bookmarkStart w:id="74" w:name="ref-arora_carbon_2020"/>
    <w:p>
      <w:pPr>
        <w:pStyle w:val="Bibliography"/>
      </w:pPr>
      <w:r>
        <w:t xml:space="preserve">24.</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25.</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6"/>
    <w:bookmarkStart w:id="77" w:name="ref-etzold_number_2022"/>
    <w:p>
      <w:pPr>
        <w:pStyle w:val="Bibliography"/>
      </w:pPr>
      <w:r>
        <w:t xml:space="preserve">27.</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7"/>
    <w:bookmarkStart w:id="78" w:name="ref-keenan_timing_2015"/>
    <w:p>
      <w:pPr>
        <w:pStyle w:val="Bibliography"/>
      </w:pPr>
      <w:r>
        <w:t xml:space="preserve">28.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8"/>
    <w:bookmarkStart w:id="79" w:name="ref-zohner_how_2021"/>
    <w:p>
      <w:pPr>
        <w:pStyle w:val="Bibliography"/>
      </w:pPr>
      <w:r>
        <w:t xml:space="preserve">29.</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9"/>
    <w:bookmarkStart w:id="80" w:name="ref-delpierre_wood_2016"/>
    <w:p>
      <w:pPr>
        <w:pStyle w:val="Bibliography"/>
      </w:pPr>
      <w:r>
        <w:t xml:space="preserve">30.</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80"/>
    <w:bookmarkStart w:id="81" w:name="ref-huang_photoperiod_2020"/>
    <w:p>
      <w:pPr>
        <w:pStyle w:val="Bibliography"/>
      </w:pPr>
      <w:r>
        <w:t xml:space="preserve">31.</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1"/>
    <w:bookmarkStart w:id="82" w:name="ref-delpierre_chilling_2019"/>
    <w:p>
      <w:pPr>
        <w:pStyle w:val="Bibliography"/>
      </w:pPr>
      <w:r>
        <w:t xml:space="preserve">32.</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2"/>
    <w:bookmarkStart w:id="83" w:name="ref-rossi_critical_2008"/>
    <w:p>
      <w:pPr>
        <w:pStyle w:val="Bibliography"/>
      </w:pPr>
      <w:r>
        <w:t xml:space="preserve">33.</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3"/>
    <w:bookmarkStart w:id="85" w:name="ref-dorangeville_peak_2021"/>
    <w:p>
      <w:pPr>
        <w:pStyle w:val="Bibliography"/>
      </w:pPr>
      <w:r>
        <w:t xml:space="preserve">34.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4">
        <w:r>
          <w:rPr>
            <w:rStyle w:val="Hyperlink"/>
          </w:rPr>
          <w:t xml:space="preserve">10.1093/treephys/tpab101</w:t>
        </w:r>
      </w:hyperlink>
      <w:r>
        <w:t xml:space="preserve">.</w:t>
      </w:r>
    </w:p>
    <w:bookmarkEnd w:id="85"/>
    <w:bookmarkStart w:id="86"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6"/>
    <w:bookmarkStart w:id="87" w:name="ref-zweifel_why_2021"/>
    <w:p>
      <w:pPr>
        <w:pStyle w:val="Bibliography"/>
      </w:pPr>
      <w:r>
        <w:t xml:space="preserve">36.</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7"/>
    <w:bookmarkStart w:id="88"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9"/>
    <w:bookmarkStart w:id="90"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0"/>
    <w:bookmarkStart w:id="91"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2" w:name="ref-parmesan_globally_2003"/>
    <w:p>
      <w:pPr>
        <w:pStyle w:val="Bibliography"/>
      </w:pPr>
      <w:r>
        <w:t xml:space="preserve">41.</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2"/>
    <w:bookmarkStart w:id="93" w:name="ref-friedl_tale_2014"/>
    <w:p>
      <w:pPr>
        <w:pStyle w:val="Bibliography"/>
      </w:pPr>
      <w:r>
        <w:t xml:space="preserve">42.</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3"/>
    <w:bookmarkStart w:id="94" w:name="ref-fu_variation_2014"/>
    <w:p>
      <w:pPr>
        <w:pStyle w:val="Bibliography"/>
      </w:pPr>
      <w:r>
        <w:t xml:space="preserve">43.</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4"/>
    <w:bookmarkStart w:id="95" w:name="ref-zhang_drought_2021"/>
    <w:p>
      <w:pPr>
        <w:pStyle w:val="Bibliography"/>
      </w:pPr>
      <w:r>
        <w:t xml:space="preserve">44.</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5"/>
    <w:bookmarkStart w:id="96" w:name="ref-zohner_ongoing_2019"/>
    <w:p>
      <w:pPr>
        <w:pStyle w:val="Bibliography"/>
      </w:pPr>
      <w:r>
        <w:t xml:space="preserve">45.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6"/>
    <w:bookmarkStart w:id="97" w:name="ref-xie_predicting_2018"/>
    <w:p>
      <w:pPr>
        <w:pStyle w:val="Bibliography"/>
      </w:pPr>
      <w:r>
        <w:t xml:space="preserve">46.</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7"/>
    <w:bookmarkStart w:id="98" w:name="ref-tardif_influence_2006"/>
    <w:p>
      <w:pPr>
        <w:pStyle w:val="Bibliography"/>
      </w:pPr>
      <w:r>
        <w:t xml:space="preserve">47.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8"/>
    <w:bookmarkStart w:id="99" w:name="ref-roibu_climatic_2020"/>
    <w:p>
      <w:pPr>
        <w:pStyle w:val="Bibliography"/>
      </w:pPr>
      <w:r>
        <w:t xml:space="preserve">48.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9"/>
    <w:bookmarkStart w:id="100" w:name="ref-kern_multiple_2013"/>
    <w:p>
      <w:pPr>
        <w:pStyle w:val="Bibliography"/>
      </w:pPr>
      <w:r>
        <w:t xml:space="preserve">49.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0"/>
    <w:bookmarkStart w:id="101" w:name="ref-trumbore_quantifying_2002"/>
    <w:p>
      <w:pPr>
        <w:pStyle w:val="Bibliography"/>
      </w:pPr>
      <w:r>
        <w:t xml:space="preserve">50.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1"/>
    <w:bookmarkStart w:id="102" w:name="ref-richardson_seasonal_2013"/>
    <w:p>
      <w:pPr>
        <w:pStyle w:val="Bibliography"/>
      </w:pPr>
      <w:r>
        <w:t xml:space="preserve">51.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2"/>
    <w:bookmarkStart w:id="103" w:name="ref-oishi_warmer_2018"/>
    <w:p>
      <w:pPr>
        <w:pStyle w:val="Bibliography"/>
      </w:pPr>
      <w:r>
        <w:t xml:space="preserve">52.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3"/>
    <w:bookmarkStart w:id="104" w:name="ref-kannenberg_linking_2019"/>
    <w:p>
      <w:pPr>
        <w:pStyle w:val="Bibliography"/>
      </w:pPr>
      <w:r>
        <w:t xml:space="preserve">53.</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4"/>
    <w:bookmarkStart w:id="105" w:name="ref-gessler_way_2020"/>
    <w:p>
      <w:pPr>
        <w:pStyle w:val="Bibliography"/>
      </w:pPr>
      <w:r>
        <w:t xml:space="preserve">54.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5"/>
    <w:bookmarkStart w:id="106" w:name="ref-fisichelli_temperate_2014"/>
    <w:p>
      <w:pPr>
        <w:pStyle w:val="Bibliography"/>
      </w:pPr>
      <w:r>
        <w:t xml:space="preserve">55.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6"/>
    <w:bookmarkStart w:id="107" w:name="ref-anderson-teixeira_joint_2021"/>
    <w:p>
      <w:pPr>
        <w:pStyle w:val="Bibliography"/>
      </w:pPr>
      <w:r>
        <w:t xml:space="preserve">56.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7"/>
    <w:bookmarkStart w:id="109" w:name="ref-banburymorgan_global_2021"/>
    <w:p>
      <w:pPr>
        <w:pStyle w:val="Bibliography"/>
      </w:pPr>
      <w:r>
        <w:t xml:space="preserve">57.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8">
        <w:r>
          <w:rPr>
            <w:rStyle w:val="Hyperlink"/>
          </w:rPr>
          <w:t xml:space="preserve">10.1111/gcb.15574</w:t>
        </w:r>
      </w:hyperlink>
      <w:r>
        <w:t xml:space="preserve">.</w:t>
      </w:r>
    </w:p>
    <w:bookmarkEnd w:id="109"/>
    <w:bookmarkStart w:id="110" w:name="ref-churkina_spatial_2005"/>
    <w:p>
      <w:pPr>
        <w:pStyle w:val="Bibliography"/>
      </w:pPr>
      <w:r>
        <w:t xml:space="preserve">58.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0"/>
    <w:bookmarkStart w:id="111" w:name="ref-bourg_initial_2013"/>
    <w:p>
      <w:pPr>
        <w:pStyle w:val="Bibliography"/>
      </w:pPr>
      <w:r>
        <w:t xml:space="preserve">59.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1"/>
    <w:bookmarkStart w:id="112" w:name="ref-anderson-teixeira_ctfsforestgeo_2015"/>
    <w:p>
      <w:pPr>
        <w:pStyle w:val="Bibliography"/>
      </w:pPr>
      <w:r>
        <w:t xml:space="preserve">60.</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2"/>
    <w:bookmarkStart w:id="113" w:name="ref-davies_forestgeo_2021"/>
    <w:p>
      <w:pPr>
        <w:pStyle w:val="Bibliography"/>
      </w:pPr>
      <w:r>
        <w:t xml:space="preserve">61.</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3"/>
    <w:bookmarkStart w:id="114" w:name="ref-herrmann_tree_2016"/>
    <w:p>
      <w:pPr>
        <w:pStyle w:val="Bibliography"/>
      </w:pPr>
      <w:r>
        <w:t xml:space="preserve">62.</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4"/>
    <w:bookmarkStart w:id="116" w:name="ref-friedl_mcd12q2_2019"/>
    <w:p>
      <w:pPr>
        <w:pStyle w:val="Bibliography"/>
      </w:pPr>
      <w:r>
        <w:t xml:space="preserve">63.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5">
        <w:r>
          <w:rPr>
            <w:rStyle w:val="Hyperlink"/>
          </w:rPr>
          <w:t xml:space="preserve">10.5067/MODIS/MCD12Q2.006</w:t>
        </w:r>
      </w:hyperlink>
      <w:r>
        <w:t xml:space="preserve">.</w:t>
      </w:r>
    </w:p>
    <w:bookmarkEnd w:id="116"/>
    <w:bookmarkStart w:id="118" w:name="ref-anderson-teixeira_forestgeo_2020"/>
    <w:p>
      <w:pPr>
        <w:pStyle w:val="Bibliography"/>
      </w:pPr>
      <w:r>
        <w:t xml:space="preserve">64.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7">
        <w:r>
          <w:rPr>
            <w:rStyle w:val="Hyperlink"/>
          </w:rPr>
          <w:t xml:space="preserve">10.5281/ZENODO.4041609</w:t>
        </w:r>
      </w:hyperlink>
      <w:r>
        <w:t xml:space="preserve">.</w:t>
      </w:r>
    </w:p>
    <w:bookmarkEnd w:id="118"/>
    <w:bookmarkStart w:id="119" w:name="ref-benestad_empiricalstatistical_2008"/>
    <w:p>
      <w:pPr>
        <w:pStyle w:val="Bibliography"/>
      </w:pPr>
      <w:r>
        <w:t xml:space="preserve">65.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9"/>
    <w:bookmarkStart w:id="121" w:name="ref-boose_shaler_2021"/>
    <w:p>
      <w:pPr>
        <w:pStyle w:val="Bibliography"/>
      </w:pPr>
      <w:r>
        <w:t xml:space="preserve">66.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0">
        <w:r>
          <w:rPr>
            <w:rStyle w:val="Hyperlink"/>
          </w:rPr>
          <w:t xml:space="preserve">10.6073/PASTA/213335F5DAA17222A738C105B9FA60C4</w:t>
        </w:r>
      </w:hyperlink>
      <w:r>
        <w:t xml:space="preserve">.</w:t>
      </w:r>
    </w:p>
    <w:bookmarkEnd w:id="121"/>
    <w:bookmarkStart w:id="123" w:name="ref-boose_fisher_2021"/>
    <w:p>
      <w:pPr>
        <w:pStyle w:val="Bibliography"/>
      </w:pPr>
      <w:r>
        <w:t xml:space="preserve">67.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2">
        <w:r>
          <w:rPr>
            <w:rStyle w:val="Hyperlink"/>
          </w:rPr>
          <w:t xml:space="preserve">10.6073/PASTA/69E92642B512897032446CFE795CFFB8</w:t>
        </w:r>
      </w:hyperlink>
      <w:r>
        <w:t xml:space="preserve">.</w:t>
      </w:r>
    </w:p>
    <w:bookmarkEnd w:id="123"/>
    <w:bookmarkStart w:id="124" w:name="ref-vandepol_identifying_2016"/>
    <w:p>
      <w:pPr>
        <w:pStyle w:val="Bibliography"/>
      </w:pPr>
      <w:r>
        <w:t xml:space="preserve">68.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4"/>
    <w:bookmarkStart w:id="125" w:name="ref-gabry_rstanarm_2020"/>
    <w:p>
      <w:pPr>
        <w:pStyle w:val="Bibliography"/>
      </w:pPr>
      <w:r>
        <w:t xml:space="preserve">69.</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5"/>
    <w:bookmarkStart w:id="126" w:name="ref-stan_development_team_stan_2019"/>
    <w:p>
      <w:pPr>
        <w:pStyle w:val="Bibliography"/>
      </w:pPr>
      <w:r>
        <w:t xml:space="preserve">70.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6"/>
    <w:bookmarkStart w:id="127" w:name="ref-vicente-serrano_multiscalar_2010"/>
    <w:p>
      <w:pPr>
        <w:pStyle w:val="Bibliography"/>
      </w:pPr>
      <w:r>
        <w:t xml:space="preserve">71.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begueria_standardized_2014"/>
    <w:p>
      <w:pPr>
        <w:pStyle w:val="Bibliography"/>
      </w:pPr>
      <w:r>
        <w:t xml:space="preserve">72.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8"/>
    <w:bookmarkStart w:id="129" w:name="ref-vicente-serrano_multiscalar_2010a"/>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stokes_introduction_1968"/>
    <w:p>
      <w:pPr>
        <w:pStyle w:val="Bibliography"/>
      </w:pPr>
      <w:r>
        <w:t xml:space="preserve">74.</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alexander_potential_2019"/>
    <w:p>
      <w:pPr>
        <w:pStyle w:val="Bibliography"/>
      </w:pPr>
      <w:r>
        <w:t xml:space="preserve">75.</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1"/>
    <w:bookmarkStart w:id="132" w:name="ref-dye_comparing_2016"/>
    <w:p>
      <w:pPr>
        <w:pStyle w:val="Bibliography"/>
      </w:pPr>
      <w:r>
        <w:t xml:space="preserve">76.</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2"/>
    <w:bookmarkStart w:id="133" w:name="ref-maxwell_sampling_2020"/>
    <w:p>
      <w:pPr>
        <w:pStyle w:val="Bibliography"/>
      </w:pPr>
      <w:r>
        <w:t xml:space="preserve">77.</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3"/>
    <w:bookmarkStart w:id="135" w:name="ref-cook_methods_1990"/>
    <w:p>
      <w:pPr>
        <w:pStyle w:val="Bibliography"/>
      </w:pPr>
      <w:r>
        <w:t xml:space="preserve">78.</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4">
        <w:r>
          <w:rPr>
            <w:rStyle w:val="Hyperlink"/>
          </w:rPr>
          <w:t xml:space="preserve">10.1007/978-94-015-7879-0</w:t>
        </w:r>
      </w:hyperlink>
      <w:r>
        <w:t xml:space="preserve">.</w:t>
      </w:r>
    </w:p>
    <w:bookmarkEnd w:id="135"/>
    <w:bookmarkStart w:id="136" w:name="ref-cook_time_1985"/>
    <w:p>
      <w:pPr>
        <w:pStyle w:val="Bibliography"/>
      </w:pPr>
      <w:r>
        <w:t xml:space="preserve">79.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6"/>
    <w:bookmarkStart w:id="137" w:name="ref-cook_calculating_1997"/>
    <w:p>
      <w:pPr>
        <w:pStyle w:val="Bibliography"/>
      </w:pPr>
      <w:r>
        <w:t xml:space="preserve">80.</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7"/>
    <w:bookmarkStart w:id="138" w:name="ref-jones_estimating_1997"/>
    <w:p>
      <w:pPr>
        <w:pStyle w:val="Bibliography"/>
      </w:pPr>
      <w:r>
        <w:t xml:space="preserve">81.</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8"/>
    <w:bookmarkStart w:id="139" w:name="ref-harris_version_2020"/>
    <w:p>
      <w:pPr>
        <w:pStyle w:val="Bibliography"/>
      </w:pPr>
      <w:r>
        <w:t xml:space="preserve">82.</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9"/>
    <w:bookmarkStart w:id="140" w:name="ref-bunn_dendrochronology_2008"/>
    <w:p>
      <w:pPr>
        <w:pStyle w:val="Bibliography"/>
      </w:pPr>
      <w:r>
        <w:t xml:space="preserve">83.</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0"/>
    <w:bookmarkStart w:id="141" w:name="ref-zang_dendroclimatic_2013"/>
    <w:p>
      <w:pPr>
        <w:pStyle w:val="Bibliography"/>
      </w:pPr>
      <w:r>
        <w:t xml:space="preserve">84.</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1"/>
    <w:bookmarkStart w:id="142" w:name="ref-biondi_dendroclim2002_2004"/>
    <w:p>
      <w:pPr>
        <w:pStyle w:val="Bibliography"/>
      </w:pPr>
      <w:r>
        <w:t xml:space="preserve">85.</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2"/>
    <w:bookmarkEnd w:id="143"/>
    <w:bookmarkEnd w:id="144"/>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4"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4"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2022-02-24T20:58:53Z</dcterms:created>
  <dcterms:modified xsi:type="dcterms:W3CDTF">2022-02-24T20:58:53Z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