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net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(GPP) and net CO</w:t>
      </w:r>
      <w:r>
        <w:rPr>
          <w:vertAlign w:val="subscript"/>
        </w:rPr>
        <w:t xml:space="preserve">2</w:t>
      </w:r>
      <w:r>
        <w:t xml:space="preserve"> </w:t>
      </w:r>
      <w:r>
        <w:t xml:space="preserve">uptake (i.e., net ecosystem exchange, NEE)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(ANPP</w:t>
      </w:r>
      <w:r>
        <w:rPr>
          <w:vertAlign w:val="subscript"/>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 ANPP</w:t>
      </w:r>
      <w:r>
        <w:rPr>
          <w:vertAlign w:val="subscript"/>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 ANPP</w:t>
      </w:r>
      <w:r>
        <w:rPr>
          <w:vertAlign w:val="subscript"/>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 GPP</w:t>
      </w:r>
      <w:r>
        <w:rPr>
          <w:vertAlign w:val="superscript"/>
        </w:rPr>
        <w:t xml:space="preserve">21</w:t>
      </w:r>
      <w:r>
        <w:t xml:space="preserve">, or 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m:oMath>
        <m:r>
          <m:t>Δ</m:t>
        </m:r>
        <m:r>
          <m:t>D</m:t>
        </m:r>
        <m:r>
          <m:t>B</m:t>
        </m:r>
        <m:r>
          <m:t>H</m:t>
        </m:r>
      </m:oMath>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 Extended Data Figures 4-5).</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(CTW).</w:t>
      </w:r>
      <w:r>
        <w:t xml:space="preserve"> </w:t>
      </w:r>
      <w:r>
        <w:t xml:space="preserve">CTW 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3).</w:t>
      </w:r>
      <w:r>
        <w:t xml:space="preserve"> </w:t>
      </w:r>
      <w:r>
        <w:t xml:space="preserve">The CTW 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 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w:t>
      </w:r>
      <m:oMath>
        <m:sSup>
          <m:e>
            <m:r>
              <m:t>​</m:t>
            </m:r>
          </m:e>
          <m:sup>
            <m:r>
              <m:rPr>
                <m:sty m:val="p"/>
              </m:rPr>
              <m:t>∘</m:t>
            </m:r>
          </m:sup>
        </m:sSup>
      </m:oMath>
      <w:r>
        <w:t xml:space="preserve">C at SCBI (p=0.016) and 2.4 days/</w:t>
      </w:r>
      <w:r>
        <w:t xml:space="preserve"> </w:t>
      </w:r>
      <m:oMath>
        <m:sSup>
          <m:e>
            <m:r>
              <m:t>​</m:t>
            </m:r>
          </m:e>
          <m:sup>
            <m:r>
              <m:rPr>
                <m:sty m:val="p"/>
              </m:rPr>
              <m:t>∘</m:t>
            </m:r>
          </m:sup>
        </m:sSup>
      </m:oMath>
      <w:r>
        <w:t xml:space="preserve">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 CTW</w:t>
      </w:r>
      <w:r>
        <w:t xml:space="preserve"> </w:t>
      </w:r>
      <w:r>
        <w:rPr>
          <w:iCs/>
          <w:i/>
        </w:rPr>
        <w:t xml:space="preserve">T</w:t>
      </w:r>
      <w:r>
        <w:rPr>
          <w:vertAlign w:val="subscript"/>
          <w:iCs/>
          <w:i/>
        </w:rPr>
        <w:t xml:space="preserve">max</w:t>
      </w:r>
      <w:r>
        <w:t xml:space="preserve"> </w:t>
      </w:r>
      <w:r>
        <w:t xml:space="preserve">(Figs. 1, 2c-d; Extended Data Figures 4-5).</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w:t>
      </w:r>
      <w:r>
        <w:t xml:space="preserve"> </w:t>
      </w:r>
      <m:oMath>
        <m:sSup>
          <m:e>
            <m:r>
              <m:t>​</m:t>
            </m:r>
          </m:e>
          <m:sup>
            <m:r>
              <m:rPr>
                <m:sty m:val="p"/>
              </m:rPr>
              <m:t>∘</m:t>
            </m:r>
          </m:sup>
        </m:sSup>
      </m:oMath>
      <w:r>
        <w:t xml:space="preserve">C for ring porous species and 2.8-2.9 days/</w:t>
      </w:r>
      <w:r>
        <w:t xml:space="preserve"> </w:t>
      </w:r>
      <m:oMath>
        <m:sSup>
          <m:e>
            <m:r>
              <m:t>​</m:t>
            </m:r>
          </m:e>
          <m:sup>
            <m:r>
              <m:rPr>
                <m:sty m:val="p"/>
              </m:rPr>
              <m:t>∘</m:t>
            </m:r>
          </m:sup>
        </m:sSup>
      </m:oMath>
      <w:r>
        <w:t xml:space="preserve">C for diffuse porous species at SCBI, and 10.3-12.3 days/</w:t>
      </w:r>
      <w:r>
        <w:t xml:space="preserve"> </w:t>
      </w:r>
      <m:oMath>
        <m:sSup>
          <m:e>
            <m:r>
              <m:t>​</m:t>
            </m:r>
          </m:e>
          <m:sup>
            <m:r>
              <m:rPr>
                <m:sty m:val="p"/>
              </m:rPr>
              <m:t>∘</m:t>
            </m:r>
          </m:sup>
        </m:sSup>
      </m:oMath>
      <w:r>
        <w:t xml:space="preserve">C for ring porous species and 0.9-4.2 days/</w:t>
      </w:r>
      <w:r>
        <w:t xml:space="preserve"> </w:t>
      </w:r>
      <m:oMath>
        <m:sSup>
          <m:e>
            <m:r>
              <m:t>​</m:t>
            </m:r>
          </m:e>
          <m:sup>
            <m:r>
              <m:rPr>
                <m:sty m:val="p"/>
              </m:rPr>
              <m:t>∘</m:t>
            </m:r>
          </m:sup>
        </m:sSup>
      </m:oMath>
      <w:r>
        <w:t xml:space="preserve">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4-5).</w:t>
      </w:r>
    </w:p>
    <w:p>
      <w:pPr>
        <w:pStyle w:val="BodyText"/>
      </w:pPr>
      <w:r>
        <w:t xml:space="preserve">In contrast to the pronounced effects of 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m:oMath>
        <m:r>
          <m:t>Δ</m:t>
        </m:r>
        <m:r>
          <m:t>D</m:t>
        </m:r>
        <m:r>
          <m:t>B</m:t>
        </m:r>
        <m:r>
          <m:t>H</m:t>
        </m:r>
      </m:oMath>
      <w:r>
        <w:t xml:space="preserve"> </w:t>
      </w:r>
      <w:r>
        <w:t xml:space="preserve">were inconsistent, and usually weak (Fig. 1, Extended Data Figures 4-5).</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 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m:oMath>
        <m:r>
          <m:t>Δ</m:t>
        </m:r>
        <m:r>
          <m:t>D</m:t>
        </m:r>
        <m:r>
          <m:t>B</m:t>
        </m:r>
        <m:r>
          <m:t>H</m:t>
        </m:r>
      </m:oMath>
      <w:r>
        <w:t xml:space="preserve"> </w:t>
      </w:r>
      <w:r>
        <w:t xml:space="preserve">displayed a weak positive relationship (+0.003-0.008 cm/</w:t>
      </w:r>
      <w:r>
        <w:t xml:space="preserve"> </w:t>
      </w:r>
      <m:oMath>
        <m:sSup>
          <m:e>
            <m:r>
              <m:t>​</m:t>
            </m:r>
          </m:e>
          <m:sup>
            <m:r>
              <m:rPr>
                <m:sty m:val="p"/>
              </m:rPr>
              <m:t>∘</m:t>
            </m:r>
          </m:sup>
        </m:sSup>
      </m:oMath>
      <w:r>
        <w:t xml:space="preserve">C) with CTW</w:t>
      </w:r>
      <w:r>
        <w:t xml:space="preserve"> </w:t>
      </w:r>
      <w:r>
        <w:rPr>
          <w:iCs/>
          <w:i/>
        </w:rPr>
        <w:t xml:space="preserve">T</w:t>
      </w:r>
      <w:r>
        <w:rPr>
          <w:vertAlign w:val="subscript"/>
          <w:iCs/>
          <w:i/>
        </w:rPr>
        <w:t xml:space="preserve">max</w:t>
      </w:r>
      <w:r>
        <w:t xml:space="preserve"> </w:t>
      </w:r>
      <w:r>
        <w:t xml:space="preserve">at SCBI and a weak negative relationship (-0.02-0.003 cm/</w:t>
      </w:r>
      <w:r>
        <w:t xml:space="preserve"> </w:t>
      </w:r>
      <m:oMath>
        <m:sSup>
          <m:e>
            <m:r>
              <m:t>​</m:t>
            </m:r>
          </m:e>
          <m:sup>
            <m:r>
              <m:rPr>
                <m:sty m:val="p"/>
              </m:rPr>
              <m:t>∘</m:t>
            </m:r>
          </m:sup>
        </m:sSup>
      </m:oMath>
      <w:r>
        <w:t xml:space="preserve">C) at Harvard Forest (Extended Data Figure 4).</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1; Extended Data Table 3).</w:t>
      </w:r>
      <w:r>
        <w:t xml:space="preserve"> </w:t>
      </w:r>
      <w:r>
        <w:t xml:space="preserve">In total, our analysis included 207 chronologies representing 24 broadleaf species at 108 sites distributed from Alabama (34.35</w:t>
      </w:r>
      <m:oMath>
        <m:sSup>
          <m:e>
            <m:r>
              <m:t>​</m:t>
            </m:r>
          </m:e>
          <m:sup>
            <m:r>
              <m:rPr>
                <m:sty m:val="p"/>
              </m:rPr>
              <m:t>∘</m:t>
            </m:r>
          </m:sup>
        </m:sSup>
      </m:oMath>
      <w:r>
        <w:t xml:space="preserve">N latitude) to Michigan (45.56</w:t>
      </w:r>
      <m:oMath>
        <m:sSup>
          <m:e>
            <m:r>
              <m:t>​</m:t>
            </m:r>
          </m:e>
          <m:sup>
            <m:r>
              <m:rPr>
                <m:sty m:val="p"/>
              </m:rPr>
              <m:t>∘</m:t>
            </m:r>
          </m:sup>
        </m:sSup>
      </m:oMath>
      <w:r>
        <w:t xml:space="preserve">N latitude) and spanning a 15</w:t>
      </w:r>
      <w:r>
        <w:t xml:space="preserve"> </w:t>
      </w:r>
      <m:oMath>
        <m:sSup>
          <m:e>
            <m:r>
              <m:t>​</m:t>
            </m:r>
          </m:e>
          <m:sup>
            <m:r>
              <m:rPr>
                <m:sty m:val="p"/>
              </m:rPr>
              <m:t>∘</m:t>
            </m:r>
          </m:sup>
        </m:sSup>
      </m:oMath>
      <w:r>
        <w:t xml:space="preserve">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(RWI)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 RWI 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 RWI (Extended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 RWI 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 RWI 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 RWI.</w:t>
      </w:r>
      <w:r>
        <w:t xml:space="preserve"> </w:t>
      </w:r>
      <w:r>
        <w:t xml:space="preserve">Results were qualitatively similar to the univariate correlations (Fig. 3), with significant (p</w:t>
      </w:r>
      <w:r>
        <w:t xml:space="preserve"> </w:t>
      </w:r>
      <m:oMath>
        <m:r>
          <m:rPr>
            <m:sty m:val="p"/>
          </m:rPr>
          <m:t>≤</m:t>
        </m:r>
      </m:oMath>
      <w:r>
        <w:t xml:space="preserve"> </w:t>
      </w:r>
      <w:r>
        <w:t xml:space="preserve">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 NEE</w:t>
      </w:r>
      <w:r>
        <w:rPr>
          <w:vertAlign w:val="superscript"/>
        </w:rPr>
        <w:t xml:space="preserve">1,3</w:t>
      </w:r>
      <w:r>
        <w:t xml:space="preserve">.</w:t>
      </w:r>
      <w:r>
        <w:t xml:space="preserve"> </w:t>
      </w:r>
      <w:r>
        <w:t xml:space="preserve">However, inconsistent with the concept that an earlier start to growth would increase ANPP</w:t>
      </w:r>
      <w:r>
        <w:rPr>
          <w:vertAlign w:val="subscript"/>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2)</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 ANPP</w:t>
      </w:r>
      <w:r>
        <w:rPr>
          <w:vertAlign w:val="subscript"/>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 ANPP</w:t>
      </w:r>
      <w:r>
        <w:rPr>
          <w:vertAlign w:val="subscript"/>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 GPP of a mature forest was increased through experimental CO</w:t>
      </w:r>
      <w:r>
        <w:rPr>
          <w:vertAlign w:val="subscript"/>
        </w:rPr>
        <w:t xml:space="preserve">2</w:t>
      </w:r>
      <w:r>
        <w:t xml:space="preserve"> </w:t>
      </w:r>
      <w:r>
        <w:t xml:space="preserve">enrichment, ANPP</w:t>
      </w:r>
      <w:r>
        <w:rPr>
          <w:vertAlign w:val="subscript"/>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 NEE 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 ANPP</w:t>
      </w:r>
      <w:r>
        <w:rPr>
          <w:vertAlign w:val="subscript"/>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 ANPP</w:t>
      </w:r>
      <w:r>
        <w:rPr>
          <w:vertAlign w:val="subscript"/>
        </w:rPr>
        <w:t xml:space="preserve">woody</w:t>
      </w:r>
      <w:r>
        <w:rPr>
          <w:vertAlign w:val="superscript"/>
        </w:rPr>
        <w:t xml:space="preserve">45</w:t>
      </w:r>
      <w:r>
        <w:t xml:space="preserve">, and 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 GPP and ANPP</w:t>
      </w:r>
      <w:r>
        <w:rPr>
          <w:vertAlign w:val="subscript"/>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 ANPP</w:t>
      </w:r>
      <w:r>
        <w:rPr>
          <w:vertAlign w:val="subscript"/>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2)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w:t>
      </w:r>
      <m:oMath>
        <m:r>
          <m:rPr>
            <m:sty m:val="p"/>
          </m:rPr>
          <m:t>±</m:t>
        </m:r>
      </m:oMath>
      <w:r>
        <w:t xml:space="preserve"> </w:t>
      </w:r>
      <w:r>
        <w:t xml:space="preserve">1.4°C (mean</w:t>
      </w:r>
      <w:r>
        <w:t xml:space="preserve"> </w:t>
      </w:r>
      <m:oMath>
        <m:r>
          <m:rPr>
            <m:sty m:val="p"/>
          </m:rPr>
          <m:t>±</m:t>
        </m:r>
      </m:oMath>
      <w:r>
        <w:t xml:space="preserve"> </w:t>
      </w:r>
      <w:r>
        <w:t xml:space="preserve">1SD) prior to the study period (range: 14.1-19.9) and 17.6</w:t>
      </w:r>
      <m:oMath>
        <m:r>
          <m:rPr>
            <m:sty m:val="p"/>
          </m:rPr>
          <m:t>±</m:t>
        </m:r>
      </m:oMath>
      <w:r>
        <w:t xml:space="preserve"> </w:t>
      </w:r>
      <w:r>
        <w:t xml:space="preserve">1.7°C (range: 15.6-20) during the study period, while summer SPEI was -0.06</w:t>
      </w:r>
      <m:oMath>
        <m:r>
          <m:rPr>
            <m:sty m:val="p"/>
          </m:rPr>
          <m:t>±</m:t>
        </m:r>
      </m:oMath>
      <w:r>
        <w:t xml:space="preserve"> </w:t>
      </w:r>
      <w:r>
        <w:t xml:space="preserve">1.02 (range: -1.7-2.4) prior to the study period and 0.5</w:t>
      </w:r>
      <m:oMath>
        <m:r>
          <m:rPr>
            <m:sty m:val="p"/>
          </m:rPr>
          <m:t>±</m:t>
        </m:r>
      </m:oMath>
      <w:r>
        <w:t xml:space="preserve"> </w:t>
      </w:r>
      <w:r>
        <w:t xml:space="preserve">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w:t>
      </w:r>
      <m:oMath>
        <m:r>
          <m:rPr>
            <m:sty m:val="p"/>
          </m:rPr>
          <m:t>±</m:t>
        </m:r>
      </m:oMath>
      <w:r>
        <w:t xml:space="preserve"> </w:t>
      </w:r>
      <w:r>
        <w:t xml:space="preserve">1.5°C prior to the study period (range: 8.0-13.2) and 11.2</w:t>
      </w:r>
      <m:oMath>
        <m:r>
          <m:rPr>
            <m:sty m:val="p"/>
          </m:rPr>
          <m:t>±</m:t>
        </m:r>
      </m:oMath>
      <w:r>
        <w:t xml:space="preserve"> </w:t>
      </w:r>
      <w:r>
        <w:t xml:space="preserve">1.0°C (range: 10.1-12.2) during the study period, while summer SPEI was 0.1</w:t>
      </w:r>
      <m:oMath>
        <m:r>
          <m:rPr>
            <m:sty m:val="p"/>
          </m:rPr>
          <m:t>±</m:t>
        </m:r>
      </m:oMath>
      <w:r>
        <w:t xml:space="preserve"> </w:t>
      </w:r>
      <w:r>
        <w:t xml:space="preserve">0.9 (range: -1.8-1.7) prior to the study period and 0.2</w:t>
      </w:r>
      <m:oMath>
        <m:r>
          <m:rPr>
            <m:sty m:val="p"/>
          </m:rPr>
          <m:t>±</m:t>
        </m:r>
      </m:oMath>
      <w:r>
        <w:t xml:space="preserve"> </w:t>
      </w:r>
      <w:r>
        <w:t xml:space="preserve">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m:oMath>
        <m:r>
          <m:t>Δ</m:t>
        </m:r>
        <m:r>
          <m:t>D</m:t>
        </m:r>
        <m:r>
          <m:t>B</m:t>
        </m:r>
        <m:r>
          <m:t>H</m:t>
        </m:r>
      </m:oMath>
      <w:r>
        <w:t xml:space="preserve"> </w:t>
      </w:r>
      <m:oMath>
        <m:r>
          <m:rPr>
            <m:sty m:val="p"/>
          </m:rPr>
          <m:t>≤</m:t>
        </m:r>
        <m:r>
          <m:t>0.005</m:t>
        </m:r>
      </m:oMath>
      <w:r>
        <w:t xml:space="preserve"> </w:t>
      </w:r>
      <w:r>
        <w:t xml:space="preserve">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m:oMath>
        <m:r>
          <m:t>L</m:t>
        </m:r>
      </m:oMath>
      <w:r>
        <w:t xml:space="preserve"> </w:t>
      </w:r>
      <w:r>
        <w:t xml:space="preserve">and</w:t>
      </w:r>
      <w:r>
        <w:t xml:space="preserve"> </w:t>
      </w:r>
      <m:oMath>
        <m:r>
          <m:t>K</m:t>
        </m:r>
      </m:oMath>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m:oMath>
        <m:r>
          <m:t>r</m:t>
        </m:r>
      </m:oMath>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m:oMath>
        <m:r>
          <m:t>a</m:t>
        </m:r>
      </m:oMath>
      <w:r>
        <w:t xml:space="preserve"> </w:t>
      </w:r>
      <w:r>
        <w:t xml:space="preserve">and</w:t>
      </w:r>
      <w:r>
        <w:t xml:space="preserve"> </w:t>
      </w:r>
      <m:oMath>
        <m:r>
          <m:t>b</m:t>
        </m:r>
      </m:oMath>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w:t>
      </w:r>
      <w:r>
        <w:t xml:space="preserve"> </w:t>
      </w:r>
      <m:oMath>
        <m:r>
          <m:rPr>
            <m:sty m:val="p"/>
          </m:rPr>
          <m:t>≥</m:t>
        </m:r>
        <m:r>
          <m:t>2.5</m:t>
        </m:r>
      </m:oMath>
      <w:r>
        <w:t xml:space="preserve"> </w:t>
      </w:r>
      <w:r>
        <w:t xml:space="preserve">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w:t>
      </w:r>
      <w:r>
        <w:t xml:space="preserve"> </w:t>
      </w:r>
      <m:oMath>
        <m:r>
          <m:rPr>
            <m:sty m:val="p"/>
          </m:rPr>
          <m:t>≥</m:t>
        </m:r>
        <m:r>
          <m:t>2.5</m:t>
        </m:r>
      </m:oMath>
      <w:r>
        <w:t xml:space="preserve"> </w:t>
      </w:r>
      <w:r>
        <w:t xml:space="preserve">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(CTW,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m:oMath>
        <m:r>
          <m:t>Δ</m:t>
        </m:r>
        <m:r>
          <m:t>A</m:t>
        </m:r>
        <m:r>
          <m:t>I</m:t>
        </m:r>
        <m:r>
          <m:t>C</m:t>
        </m:r>
        <m:r>
          <m:t>c</m:t>
        </m:r>
      </m:oMath>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m:oMath>
        <m:r>
          <m:t>Δ</m:t>
        </m:r>
        <m:r>
          <m:t>A</m:t>
        </m:r>
        <m:r>
          <m:t>I</m:t>
        </m:r>
        <m:r>
          <m:t>C</m:t>
        </m:r>
        <m:r>
          <m:t>c</m:t>
        </m:r>
      </m:oMath>
      <w:r>
        <w:t xml:space="preserve"> </w:t>
      </w:r>
      <w:r>
        <w:t xml:space="preserve">was selected as the CTW.</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 CTW 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 CTW, and to parallel the monthly time windows used in our tree-ring analysis (detailed below; Fig. 3, Extended Data Figure 6-7), we also ran analyses where we fixed the CTW identified by</w:t>
      </w:r>
      <w:r>
        <w:t xml:space="preserve"> </w:t>
      </w:r>
      <w:r>
        <w:rPr>
          <w:iCs/>
          <w:i/>
        </w:rPr>
        <w:t xml:space="preserve">climwin</w:t>
      </w:r>
      <w:r>
        <w:t xml:space="preserve"> </w:t>
      </w:r>
      <w:r>
        <w:t xml:space="preserve">to be the month with the most days in the CTW (Extended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m:oMath>
        <m:r>
          <m:t>Δ</m:t>
        </m:r>
        <m:r>
          <m:t>D</m:t>
        </m:r>
        <m:r>
          <m:t>B</m:t>
        </m:r>
        <m:r>
          <m:t>H</m:t>
        </m:r>
      </m:oMath>
      <w:r>
        <w:t xml:space="preserve">, Fig. 1) and 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 CTW,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 RWI 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(RWI)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w:t>
      </w:r>
      <w:r>
        <w:t xml:space="preserve"> </w:t>
      </w:r>
      <m:oMath>
        <m:r>
          <m:rPr>
            <m:sty m:val="p"/>
          </m:rPr>
          <m:t>≥</m:t>
        </m:r>
      </m:oMath>
      <w:r>
        <w:t xml:space="preserve"> </w:t>
      </w:r>
      <w:r>
        <w:t xml:space="preserve">80% of the population signal was captured in the chronology.</w:t>
      </w:r>
    </w:p>
    <w:p>
      <w:pPr>
        <w:pStyle w:val="BodyText"/>
      </w:pPr>
      <w:r>
        <w:t xml:space="preserve">For the analysis of correlation between RWI 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 RWI 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w:t>
      </w:r>
      <w:r>
        <w:t xml:space="preserve">to assess correlations, provide bootstrapped confidence intervals for these relationships, and create summary figures (Fig. 3, Extended Data Figures 6-7).</w:t>
      </w:r>
      <w:r>
        <w:t xml:space="preserve"> </w:t>
      </w:r>
      <w:r>
        <w:t xml:space="preserve">Our analysis focused on assessing correlations of RWI 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 RWI.</w:t>
      </w:r>
      <w:r>
        <w:t xml:space="preserve"> </w:t>
      </w:r>
      <w:r>
        <w:t xml:space="preserve">We focused on April to represent spring temperatures because it was the month with greatest overall alignment with the CTW’s identified in the dendrometer band analysis and had the highest rate of positive correlations with RWI (Extended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 RWI 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members of the ForestGEO Ecosystems &amp; Climate Lab at SCBI, and four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143"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w:t>
      </w:r>
      <w:r>
        <w:t xml:space="preserve"> </w:t>
      </w:r>
      <m:oMath>
        <m:sSup>
          <m:e>
            <m:r>
              <m:t>​</m:t>
            </m:r>
          </m:e>
          <m:sup>
            <m:r>
              <m:rPr>
                <m:sty m:val="p"/>
              </m:rPr>
              <m:t>∘</m:t>
            </m:r>
          </m:sup>
        </m:sSup>
      </m:oMath>
      <w:r>
        <w:t xml:space="preserve">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4.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(CTW), then turned into a ratio and assigned a color on a gradient where the coldest year in the sample is blue and the warmest is red. Leaf phenology years are colored according to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correlation between monthly</w:t>
      </w:r>
      <w:r>
        <w:t xml:space="preserve"> </w:t>
      </w:r>
      <w:r>
        <w:rPr>
          <w:iCs/>
          <w:i/>
        </w:rPr>
        <w:t xml:space="preserve">T</w:t>
      </w:r>
      <w:r>
        <w:rPr>
          <w:vertAlign w:val="subscript"/>
          <w:iCs/>
          <w:i/>
        </w:rPr>
        <w:t xml:space="preserve">max</w:t>
      </w:r>
      <w:r>
        <w:t xml:space="preserve"> </w:t>
      </w:r>
      <w:r>
        <w:t xml:space="preserve">and a dimensionless ring width index (RWI)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2" w:name="refs"/>
    <w:bookmarkStart w:id="55"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5"/>
    <w:bookmarkStart w:id="56"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6"/>
    <w:bookmarkStart w:id="57"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7"/>
    <w:bookmarkStart w:id="58"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8"/>
    <w:bookmarkStart w:id="59"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59"/>
    <w:bookmarkStart w:id="60"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0"/>
    <w:bookmarkStart w:id="61"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1"/>
    <w:bookmarkStart w:id="62"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2"/>
    <w:bookmarkStart w:id="63"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3"/>
    <w:bookmarkStart w:id="64"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4"/>
    <w:bookmarkStart w:id="65"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5"/>
    <w:bookmarkStart w:id="66"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6"/>
    <w:bookmarkStart w:id="68"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7">
        <w:r>
          <w:rPr>
            <w:rStyle w:val="Hyperlink"/>
          </w:rPr>
          <w:t xml:space="preserve">10.1038/s41558-020-00976-6</w:t>
        </w:r>
      </w:hyperlink>
      <w:r>
        <w:t xml:space="preserve">.</w:t>
      </w:r>
    </w:p>
    <w:bookmarkEnd w:id="68"/>
    <w:bookmarkStart w:id="69"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69"/>
    <w:bookmarkStart w:id="70"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0"/>
    <w:bookmarkStart w:id="71"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1"/>
    <w:bookmarkStart w:id="72"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2"/>
    <w:bookmarkStart w:id="73"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3"/>
    <w:bookmarkStart w:id="74"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4"/>
    <w:bookmarkStart w:id="75"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5"/>
    <w:bookmarkStart w:id="76"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6"/>
    <w:bookmarkStart w:id="77"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7"/>
    <w:bookmarkStart w:id="78"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8"/>
    <w:bookmarkStart w:id="79"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79"/>
    <w:bookmarkStart w:id="81"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0">
        <w:r>
          <w:rPr>
            <w:rStyle w:val="Hyperlink"/>
          </w:rPr>
          <w:t xml:space="preserve">10.1038/s41559-022-01668-4</w:t>
        </w:r>
      </w:hyperlink>
      <w:r>
        <w:t xml:space="preserve">.</w:t>
      </w:r>
    </w:p>
    <w:bookmarkEnd w:id="81"/>
    <w:bookmarkStart w:id="82"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2"/>
    <w:bookmarkStart w:id="83"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3"/>
    <w:bookmarkStart w:id="84"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4"/>
    <w:bookmarkStart w:id="85"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5"/>
    <w:bookmarkStart w:id="86"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6"/>
    <w:bookmarkStart w:id="87"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87"/>
    <w:bookmarkStart w:id="88"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8"/>
    <w:bookmarkStart w:id="89"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89"/>
    <w:bookmarkStart w:id="90"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0"/>
    <w:bookmarkStart w:id="91"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1"/>
    <w:bookmarkStart w:id="92"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2"/>
    <w:bookmarkStart w:id="93"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3"/>
    <w:bookmarkStart w:id="94"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4"/>
    <w:bookmarkStart w:id="95"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5"/>
    <w:bookmarkStart w:id="9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6"/>
    <w:bookmarkStart w:id="97"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7"/>
    <w:bookmarkStart w:id="98"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8"/>
    <w:bookmarkStart w:id="100"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99">
        <w:r>
          <w:rPr>
            <w:rStyle w:val="Hyperlink"/>
          </w:rPr>
          <w:t xml:space="preserve">10.1073/pnas.2002713117</w:t>
        </w:r>
      </w:hyperlink>
      <w:r>
        <w:t xml:space="preserve">.</w:t>
      </w:r>
    </w:p>
    <w:bookmarkEnd w:id="100"/>
    <w:bookmarkStart w:id="101"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1"/>
    <w:bookmarkStart w:id="102"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2"/>
    <w:bookmarkStart w:id="103"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3"/>
    <w:bookmarkStart w:id="104"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4"/>
    <w:bookmarkStart w:id="105"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5"/>
    <w:bookmarkStart w:id="106"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6"/>
    <w:bookmarkStart w:id="107"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7"/>
    <w:bookmarkStart w:id="108"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8"/>
    <w:bookmarkStart w:id="109"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09"/>
    <w:bookmarkStart w:id="110"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0"/>
    <w:bookmarkStart w:id="111"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1"/>
    <w:bookmarkStart w:id="112"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2"/>
    <w:bookmarkStart w:id="113"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3"/>
    <w:bookmarkStart w:id="115"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4">
        <w:r>
          <w:rPr>
            <w:rStyle w:val="Hyperlink"/>
          </w:rPr>
          <w:t xml:space="preserve">10.5067/MODIS/MCD12Q2.006</w:t>
        </w:r>
      </w:hyperlink>
      <w:r>
        <w:t xml:space="preserve">.</w:t>
      </w:r>
    </w:p>
    <w:bookmarkEnd w:id="115"/>
    <w:bookmarkStart w:id="117"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6">
        <w:r>
          <w:rPr>
            <w:rStyle w:val="Hyperlink"/>
          </w:rPr>
          <w:t xml:space="preserve">10.5281/ZENODO.4041609</w:t>
        </w:r>
      </w:hyperlink>
      <w:r>
        <w:t xml:space="preserve">.</w:t>
      </w:r>
    </w:p>
    <w:bookmarkEnd w:id="117"/>
    <w:bookmarkStart w:id="118"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8"/>
    <w:bookmarkStart w:id="120"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19">
        <w:r>
          <w:rPr>
            <w:rStyle w:val="Hyperlink"/>
          </w:rPr>
          <w:t xml:space="preserve">10.6073/PASTA/213335F5DAA17222A738C105B9FA60C4</w:t>
        </w:r>
      </w:hyperlink>
      <w:r>
        <w:t xml:space="preserve">.</w:t>
      </w:r>
    </w:p>
    <w:bookmarkEnd w:id="120"/>
    <w:bookmarkStart w:id="122"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1">
        <w:r>
          <w:rPr>
            <w:rStyle w:val="Hyperlink"/>
          </w:rPr>
          <w:t xml:space="preserve">10.6073/PASTA/69E92642B512897032446CFE795CFFB8</w:t>
        </w:r>
      </w:hyperlink>
      <w:r>
        <w:t xml:space="preserve">.</w:t>
      </w:r>
    </w:p>
    <w:bookmarkEnd w:id="122"/>
    <w:bookmarkStart w:id="123"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3"/>
    <w:bookmarkStart w:id="124"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4"/>
    <w:bookmarkStart w:id="125"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5"/>
    <w:bookmarkStart w:id="126"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6"/>
    <w:bookmarkStart w:id="127"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7"/>
    <w:bookmarkStart w:id="128"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8"/>
    <w:bookmarkStart w:id="129"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29"/>
    <w:bookmarkStart w:id="130"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0"/>
    <w:bookmarkStart w:id="131"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1"/>
    <w:bookmarkStart w:id="132"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2"/>
    <w:bookmarkStart w:id="133"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3"/>
    <w:bookmarkStart w:id="135"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4">
        <w:r>
          <w:rPr>
            <w:rStyle w:val="Hyperlink"/>
          </w:rPr>
          <w:t xml:space="preserve">10.1007/978-94-015-7879-0</w:t>
        </w:r>
      </w:hyperlink>
      <w:r>
        <w:t xml:space="preserve">.</w:t>
      </w:r>
    </w:p>
    <w:bookmarkEnd w:id="135"/>
    <w:bookmarkStart w:id="136"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6"/>
    <w:bookmarkStart w:id="137"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7"/>
    <w:bookmarkStart w:id="13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8"/>
    <w:bookmarkStart w:id="13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39"/>
    <w:bookmarkStart w:id="140"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0"/>
    <w:bookmarkStart w:id="141"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1"/>
    <w:bookmarkEnd w:id="142"/>
    <w:bookmarkEnd w:id="143"/>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2022-05-16T17:10:11Z</dcterms:created>
  <dcterms:modified xsi:type="dcterms:W3CDTF">2022-05-16T17:10:11Z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