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28</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
        </w:rPr>
        <w:t xml:space="preserve">(This might be better as a table. Add to an existing one? May be able to add to mean_growth_parameters table)</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10,31,32</w:t>
      </w:r>
      <w:r>
        <w:t xml:space="preserve">, with delays more common across eastern North America,</w:t>
      </w:r>
      <w:r>
        <w:rPr>
          <w:vertAlign w:val="superscript"/>
        </w:rPr>
        <w:t xml:space="preserve">2–4</w:t>
      </w:r>
      <w:r>
        <w:t xml:space="preserve"> </w:t>
      </w:r>
      <w:r>
        <w:t xml:space="preserve">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
        </w:rPr>
        <w:t xml:space="preserve">REFS</w:t>
      </w:r>
      <w:r>
        <w:t xml:space="preserve">]</w:t>
      </w:r>
      <w:r>
        <w:t xml:space="preserve"> </w:t>
      </w:r>
      <w:r>
        <w:t xml:space="preserve"> </w:t>
      </w:r>
      <w:r>
        <w:t xml:space="preserve">and, on longer time scales, species adaptations and shifts are likely to alter forest composition[</w:t>
      </w:r>
      <w:r>
        <w:rPr>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9" w:name="content-to-incorporate-or-delete"/>
      <w:r>
        <w:t xml:space="preserve">3	content to incorporate or delete:</w:t>
      </w:r>
      <w:bookmarkEnd w:id="29"/>
    </w:p>
    <w:p>
      <w:pPr>
        <w:pStyle w:val="FirstParagraph"/>
      </w:pPr>
      <w:r>
        <w:t xml:space="preserve">38</w:t>
      </w:r>
    </w:p>
    <w:p>
      <w:pPr>
        <w:pStyle w:val="Heading1"/>
      </w:pPr>
      <w:bookmarkStart w:id="30" w:name="Methods"/>
      <w:r>
        <w:t xml:space="preserve">Methods</w:t>
      </w:r>
      <w:bookmarkEnd w:id="30"/>
    </w:p>
    <w:p>
      <w:pPr>
        <w:pStyle w:val="Heading2"/>
      </w:pPr>
      <w:bookmarkStart w:id="31" w:name="Dendrometer"/>
      <w:r>
        <w:t xml:space="preserve">Dendrometer band analysis</w:t>
      </w:r>
      <w:bookmarkEnd w:id="31"/>
    </w:p>
    <w:p>
      <w:pPr>
        <w:pStyle w:val="FirstParagraph"/>
      </w:pPr>
      <w:r>
        <w:t xml:space="preserve">Dendrometer band were collected at SCBI</w:t>
      </w:r>
      <w:r>
        <w:rPr>
          <w:vertAlign w:val="superscript"/>
        </w:rPr>
        <w:t xml:space="preserve">39</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40,41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39</w:t>
      </w:r>
      <w:r>
        <w:t xml:space="preserve">.</w:t>
      </w:r>
      <w:r>
        <w:t xml:space="preserve"> </w:t>
      </w:r>
      <w:r>
        <w:t xml:space="preserve">Dominate canopy species within the 25.6 ha ForestGEO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36</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The model was fit in R v 1.3.1093 using the functions developed in.</w:t>
      </w:r>
      <w:r>
        <w:rPr>
          <w:vertAlign w:val="superscript"/>
        </w:rPr>
        <w:t xml:space="preserve">27</w:t>
      </w:r>
      <w:r>
        <w:t xml:space="preserve"> </w:t>
      </w:r>
      <w:r>
        <w:t xml:space="preserve">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42</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2">
        <w:r>
          <w:rPr>
            <w:rStyle w:val="Hyperlink"/>
          </w:rPr>
          <w:t xml:space="preserve">https://forestgeo.github.io/Climate/</w:t>
        </w:r>
      </w:hyperlink>
      <w:r>
        <w:t xml:space="preserve">)</w:t>
      </w:r>
      <w:r>
        <w:rPr>
          <w:vertAlign w:val="superscript"/>
        </w:rPr>
        <w:t xml:space="preserve">43</w:t>
      </w:r>
      <w:r>
        <w:t xml:space="preserve">.</w:t>
      </w:r>
      <w:r>
        <w:t xml:space="preserve"> </w:t>
      </w:r>
      <w:r>
        <w:t xml:space="preserve">Daily temperature records for Harvard Forest were obtained from the Harvard Forest weather station</w:t>
      </w:r>
      <w:r>
        <w:rPr>
          <w:b/>
          <w:vertAlign w:val="superscript"/>
        </w:rPr>
        <w:t xml:space="preserve">???</w:t>
      </w:r>
      <w:r>
        <w:rPr>
          <w:vertAlign w:val="superscript"/>
        </w:rPr>
        <w:t xml:space="preserve">,</w:t>
      </w:r>
      <w:r>
        <w:rPr>
          <w:b/>
          <w:vertAlign w:val="superscript"/>
        </w:rPr>
        <w:t xml:space="preserve">??</w:t>
      </w:r>
      <w:r>
        <w:t xml:space="preserve">. Climate data for Harvard Forest were complete and used as is.</w:t>
      </w:r>
      <w:r>
        <w:t xml:space="preserve"> </w:t>
      </w:r>
      <w:r>
        <w:t xml:space="preserve">The R package</w:t>
      </w:r>
      <w:r>
        <w:t xml:space="preserve"> </w:t>
      </w:r>
      <w:r>
        <w:rPr>
          <w:i/>
        </w:rPr>
        <w:t xml:space="preserve">clim.pact</w:t>
      </w:r>
      <w:r>
        <w:rPr>
          <w:b/>
          <w:vertAlign w:val="superscript"/>
        </w:rPr>
        <w:t xml:space="preserve">???</w:t>
      </w:r>
      <w:r>
        <w:rPr>
          <w:vertAlign w:val="superscript"/>
        </w:rPr>
        <w:t xml:space="preserve">,44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3">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
        </w:rPr>
        <w:t xml:space="preserve">climwin</w:t>
      </w:r>
      <w:r>
        <w:rPr>
          <w:vertAlign w:val="superscript"/>
        </w:rPr>
        <w:t xml:space="preserve">45</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47</w:t>
      </w:r>
      <w:r>
        <w:t xml:space="preserve">. In all cases unless otherwise specified, all prior distributions are set to be the weakly informative defaults.</w:t>
      </w:r>
      <w:r>
        <w:t xml:space="preserve"> </w:t>
      </w:r>
    </w:p>
    <w:p>
      <w:pPr>
        <w:pStyle w:val="Heading2"/>
      </w:pPr>
      <w:bookmarkStart w:id="34" w:name="Tree"/>
      <w:r>
        <w:t xml:space="preserve">Tree-ring analysis</w:t>
      </w:r>
      <w:bookmarkEnd w:id="34"/>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48</w:t>
      </w:r>
      <w:r>
        <w:t xml:space="preserve">.</w:t>
      </w:r>
    </w:p>
    <w:p>
      <w:pPr>
        <w:pStyle w:val="BodyText"/>
      </w:pPr>
      <w:r>
        <w:t xml:space="preserve">Dominant tree species were cored at both SCBI</w:t>
      </w:r>
      <w:r>
        <w:rPr>
          <w:vertAlign w:val="superscript"/>
        </w:rPr>
        <w:t xml:space="preserve">26,39</w:t>
      </w:r>
      <w:r>
        <w:t xml:space="preserve"> </w:t>
      </w:r>
      <w:r>
        <w:t xml:space="preserve">and Harvard Forest</w:t>
      </w:r>
      <w:r>
        <w:rPr>
          <w:vertAlign w:val="superscript"/>
        </w:rPr>
        <w:t xml:space="preserve">4,49,50</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25,51–60</w:t>
      </w:r>
      <w:r>
        <w:t xml:space="preserve"> </w:t>
      </w:r>
      <w:r>
        <w:t xml:space="preserve">(</w:t>
      </w:r>
      <w:r>
        <w:rPr>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61,62</w:t>
      </w:r>
      <w:r>
        <w:t xml:space="preserve"> </w:t>
      </w:r>
      <w:r>
        <w:rPr>
          <w:i/>
        </w:rPr>
        <w:t xml:space="preserve">Chronologies were built using the methods described in Ref.</w:t>
      </w:r>
      <w:r>
        <w:rPr>
          <w:vertAlign w:val="superscript"/>
          <w:i/>
        </w:rPr>
        <w:t xml:space="preserve">26</w:t>
      </w:r>
      <w:r>
        <w:rPr>
          <w:i/>
        </w:rPr>
        <w:t xml:space="preserve">.</w:t>
      </w:r>
      <w:r>
        <w:t xml:space="preserve"> </w:t>
      </w:r>
      <w:r>
        <w:t xml:space="preserve">(</w:t>
      </w:r>
      <w:r>
        <w:rPr>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63</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64</w:t>
      </w:r>
      <w:r>
        <w:t xml:space="preserve"> </w:t>
      </w:r>
      <w:r>
        <w:t xml:space="preserve">and</w:t>
      </w:r>
      <w:r>
        <w:t xml:space="preserve"> </w:t>
      </w:r>
      <w:r>
        <w:t xml:space="preserve">‘</w:t>
      </w:r>
      <w:r>
        <w:t xml:space="preserve">bootRes</w:t>
      </w:r>
      <w:r>
        <w:t xml:space="preserve">’</w:t>
      </w:r>
      <w:r>
        <w:rPr>
          <w:vertAlign w:val="superscript"/>
        </w:rPr>
        <w:t xml:space="preserve">65</w:t>
      </w:r>
      <w:r>
        <w:t xml:space="preserve"> </w:t>
      </w:r>
      <w:r>
        <w:t xml:space="preserve">in R v.1.3.1093 (R Core Team, 2020), which correlated functions and bootstrapped confidence intervals for these relationships</w:t>
      </w:r>
      <w:r>
        <w:rPr>
          <w:vertAlign w:val="superscript"/>
        </w:rPr>
        <w:t xml:space="preserve">66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w:t>
      </w:r>
      <w:r>
        <w:t xml:space="preserve"> </w:t>
      </w:r>
      <w:r>
        <w:rPr>
          <w:b/>
        </w:rPr>
        <w:t xml:space="preserve">APPENDIX</w:t>
      </w:r>
      <w:r>
        <w:t xml:space="preserve">.</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w:t>
      </w:r>
      <w:r>
        <w:t xml:space="preserve"> </w:t>
      </w:r>
      <w:r>
        <w:rPr>
          <w:b/>
        </w:rPr>
        <w:t xml:space="preserve">APPENDIX</w:t>
      </w:r>
      <w:r>
        <w:t xml:space="preserve">.</w:t>
      </w:r>
    </w:p>
    <w:p>
      <w:pPr>
        <w:pStyle w:val="Heading1"/>
      </w:pPr>
      <w:bookmarkStart w:id="35" w:name="Acknowledgements"/>
      <w:r>
        <w:t xml:space="preserve">Acknowledgements</w:t>
      </w:r>
      <w:bookmarkEnd w:id="35"/>
    </w:p>
    <w:p>
      <w:pPr>
        <w:numPr>
          <w:numId w:val="1002"/>
          <w:ilvl w:val="0"/>
        </w:numPr>
      </w:pPr>
      <w:r>
        <w:t xml:space="preserve">people: (everyone who helped collect data– see list on GitHub), Jess Shue (data)</w:t>
      </w:r>
    </w:p>
    <w:p>
      <w:pPr>
        <w:numPr>
          <w:numId w:val="1002"/>
          <w:ilvl w:val="0"/>
        </w:numPr>
      </w:pPr>
      <w:r>
        <w:t xml:space="preserve">Funding: ForestGEO</w:t>
      </w:r>
    </w:p>
    <w:p>
      <w:pPr>
        <w:pStyle w:val="FirstParagraph"/>
      </w:pPr>
      <w:r>
        <w:rPr>
          <w:b/>
        </w:rPr>
        <w:t xml:space="preserve">COAUTHORS, PLEASE ADD.</w:t>
      </w:r>
    </w:p>
    <w:p>
      <w:pPr>
        <w:pStyle w:val="Heading1"/>
      </w:pPr>
      <w:bookmarkStart w:id="36" w:name="Author"/>
      <w:r>
        <w:t xml:space="preserve">Author Contributions</w:t>
      </w:r>
      <w:bookmarkEnd w:id="36"/>
    </w:p>
    <w:p>
      <w:pPr>
        <w:pStyle w:val="FirstParagraph"/>
      </w:pPr>
      <w:r>
        <w:t xml:space="preserve">All authors gave suggestions on improvements to manuscript during development.</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 - Developed and assisted in coding the statistical framework for analyses used.</w:t>
      </w:r>
    </w:p>
    <w:p>
      <w:pPr>
        <w:pStyle w:val="BodyText"/>
      </w:pPr>
      <w:r>
        <w:t xml:space="preserve">Loïc D’Orangeville - Provided tree core chronologies for additional sites, gave feedback on draft of manuscript.</w:t>
      </w:r>
    </w:p>
    <w:p>
      <w:pPr>
        <w:pStyle w:val="BodyText"/>
      </w:pPr>
      <w:r>
        <w:t xml:space="preserve">Erika B. Gonzalez-Akre - Oversees and manages data collection at SCBI.</w:t>
      </w:r>
    </w:p>
    <w:p>
      <w:pPr>
        <w:pStyle w:val="BodyText"/>
      </w:pPr>
      <w:r>
        <w:t xml:space="preserve">Ryan Helcoski - Collected and measured cores at SCBI.</w:t>
      </w:r>
    </w:p>
    <w:p>
      <w:pPr>
        <w:pStyle w:val="BodyText"/>
      </w:pPr>
      <w:r>
        <w:t xml:space="preserve">Valentine Herrmann - Assisted with coding and interpretation of statistical results.</w:t>
      </w:r>
    </w:p>
    <w:p>
      <w:pPr>
        <w:pStyle w:val="BodyText"/>
      </w:pPr>
      <w:r>
        <w:t xml:space="preserve">Grant L. Harley - Provided tree core chronologies for additional sites and assisted with interpretation of results.</w:t>
      </w:r>
    </w:p>
    <w:p>
      <w:pPr>
        <w:pStyle w:val="BodyText"/>
      </w:pPr>
      <w:r>
        <w:t xml:space="preserve">Justin T. Maxwell - Provided tree core chronologies for additional sites, detrended crns, and assisted with interpretation of results.</w:t>
      </w:r>
    </w:p>
    <w:p>
      <w:pPr>
        <w:pStyle w:val="BodyText"/>
      </w:pPr>
      <w:r>
        <w:t xml:space="preserve">Ian R. McGregor - Assisted with the acquisition and processing of leaf phenology data.</w:t>
      </w:r>
    </w:p>
    <w:p>
      <w:pPr>
        <w:pStyle w:val="BodyText"/>
      </w:pPr>
      <w:r>
        <w:t xml:space="preserve">William McShea -</w:t>
      </w:r>
    </w:p>
    <w:p>
      <w:pPr>
        <w:pStyle w:val="BodyText"/>
      </w:pPr>
      <w:r>
        <w:t xml:space="preserve">Sean McMahon - Provided R functions for dealing with dendroband data (RDendrom)</w:t>
      </w:r>
    </w:p>
    <w:p>
      <w:pPr>
        <w:pStyle w:val="BodyText"/>
      </w:pPr>
      <w:r>
        <w:t xml:space="preserve">David A. Orwig -</w:t>
      </w:r>
    </w:p>
    <w:p>
      <w:pPr>
        <w:pStyle w:val="BodyText"/>
      </w:pPr>
      <w:r>
        <w:t xml:space="preserve">Neil Pederson - Provided tree core chronologies for additional sites and gave feedback on tree core analysis</w:t>
      </w:r>
    </w:p>
    <w:p>
      <w:pPr>
        <w:pStyle w:val="BodyText"/>
      </w:pPr>
      <w:r>
        <w:t xml:space="preserve">Alan J. Tepley -</w:t>
      </w:r>
    </w:p>
    <w:p>
      <w:pPr>
        <w:pStyle w:val="BodyText"/>
      </w:pPr>
      <w:r>
        <w:t xml:space="preserve">Kristina J. Anderson-Teixeira - Oversaw all aspects of research and manuscript development.</w:t>
      </w:r>
    </w:p>
    <w:p>
      <w:pPr>
        <w:pStyle w:val="Heading1"/>
      </w:pPr>
      <w:bookmarkStart w:id="37" w:name="Additional"/>
      <w:r>
        <w:t xml:space="preserve">Additional Information</w:t>
      </w:r>
      <w:bookmarkEnd w:id="37"/>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8" w:name="References"/>
      <w:r>
        <w:t xml:space="preserve">References</w:t>
      </w:r>
      <w:bookmarkEnd w:id="38"/>
    </w:p>
    <w:bookmarkStart w:id="110" w:name="refs"/>
    <w:bookmarkStart w:id="39"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9"/>
    <w:bookmarkStart w:id="40"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0"/>
    <w:bookmarkStart w:id="41"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1"/>
    <w:bookmarkStart w:id="42"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2"/>
    <w:bookmarkStart w:id="43" w:name="ref-menzel_growing_1999"/>
    <w:p>
      <w:pPr>
        <w:pStyle w:val="Bibliography"/>
      </w:pPr>
      <w:r>
        <w:t xml:space="preserve">5. Menzel, A. &amp; Fabian, P. Growing season extended in Europe.</w:t>
      </w:r>
      <w:r>
        <w:t xml:space="preserve"> </w:t>
      </w:r>
      <w:r>
        <w:rPr>
          <w:i/>
        </w:rPr>
        <w:t xml:space="preserve">Nature</w:t>
      </w:r>
      <w:r>
        <w:t xml:space="preserve"> </w:t>
      </w:r>
      <w:r>
        <w:rPr>
          <w:b/>
        </w:rPr>
        <w:t xml:space="preserve">397</w:t>
      </w:r>
      <w:r>
        <w:t xml:space="preserve">, 659–659 (1999).</w:t>
      </w:r>
    </w:p>
    <w:bookmarkEnd w:id="43"/>
    <w:bookmarkStart w:id="44" w:name="ref-menzel_european_2006"/>
    <w:p>
      <w:pPr>
        <w:pStyle w:val="Bibliography"/>
      </w:pPr>
      <w:r>
        <w:t xml:space="preserve">6.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4"/>
    <w:bookmarkStart w:id="45" w:name="ref-ibanez_forecasting_2010"/>
    <w:p>
      <w:pPr>
        <w:pStyle w:val="Bibliography"/>
      </w:pPr>
      <w:r>
        <w:t xml:space="preserve">7.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5"/>
    <w:bookmarkStart w:id="46" w:name="ref-keeling_increased_1996"/>
    <w:p>
      <w:pPr>
        <w:pStyle w:val="Bibliography"/>
      </w:pPr>
      <w:r>
        <w:t xml:space="preserve">8.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6"/>
    <w:bookmarkStart w:id="47" w:name="ref-dragoni_evidence_2011"/>
    <w:p>
      <w:pPr>
        <w:pStyle w:val="Bibliography"/>
      </w:pPr>
      <w:r>
        <w:t xml:space="preserve">9.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7"/>
    <w:bookmarkStart w:id="48" w:name="ref-crabbe_extreme_2016"/>
    <w:p>
      <w:pPr>
        <w:pStyle w:val="Bibliography"/>
      </w:pPr>
      <w:r>
        <w:t xml:space="preserve">10.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48"/>
    <w:bookmarkStart w:id="49" w:name="ref-zhou_explaining_2016"/>
    <w:p>
      <w:pPr>
        <w:pStyle w:val="Bibliography"/>
      </w:pPr>
      <w:r>
        <w:t xml:space="preserve">11.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49"/>
    <w:bookmarkStart w:id="50" w:name="ref-fu_maximum_2019"/>
    <w:p>
      <w:pPr>
        <w:pStyle w:val="Bibliography"/>
      </w:pPr>
      <w:r>
        <w:t xml:space="preserve">12.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0"/>
    <w:bookmarkStart w:id="51" w:name="ref-xue_global_2017"/>
    <w:p>
      <w:pPr>
        <w:pStyle w:val="Bibliography"/>
      </w:pPr>
      <w:r>
        <w:t xml:space="preserve">13.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1"/>
    <w:bookmarkStart w:id="52" w:name="ref-russell_residence_2014"/>
    <w:p>
      <w:pPr>
        <w:pStyle w:val="Bibliography"/>
      </w:pPr>
      <w:r>
        <w:t xml:space="preserve">14.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2"/>
    <w:bookmarkStart w:id="53" w:name="ref-profft_forest_2009"/>
    <w:p>
      <w:pPr>
        <w:pStyle w:val="Bibliography"/>
      </w:pPr>
      <w:r>
        <w:t xml:space="preserve">15.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3"/>
    <w:bookmarkStart w:id="54" w:name="ref-zani_increased_2020"/>
    <w:p>
      <w:pPr>
        <w:pStyle w:val="Bibliography"/>
      </w:pPr>
      <w:r>
        <w:t xml:space="preserve">16. Zani, D., Crowther, T. W., Mo, L., Renner, S. S. &amp; Zohner, C. M. Increased growing-season productivity drives earlier autumn leaf senescence in temperate trees. 7 (2020).</w:t>
      </w:r>
    </w:p>
    <w:bookmarkEnd w:id="54"/>
    <w:bookmarkStart w:id="55" w:name="ref-pan_large_2011"/>
    <w:p>
      <w:pPr>
        <w:pStyle w:val="Bibliography"/>
      </w:pPr>
      <w:r>
        <w:t xml:space="preserve">17.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5"/>
    <w:bookmarkStart w:id="56" w:name="ref-pugh_role_2019"/>
    <w:p>
      <w:pPr>
        <w:pStyle w:val="Bibliography"/>
      </w:pPr>
      <w:r>
        <w:t xml:space="preserve">18.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6"/>
    <w:bookmarkStart w:id="57" w:name="ref-arora_carbon_2020"/>
    <w:p>
      <w:pPr>
        <w:pStyle w:val="Bibliography"/>
      </w:pPr>
      <w:r>
        <w:t xml:space="preserve">19.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57"/>
    <w:bookmarkStart w:id="58"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58"/>
    <w:bookmarkStart w:id="59" w:name="ref-churkina_spatial_2005"/>
    <w:p>
      <w:pPr>
        <w:pStyle w:val="Bibliography"/>
      </w:pPr>
      <w:r>
        <w:t xml:space="preserve">21.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59"/>
    <w:bookmarkStart w:id="60"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0"/>
    <w:bookmarkStart w:id="61" w:name="ref-zohner_how_2021"/>
    <w:p>
      <w:pPr>
        <w:pStyle w:val="Bibliography"/>
      </w:pPr>
      <w:r>
        <w:t xml:space="preserve">23.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1"/>
    <w:bookmarkStart w:id="63" w:name="ref-dorangeville_peak_2021"/>
    <w:p>
      <w:pPr>
        <w:pStyle w:val="Bibliography"/>
      </w:pPr>
      <w:r>
        <w:t xml:space="preserve">24.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2">
        <w:r>
          <w:rPr>
            <w:rStyle w:val="Hyperlink"/>
          </w:rPr>
          <w:t xml:space="preserve">10.1093/treephys/tpab101</w:t>
        </w:r>
      </w:hyperlink>
      <w:r>
        <w:t xml:space="preserve">.</w:t>
      </w:r>
    </w:p>
    <w:bookmarkEnd w:id="63"/>
    <w:bookmarkStart w:id="64" w:name="ref-dorangeville_drought_2018"/>
    <w:p>
      <w:pPr>
        <w:pStyle w:val="Bibliography"/>
      </w:pPr>
      <w:r>
        <w:t xml:space="preserve">25.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4"/>
    <w:bookmarkStart w:id="65" w:name="ref-helcoski_growing_2019"/>
    <w:p>
      <w:pPr>
        <w:pStyle w:val="Bibliography"/>
      </w:pPr>
      <w:r>
        <w:t xml:space="preserve">26.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5"/>
    <w:bookmarkStart w:id="66" w:name="ref-mcmahon_general_2015"/>
    <w:p>
      <w:pPr>
        <w:pStyle w:val="Bibliography"/>
      </w:pPr>
      <w:r>
        <w:t xml:space="preserve">27.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6"/>
    <w:bookmarkStart w:id="67" w:name="ref-parmesan_globally_2003"/>
    <w:p>
      <w:pPr>
        <w:pStyle w:val="Bibliography"/>
      </w:pPr>
      <w:r>
        <w:t xml:space="preserve">28.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7"/>
    <w:bookmarkStart w:id="68" w:name="ref-friedl_tale_2014"/>
    <w:p>
      <w:pPr>
        <w:pStyle w:val="Bibliography"/>
      </w:pPr>
      <w:r>
        <w:t xml:space="preserve">29.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8"/>
    <w:bookmarkStart w:id="69" w:name="ref-vicente-serrano_multiscalar_2010"/>
    <w:p>
      <w:pPr>
        <w:pStyle w:val="Bibliography"/>
      </w:pPr>
      <w:r>
        <w:t xml:space="preserve">30.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69"/>
    <w:bookmarkStart w:id="70" w:name="ref-zohner_ongoing_2019"/>
    <w:p>
      <w:pPr>
        <w:pStyle w:val="Bibliography"/>
      </w:pPr>
      <w:r>
        <w:t xml:space="preserve">31.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0"/>
    <w:bookmarkStart w:id="71" w:name="ref-xie_predicting_2018"/>
    <w:p>
      <w:pPr>
        <w:pStyle w:val="Bibliography"/>
      </w:pPr>
      <w:r>
        <w:t xml:space="preserve">32.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1"/>
    <w:bookmarkStart w:id="72"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2"/>
    <w:bookmarkStart w:id="73"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3"/>
    <w:bookmarkStart w:id="74"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4"/>
    <w:bookmarkStart w:id="75" w:name="ref-anderson-teixeira_joint_2021"/>
    <w:p>
      <w:pPr>
        <w:pStyle w:val="Bibliography"/>
      </w:pPr>
      <w:r>
        <w:t xml:space="preserve">36.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75"/>
    <w:bookmarkStart w:id="77" w:name="ref-banburymorgan_global_2021"/>
    <w:p>
      <w:pPr>
        <w:pStyle w:val="Bibliography"/>
      </w:pPr>
      <w:r>
        <w:t xml:space="preserve">37.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76">
        <w:r>
          <w:rPr>
            <w:rStyle w:val="Hyperlink"/>
          </w:rPr>
          <w:t xml:space="preserve">10.1111/gcb.15574</w:t>
        </w:r>
      </w:hyperlink>
      <w:r>
        <w:t xml:space="preserve">.</w:t>
      </w:r>
    </w:p>
    <w:bookmarkEnd w:id="77"/>
    <w:bookmarkStart w:id="78" w:name="ref-fu_variation_2014"/>
    <w:p>
      <w:pPr>
        <w:pStyle w:val="Bibliography"/>
      </w:pPr>
      <w:r>
        <w:t xml:space="preserve">38.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78"/>
    <w:bookmarkStart w:id="79" w:name="ref-bourg_initial_2013"/>
    <w:p>
      <w:pPr>
        <w:pStyle w:val="Bibliography"/>
      </w:pPr>
      <w:r>
        <w:t xml:space="preserve">39.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79"/>
    <w:bookmarkStart w:id="80" w:name="ref-anderson-teixeira_ctfsforestgeo_2015"/>
    <w:p>
      <w:pPr>
        <w:pStyle w:val="Bibliography"/>
      </w:pPr>
      <w:r>
        <w:t xml:space="preserve">40.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0"/>
    <w:bookmarkStart w:id="81" w:name="ref-davies_forestgeo_2021"/>
    <w:p>
      <w:pPr>
        <w:pStyle w:val="Bibliography"/>
      </w:pPr>
      <w:r>
        <w:t xml:space="preserve">41.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1"/>
    <w:bookmarkStart w:id="83" w:name="ref-friedl_mcd12q2_2019"/>
    <w:p>
      <w:pPr>
        <w:pStyle w:val="Bibliography"/>
      </w:pPr>
      <w:r>
        <w:t xml:space="preserve">42. Friedl, M., Gray, J. &amp; Sulla-Menashe, D. MCD12Q2 MODIS/Terra+Aqua Land Cover Dynamics Yearly L3 Global 500m SIN Grid V006. (2019) doi:</w:t>
      </w:r>
      <w:hyperlink r:id="rId82">
        <w:r>
          <w:rPr>
            <w:rStyle w:val="Hyperlink"/>
          </w:rPr>
          <w:t xml:space="preserve">10.5067/MODIS/MCD12Q2.006</w:t>
        </w:r>
      </w:hyperlink>
      <w:r>
        <w:t xml:space="preserve">.</w:t>
      </w:r>
    </w:p>
    <w:bookmarkEnd w:id="83"/>
    <w:bookmarkStart w:id="85" w:name="ref-anderson-teixeira_forestgeo_2020"/>
    <w:p>
      <w:pPr>
        <w:pStyle w:val="Bibliography"/>
      </w:pPr>
      <w:r>
        <w:t xml:space="preserve">43. Anderson-Teixeira, K.</w:t>
      </w:r>
      <w:r>
        <w:t xml:space="preserve"> </w:t>
      </w:r>
      <w:r>
        <w:rPr>
          <w:i/>
        </w:rPr>
        <w:t xml:space="preserve">et al.</w:t>
      </w:r>
      <w:r>
        <w:t xml:space="preserve"> </w:t>
      </w:r>
      <w:r>
        <w:t xml:space="preserve">Forestgeo/Climate: Initial release. (2020) doi:</w:t>
      </w:r>
      <w:hyperlink r:id="rId84">
        <w:r>
          <w:rPr>
            <w:rStyle w:val="Hyperlink"/>
          </w:rPr>
          <w:t xml:space="preserve">10.5281/ZENODO.4041609</w:t>
        </w:r>
      </w:hyperlink>
      <w:r>
        <w:t xml:space="preserve">.</w:t>
      </w:r>
    </w:p>
    <w:bookmarkEnd w:id="85"/>
    <w:bookmarkStart w:id="86" w:name="ref-benestad_empiricalstatistical_2008"/>
    <w:p>
      <w:pPr>
        <w:pStyle w:val="Bibliography"/>
      </w:pPr>
      <w:r>
        <w:t xml:space="preserve">44. Benestad, R. E., Hanssen-Bauer, I. &amp; Chen, D.</w:t>
      </w:r>
      <w:r>
        <w:t xml:space="preserve"> </w:t>
      </w:r>
      <w:r>
        <w:rPr>
          <w:i/>
        </w:rPr>
        <w:t xml:space="preserve">Empirical-statistical downscaling</w:t>
      </w:r>
      <w:r>
        <w:t xml:space="preserve">. (World Scientific Pub Co Inc, 2008).</w:t>
      </w:r>
    </w:p>
    <w:bookmarkEnd w:id="86"/>
    <w:bookmarkStart w:id="87" w:name="ref-vandepol_identifying_2016"/>
    <w:p>
      <w:pPr>
        <w:pStyle w:val="Bibliography"/>
      </w:pPr>
      <w:r>
        <w:t xml:space="preserve">45.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87"/>
    <w:bookmarkStart w:id="88" w:name="ref-bates_fitting_2015"/>
    <w:p>
      <w:pPr>
        <w:pStyle w:val="Bibliography"/>
      </w:pPr>
      <w:r>
        <w:t xml:space="preserve">46.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88"/>
    <w:bookmarkStart w:id="89" w:name="ref-gabry_rstanarm_2020"/>
    <w:p>
      <w:pPr>
        <w:pStyle w:val="Bibliography"/>
      </w:pPr>
      <w:r>
        <w:t xml:space="preserve">47. Gabry, J.</w:t>
      </w:r>
      <w:r>
        <w:t xml:space="preserve"> </w:t>
      </w:r>
      <w:r>
        <w:rPr>
          <w:i/>
        </w:rPr>
        <w:t xml:space="preserve">et al.</w:t>
      </w:r>
      <w:r>
        <w:t xml:space="preserve"> </w:t>
      </w:r>
      <w:r>
        <w:t xml:space="preserve">Rstanarm: Bayesian Applied Regression Modeling via Stan. (2020).</w:t>
      </w:r>
    </w:p>
    <w:bookmarkEnd w:id="89"/>
    <w:bookmarkStart w:id="90" w:name="ref-stokes_introduction_1968"/>
    <w:p>
      <w:pPr>
        <w:pStyle w:val="Bibliography"/>
      </w:pPr>
      <w:r>
        <w:t xml:space="preserve">48. Stokes, M. A. &amp; Smiley, T. L.</w:t>
      </w:r>
      <w:r>
        <w:t xml:space="preserve"> </w:t>
      </w:r>
      <w:r>
        <w:rPr>
          <w:i/>
        </w:rPr>
        <w:t xml:space="preserve">An Introduction to Tree-ring Dating</w:t>
      </w:r>
      <w:r>
        <w:t xml:space="preserve">. (University of Arizona Press, 1968).</w:t>
      </w:r>
    </w:p>
    <w:bookmarkEnd w:id="90"/>
    <w:bookmarkStart w:id="91" w:name="ref-alexander_potential_2019"/>
    <w:p>
      <w:pPr>
        <w:pStyle w:val="Bibliography"/>
      </w:pPr>
      <w:r>
        <w:t xml:space="preserve">49.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91"/>
    <w:bookmarkStart w:id="92" w:name="ref-dye_comparing_2016"/>
    <w:p>
      <w:pPr>
        <w:pStyle w:val="Bibliography"/>
      </w:pPr>
      <w:r>
        <w:t xml:space="preserve">50.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92"/>
    <w:bookmarkStart w:id="93" w:name="ref-maxwell_sampling_2020"/>
    <w:p>
      <w:pPr>
        <w:pStyle w:val="Bibliography"/>
      </w:pPr>
      <w:r>
        <w:t xml:space="preserve">51.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93"/>
    <w:bookmarkStart w:id="94" w:name="ref-maxwell_increased_2017"/>
    <w:p>
      <w:pPr>
        <w:pStyle w:val="Bibliography"/>
      </w:pPr>
      <w:r>
        <w:t xml:space="preserve">52. Maxwell, J. T. &amp; Harley, G. L. Increased tree-ring network density reveals more precise estimations of sub-regional hydroclimate variability and climate dynamics in the Midwest, USA.</w:t>
      </w:r>
      <w:r>
        <w:t xml:space="preserve"> </w:t>
      </w:r>
      <w:r>
        <w:rPr>
          <w:i/>
        </w:rPr>
        <w:t xml:space="preserve">Climate Dynamics</w:t>
      </w:r>
      <w:r>
        <w:t xml:space="preserve"> </w:t>
      </w:r>
      <w:r>
        <w:rPr>
          <w:b/>
        </w:rPr>
        <w:t xml:space="preserve">49</w:t>
      </w:r>
      <w:r>
        <w:t xml:space="preserve">, 1479–1493 (2017).</w:t>
      </w:r>
    </w:p>
    <w:bookmarkEnd w:id="94"/>
    <w:bookmarkStart w:id="95" w:name="ref-wilde_comparing_2018"/>
    <w:p>
      <w:pPr>
        <w:pStyle w:val="Bibliography"/>
      </w:pPr>
      <w:r>
        <w:t xml:space="preserve">53. Wilde, E. M. &amp; Maxwell, J. T. Comparing climate-growth responses of urban and non-urban forests using L. Tulipifera tree-rings in southern Indiana, USA.</w:t>
      </w:r>
      <w:r>
        <w:t xml:space="preserve"> </w:t>
      </w:r>
      <w:r>
        <w:rPr>
          <w:i/>
        </w:rPr>
        <w:t xml:space="preserve">Urban Forestry &amp; Urban Greening</w:t>
      </w:r>
      <w:r>
        <w:t xml:space="preserve"> </w:t>
      </w:r>
      <w:r>
        <w:rPr>
          <w:b/>
        </w:rPr>
        <w:t xml:space="preserve">31</w:t>
      </w:r>
      <w:r>
        <w:t xml:space="preserve">, 103–108 (2018).</w:t>
      </w:r>
    </w:p>
    <w:bookmarkEnd w:id="95"/>
    <w:bookmarkStart w:id="96" w:name="ref-strange_comparing_2019"/>
    <w:p>
      <w:pPr>
        <w:pStyle w:val="Bibliography"/>
      </w:pPr>
      <w:r>
        <w:t xml:space="preserve">54. Strange, B. M.</w:t>
      </w:r>
      <w:r>
        <w:t xml:space="preserve"> </w:t>
      </w:r>
      <w:r>
        <w:rPr>
          <w:i/>
        </w:rPr>
        <w:t xml:space="preserve">et al.</w:t>
      </w:r>
      <w:r>
        <w:t xml:space="preserve"> </w:t>
      </w:r>
      <w:r>
        <w:t xml:space="preserve">Comparing three approaches to reconstructing streamflow using tree rings in the Wabash River basin in the Midwestern, US.</w:t>
      </w:r>
      <w:r>
        <w:t xml:space="preserve"> </w:t>
      </w:r>
      <w:r>
        <w:rPr>
          <w:i/>
        </w:rPr>
        <w:t xml:space="preserve">Journal of Hydrology</w:t>
      </w:r>
      <w:r>
        <w:t xml:space="preserve"> </w:t>
      </w:r>
      <w:r>
        <w:rPr>
          <w:b/>
        </w:rPr>
        <w:t xml:space="preserve">573</w:t>
      </w:r>
      <w:r>
        <w:t xml:space="preserve">, 829–840 (2019).</w:t>
      </w:r>
    </w:p>
    <w:bookmarkEnd w:id="96"/>
    <w:bookmarkStart w:id="97" w:name="ref-au_demographic_2020"/>
    <w:p>
      <w:pPr>
        <w:pStyle w:val="Bibliography"/>
      </w:pPr>
      <w:r>
        <w:t xml:space="preserve">55. Au, T. F.</w:t>
      </w:r>
      <w:r>
        <w:t xml:space="preserve"> </w:t>
      </w:r>
      <w:r>
        <w:rPr>
          <w:i/>
        </w:rPr>
        <w:t xml:space="preserve">et al.</w:t>
      </w:r>
      <w:r>
        <w:t xml:space="preserve"> </w:t>
      </w:r>
      <w:r>
        <w:t xml:space="preserve">Demographic shifts in eastern US forests increase the impact of late-season drought on forest growth.</w:t>
      </w:r>
      <w:r>
        <w:t xml:space="preserve"> </w:t>
      </w:r>
      <w:r>
        <w:rPr>
          <w:i/>
        </w:rPr>
        <w:t xml:space="preserve">Ecography</w:t>
      </w:r>
      <w:r>
        <w:t xml:space="preserve"> </w:t>
      </w:r>
      <w:r>
        <w:rPr>
          <w:b/>
        </w:rPr>
        <w:t xml:space="preserve">43</w:t>
      </w:r>
      <w:r>
        <w:t xml:space="preserve">, 1475–1486 (2020).</w:t>
      </w:r>
    </w:p>
    <w:bookmarkEnd w:id="97"/>
    <w:bookmarkStart w:id="98" w:name="ref-matheus_placing_2018"/>
    <w:p>
      <w:pPr>
        <w:pStyle w:val="Bibliography"/>
      </w:pPr>
      <w:r>
        <w:t xml:space="preserve">56. Matheus, T. J. &amp; Maxwell, J. T. Placing modern droughts in historical context in the Ohio Valley using tree-rings.</w:t>
      </w:r>
      <w:r>
        <w:t xml:space="preserve"> </w:t>
      </w:r>
      <w:r>
        <w:rPr>
          <w:i/>
        </w:rPr>
        <w:t xml:space="preserve">Physical Geography</w:t>
      </w:r>
      <w:r>
        <w:t xml:space="preserve"> </w:t>
      </w:r>
      <w:r>
        <w:rPr>
          <w:b/>
        </w:rPr>
        <w:t xml:space="preserve">39</w:t>
      </w:r>
      <w:r>
        <w:t xml:space="preserve">, 343–353 (2018).</w:t>
      </w:r>
    </w:p>
    <w:bookmarkEnd w:id="98"/>
    <w:bookmarkStart w:id="99" w:name="ref-leblanc_radial_2020"/>
    <w:p>
      <w:pPr>
        <w:pStyle w:val="Bibliography"/>
      </w:pPr>
      <w:r>
        <w:t xml:space="preserve">57. LeBlanc, D., Maxwell, J., Pederson, N., Berland, A. &amp; Mandra, T. Radial growth responses of tulip poplar (Liriodendron tulipifera) to climate in the eastern United States.</w:t>
      </w:r>
      <w:r>
        <w:t xml:space="preserve"> </w:t>
      </w:r>
      <w:r>
        <w:rPr>
          <w:i/>
        </w:rPr>
        <w:t xml:space="preserve">Ecosphere</w:t>
      </w:r>
      <w:r>
        <w:t xml:space="preserve"> </w:t>
      </w:r>
      <w:r>
        <w:rPr>
          <w:b/>
        </w:rPr>
        <w:t xml:space="preserve">11</w:t>
      </w:r>
      <w:r>
        <w:t xml:space="preserve">, e03203 (2020).</w:t>
      </w:r>
    </w:p>
    <w:bookmarkEnd w:id="99"/>
    <w:bookmarkStart w:id="100" w:name="ref-maxwell_higher_2019"/>
    <w:p>
      <w:pPr>
        <w:pStyle w:val="Bibliography"/>
      </w:pPr>
      <w:r>
        <w:t xml:space="preserve">58. Maxwell, J. T.</w:t>
      </w:r>
      <w:r>
        <w:t xml:space="preserve"> </w:t>
      </w:r>
      <w:r>
        <w:rPr>
          <w:i/>
        </w:rPr>
        <w:t xml:space="preserve">et al.</w:t>
      </w:r>
      <w:r>
        <w:t xml:space="preserve"> </w:t>
      </w:r>
      <w:r>
        <w:t xml:space="preserve">Higher CO2 Concentrations and Lower Acidic Deposition Have Not Changed Drought Response in Tree Growth But Do Influence iWUE in Hardwood Trees in the Midwestern United States.</w:t>
      </w:r>
      <w:r>
        <w:t xml:space="preserve"> </w:t>
      </w:r>
      <w:r>
        <w:rPr>
          <w:i/>
        </w:rPr>
        <w:t xml:space="preserve">Journal of Geophysical Research: Biogeosciences</w:t>
      </w:r>
      <w:r>
        <w:t xml:space="preserve"> </w:t>
      </w:r>
      <w:r>
        <w:rPr>
          <w:b/>
        </w:rPr>
        <w:t xml:space="preserve">124</w:t>
      </w:r>
      <w:r>
        <w:t xml:space="preserve">, 3798–3813 (2019).</w:t>
      </w:r>
    </w:p>
    <w:bookmarkEnd w:id="100"/>
    <w:bookmarkStart w:id="101" w:name="ref-maxwell_dendroclimatic_2015"/>
    <w:p>
      <w:pPr>
        <w:pStyle w:val="Bibliography"/>
      </w:pPr>
      <w:r>
        <w:t xml:space="preserve">59. Maxwell, J. T., Harley, G. L. &amp; Matheus, T. J. Dendroclimatic reconstructions from multiple co-occurring species: A case study from an old-growth deciduous forest in Indiana, USA.</w:t>
      </w:r>
      <w:r>
        <w:t xml:space="preserve"> </w:t>
      </w:r>
      <w:r>
        <w:rPr>
          <w:i/>
        </w:rPr>
        <w:t xml:space="preserve">International Journal of Climatology</w:t>
      </w:r>
      <w:r>
        <w:t xml:space="preserve"> </w:t>
      </w:r>
      <w:r>
        <w:rPr>
          <w:b/>
        </w:rPr>
        <w:t xml:space="preserve">35</w:t>
      </w:r>
      <w:r>
        <w:t xml:space="preserve">, 860–870 (2015).</w:t>
      </w:r>
    </w:p>
    <w:bookmarkEnd w:id="101"/>
    <w:bookmarkStart w:id="102" w:name="ref-schmidt_325year_2015"/>
    <w:p>
      <w:pPr>
        <w:pStyle w:val="Bibliography"/>
      </w:pPr>
      <w:r>
        <w:t xml:space="preserve">60. Schmidt, K. R. A 325-year reconstruction of St. Joseph River streamflow using tree rings. (Indiana University, 2015).</w:t>
      </w:r>
    </w:p>
    <w:bookmarkEnd w:id="102"/>
    <w:bookmarkStart w:id="103" w:name="ref-cook_time_1985"/>
    <w:p>
      <w:pPr>
        <w:pStyle w:val="Bibliography"/>
      </w:pPr>
      <w:r>
        <w:t xml:space="preserve">61. Cook, E. R. A Time Series Analysis Approach to Tree Ring Standardization. vol. PhD (University of Arizona, 1985).</w:t>
      </w:r>
    </w:p>
    <w:bookmarkEnd w:id="103"/>
    <w:bookmarkStart w:id="105" w:name="ref-cook_methods_1990"/>
    <w:p>
      <w:pPr>
        <w:pStyle w:val="Bibliography"/>
      </w:pPr>
      <w:r>
        <w:t xml:space="preserve">62.</w:t>
      </w:r>
      <w:r>
        <w:t xml:space="preserve"> </w:t>
      </w:r>
      <w:r>
        <w:rPr>
          <w:i/>
        </w:rPr>
        <w:t xml:space="preserve">Methods of Dendrochronology: Applications in the Environmental Sciences</w:t>
      </w:r>
      <w:r>
        <w:t xml:space="preserve">. (Springer Netherlands, 1990). doi:</w:t>
      </w:r>
      <w:hyperlink r:id="rId104">
        <w:r>
          <w:rPr>
            <w:rStyle w:val="Hyperlink"/>
          </w:rPr>
          <w:t xml:space="preserve">10.1007/978-94-015-7879-0</w:t>
        </w:r>
      </w:hyperlink>
      <w:r>
        <w:t xml:space="preserve">.</w:t>
      </w:r>
    </w:p>
    <w:bookmarkEnd w:id="105"/>
    <w:bookmarkStart w:id="106" w:name="ref-harris_version_2020"/>
    <w:p>
      <w:pPr>
        <w:pStyle w:val="Bibliography"/>
      </w:pPr>
      <w:r>
        <w:t xml:space="preserve">63.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06"/>
    <w:bookmarkStart w:id="107" w:name="ref-bunn_dendrochronology_2008"/>
    <w:p>
      <w:pPr>
        <w:pStyle w:val="Bibliography"/>
      </w:pPr>
      <w:r>
        <w:t xml:space="preserve">64. Bunn, A. G. A dendrochronology program library in R (dplR).</w:t>
      </w:r>
      <w:r>
        <w:t xml:space="preserve"> </w:t>
      </w:r>
      <w:r>
        <w:rPr>
          <w:i/>
        </w:rPr>
        <w:t xml:space="preserve">Dendrochronologia</w:t>
      </w:r>
      <w:r>
        <w:t xml:space="preserve"> </w:t>
      </w:r>
      <w:r>
        <w:rPr>
          <w:b/>
        </w:rPr>
        <w:t xml:space="preserve">26</w:t>
      </w:r>
      <w:r>
        <w:t xml:space="preserve">, 115–124 (2008).</w:t>
      </w:r>
    </w:p>
    <w:bookmarkEnd w:id="107"/>
    <w:bookmarkStart w:id="108" w:name="ref-zang_dendroclimatic_2013"/>
    <w:p>
      <w:pPr>
        <w:pStyle w:val="Bibliography"/>
      </w:pPr>
      <w:r>
        <w:t xml:space="preserve">65.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08"/>
    <w:bookmarkStart w:id="109" w:name="ref-biondi_dendroclim2002_2004"/>
    <w:p>
      <w:pPr>
        <w:pStyle w:val="Bibliography"/>
      </w:pPr>
      <w:r>
        <w:t xml:space="preserve">66.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09"/>
    <w:bookmarkEnd w:id="11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104"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2" Target="https://doi.org/10.5067/MODIS/MCD12Q2.006" TargetMode="External" /><Relationship Type="http://schemas.openxmlformats.org/officeDocument/2006/relationships/hyperlink" Id="rId84" Target="https://doi.org/10.5281/ZENODO.4041609" TargetMode="External" /><Relationship Type="http://schemas.openxmlformats.org/officeDocument/2006/relationships/hyperlink" Id="rId32" Target="https://forestgeo.github.io/Climate/" TargetMode="External" /><Relationship Type="http://schemas.openxmlformats.org/officeDocument/2006/relationships/hyperlink" Id="rId33"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4"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2" Target="https://doi.org/10.5067/MODIS/MCD12Q2.006" TargetMode="External" /><Relationship Type="http://schemas.openxmlformats.org/officeDocument/2006/relationships/hyperlink" Id="rId84" Target="https://doi.org/10.5281/ZENODO.4041609" TargetMode="External" /><Relationship Type="http://schemas.openxmlformats.org/officeDocument/2006/relationships/hyperlink" Id="rId32" Target="https://forestgeo.github.io/Climate/" TargetMode="External" /><Relationship Type="http://schemas.openxmlformats.org/officeDocument/2006/relationships/hyperlink" Id="rId33"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2021-10-20T15:20:06Z</dcterms:created>
  <dcterms:modified xsi:type="dcterms:W3CDTF">2021-10-20T15:20:06Z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