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22.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rPr>
          <w:iCs/>
          <w:i/>
        </w:rPr>
        <w:t xml:space="preserve">Grant Harley</w:t>
      </w:r>
    </w:p>
    <w:p>
      <w:pPr>
        <w:pStyle w:val="BodyText"/>
      </w:pPr>
      <w:r>
        <w:t xml:space="preserve">Justin Maxwell</w:t>
      </w:r>
    </w:p>
    <w:p>
      <w:pPr>
        <w:pStyle w:val="BodyText"/>
      </w:pPr>
      <w:r>
        <w:t xml:space="preserve">Ian McGregor</w:t>
      </w:r>
      <w:r>
        <w:rPr>
          <w:vertAlign w:val="superscript"/>
        </w:rPr>
        <w:t xml:space="preserve">1,5</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6,7</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Kristina J. Anderson-Teixeira</w:t>
      </w:r>
      <w:r>
        <w:rPr>
          <w:vertAlign w:val="superscript"/>
        </w:rPr>
        <w:t xml:space="preserve">1,7</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NCSU</w:t>
      </w:r>
    </w:p>
    <w:p>
      <w:pPr>
        <w:numPr>
          <w:ilvl w:val="0"/>
          <w:numId w:val="1001"/>
        </w:numPr>
      </w:pPr>
      <w:r>
        <w:t xml:space="preserve">SERC</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sequestration[REFS] in temperate deciduous forests, resulting in a tendency towards increased growing season length</w:t>
      </w:r>
      <w:r>
        <w:rPr>
          <w:vertAlign w:val="superscript"/>
        </w:rPr>
        <w:t xml:space="preserve">1–4</w:t>
      </w:r>
      <w:r>
        <w:t xml:space="preserve"> </w:t>
      </w:r>
      <w:r>
        <w:t xml:space="preserve">and annual CO</w:t>
      </w:r>
      <w:r>
        <w:rPr>
          <w:vertAlign w:val="subscript"/>
        </w:rPr>
        <w:t xml:space="preserve">2</w:t>
      </w:r>
      <w:r>
        <w:t xml:space="preserve"> </w:t>
      </w:r>
      <w:r>
        <w:t xml:space="preserve">sequestration</w:t>
      </w:r>
      <w:r>
        <w:rPr>
          <w:vertAlign w:val="superscript"/>
        </w:rPr>
        <w:t xml:space="preserve">5–7</w:t>
      </w:r>
      <w:r>
        <w:t xml:space="preserve">.</w:t>
      </w:r>
      <w:r>
        <w:t xml:space="preserve"> </w:t>
      </w:r>
      <w:r>
        <w:t xml:space="preserve">However, little is known about how spring temperatures affect tree stem growth, which consumes only a modest portion of the carbon fixed annually</w:t>
      </w:r>
      <w:r>
        <w:rPr>
          <w:vertAlign w:val="superscript"/>
        </w:rPr>
        <w:t xml:space="preserve">8</w:t>
      </w:r>
      <w:r>
        <w:t xml:space="preserve"> </w:t>
      </w:r>
      <w:r>
        <w:t xml:space="preserve">but sequesters that carbon in wood, which has a long residence time in the ecosystem</w:t>
      </w:r>
      <w:r>
        <w:rPr>
          <w:vertAlign w:val="superscript"/>
        </w:rPr>
        <w:t xml:space="preserve">9,10</w:t>
      </w:r>
      <w:r>
        <w:t xml:space="preserve"> </w:t>
      </w:r>
      <w:r>
        <w:t xml:space="preserve">or as wood products</w:t>
      </w:r>
      <w:r>
        <w:rPr>
          <w:vertAlign w:val="superscript"/>
        </w:rPr>
        <w:t xml:space="preserve">11</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w:t>
      </w:r>
      <w:r>
        <w:t xml:space="preserve">, with observations that warm springs result in earlier leaf senescence</w:t>
      </w:r>
      <w:r>
        <w:rPr>
          <w:vertAlign w:val="superscript"/>
        </w:rPr>
        <w:t xml:space="preserve">13,14</w:t>
      </w:r>
      <w:r>
        <w:t xml:space="preserve">, and with evidence that forest CO</w:t>
      </w:r>
      <w:r>
        <w:rPr>
          <w:vertAlign w:val="subscript"/>
        </w:rPr>
        <w:t xml:space="preserve">2</w:t>
      </w:r>
      <w:r>
        <w:t xml:space="preserve"> </w:t>
      </w:r>
      <w:r>
        <w:t xml:space="preserve">sequestration is sink-limited</w:t>
      </w:r>
      <w:r>
        <w:rPr>
          <w:vertAlign w:val="superscript"/>
        </w:rPr>
        <w:t xml:space="preserve">14</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14</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5–7</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t xml:space="preserve">(Introduction)</w:t>
      </w:r>
    </w:p>
    <w:p>
      <w:pPr>
        <w:pStyle w:val="FirstParagraph"/>
      </w:pPr>
      <w:r>
        <w:t xml:space="preserve">(</w:t>
      </w:r>
      <w:r>
        <w:rPr>
          <w:iCs/>
          <w:i/>
        </w:rPr>
        <w:t xml:space="preserve">this first paragraph needs to be re-written (very concisely, and focused on the temperate forest C sink and its uncertainty</w:t>
      </w:r>
      <w:r>
        <w:t xml:space="preserve">)</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15,16</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18</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Controls on the timing of autumn senescence are less clearly understood (</w:t>
      </w:r>
      <w:r>
        <w:rPr>
          <w:iCs/>
          <w:i/>
        </w:rPr>
        <w:t xml:space="preserve">need to do more lit review on this</w:t>
      </w:r>
      <w:r>
        <w:t xml:space="preserve">).</w:t>
      </w:r>
      <w:r>
        <w:t xml:space="preserve"> </w:t>
      </w:r>
      <w:r>
        <w:t xml:space="preserve">Experimental evidence demonstrates that warmer spring temperatures lead to earlier leaf-out and earlier leaf senescence</w:t>
      </w:r>
      <w:r>
        <w:rPr>
          <w:vertAlign w:val="superscript"/>
        </w:rPr>
        <w:t xml:space="preserve">13,</w:t>
      </w:r>
      <w:r>
        <w:rPr>
          <w:bCs/>
          <w:b/>
          <w:vertAlign w:val="superscript"/>
        </w:rPr>
        <w:t xml:space="preserve">keenan_timing_2015?</w:t>
      </w:r>
      <w:r>
        <w:t xml:space="preserve">, apparently because of sink-limitation to CO</w:t>
      </w:r>
      <w:r>
        <w:rPr>
          <w:vertAlign w:val="subscript"/>
        </w:rPr>
        <w:t xml:space="preserve">2</w:t>
      </w:r>
      <w:r>
        <w:t xml:space="preserve"> </w:t>
      </w:r>
      <w:r>
        <w:t xml:space="preserve">sequestration</w:t>
      </w:r>
      <w:r>
        <w:rPr>
          <w:vertAlign w:val="superscript"/>
        </w:rPr>
        <w:t xml:space="preserve">14</w:t>
      </w:r>
      <w:r>
        <w:t xml:space="preserve">, whereas warmer summer and autumn temperatures delay leaf senescence</w:t>
      </w:r>
      <w:r>
        <w:rPr>
          <w:vertAlign w:val="superscript"/>
        </w:rPr>
        <w:t xml:space="preserve">1,4,6,7,13,</w:t>
      </w:r>
      <w:r>
        <w:rPr>
          <w:bCs/>
          <w:b/>
          <w:vertAlign w:val="superscript"/>
        </w:rPr>
        <w:t xml:space="preserve">vitasse_responses_2009?</w:t>
      </w:r>
      <w:r>
        <w:t xml:space="preserve">.</w:t>
      </w:r>
      <w:r>
        <w:t xml:space="preserve"> </w:t>
      </w:r>
      <w:r>
        <w:t xml:space="preserve">Whatever the mechanisms controlling autumn senescence, the observed pattern is that spring warming generally results in an increased growing season length, measured as the period over which trees have leaves</w:t>
      </w:r>
      <w:r>
        <w:rPr>
          <w:vertAlign w:val="superscript"/>
        </w:rPr>
        <w:t xml:space="preserve">1</w:t>
      </w:r>
      <w:r>
        <w:t xml:space="preserve"> </w:t>
      </w:r>
      <w:r>
        <w:t xml:space="preserve">and the ecosystem is a net CO</w:t>
      </w:r>
      <w:r>
        <w:rPr>
          <w:vertAlign w:val="subscript"/>
        </w:rPr>
        <w:t xml:space="preserve">2</w:t>
      </w:r>
      <w:r>
        <w:t xml:space="preserve"> </w:t>
      </w:r>
      <w:r>
        <w:t xml:space="preserve">sink[REFS].</w:t>
      </w:r>
    </w:p>
    <w:p>
      <w:pPr>
        <w:pStyle w:val="SourceCode"/>
      </w:pPr>
      <w:r>
        <w:rPr>
          <w:rStyle w:val="VerbatimChar"/>
        </w:rPr>
        <w:t xml:space="preserve">##(content --with associated refs--that we don't want to lose, but that needs to be worked into reworded text above)</w:t>
      </w:r>
      <w:r>
        <w:br/>
      </w:r>
      <w:r>
        <w:br/>
      </w:r>
      <w:r>
        <w:rPr>
          <w:rStyle w:val="VerbatimChar"/>
        </w:rPr>
        <w:t xml:space="preserve">The effects of this spring warming are most apparent when examining leaf phenology shifts, *which have been extensively studied ([@way_tree_2011]; [@klosterman_later_2018]), leading to many critical observations*. </w:t>
      </w:r>
      <w:r>
        <w:br/>
      </w:r>
      <w:r>
        <w:rPr>
          <w:rStyle w:val="VerbatimChar"/>
        </w:rPr>
        <w:t xml:space="preserve">For example, some regions have seen earlier leaf out in deciduous trees, which is often matched or exceeded by delays in leaf senescence timing, when springtime temperatures are above average [@ibanez_forecasting_2010;@jeong_phenology_2011;@crabbe_extreme_2016]. </w:t>
      </w:r>
    </w:p>
    <w:p>
      <w:pPr>
        <w:pStyle w:val="FirstParagraph"/>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19–21</w:t>
      </w:r>
      <w:r>
        <w:rPr>
          <w:bCs/>
          <w:b/>
        </w:rPr>
        <w:t xml:space="preserve">.</w:t>
      </w:r>
      <w:r>
        <w:t xml:space="preserve"> </w:t>
      </w:r>
      <w:r>
        <w:rPr>
          <w:iCs/>
          <w:i/>
        </w:rPr>
        <w:t xml:space="preserve">This expectation is represented in models.</w:t>
      </w:r>
      <w:r>
        <w:rPr>
          <w:vertAlign w:val="superscript"/>
          <w:iCs/>
          <w:i/>
        </w:rPr>
        <w:t xml:space="preserve">14</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14</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 [D’Orangeville].</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22</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(Fig. 1) and annual growth across these and an additional 112 forests spanning eastern North America.</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23</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iCs/>
          <w:i/>
        </w:rPr>
        <w:t xml:space="preserve">D’Orangeville</w:t>
      </w:r>
      <w:r>
        <w:t xml:space="preserve">], and set in the context of leaf phenology at these sites.</w:t>
      </w:r>
    </w:p>
    <w:p>
      <w:pPr>
        <w:pStyle w:val="CaptionedFigure"/>
      </w:pPr>
      <w:r>
        <w:drawing>
          <wp:inline>
            <wp:extent cx="5334000" cy="600944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334000" cy="6009441"/>
                    </a:xfrm>
                    <a:prstGeom prst="rect">
                      <a:avLst/>
                    </a:prstGeom>
                    <a:noFill/>
                    <a:ln w="9525">
                      <a:noFill/>
                      <a:headEnd/>
                      <a:tailEnd/>
                    </a:ln>
                  </pic:spPr>
                </pic:pic>
              </a:graphicData>
            </a:graphic>
          </wp:inline>
        </w:drawing>
      </w:r>
    </w:p>
    <w:p>
      <w:pPr>
        <w:pStyle w:val="ImageCaption"/>
      </w:pPr>
      <w:r>
        <w:t xml:space="preserve">Figure 1 | Summary of tree growth changes under warmer spring temperatures. (a)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34" w:name="results"/>
    <w:p>
      <w:pPr>
        <w:pStyle w:val="Heading1"/>
      </w:pPr>
      <w:r>
        <w:t xml:space="preserve">(Results)</w:t>
      </w:r>
    </w:p>
    <w:bookmarkStart w:id="24" w:name="overview-of-phenological-patterns"/>
    <w:p>
      <w:pPr>
        <w:pStyle w:val="Heading2"/>
      </w:pPr>
      <w:r>
        <w:t xml:space="preserve">(overview of phenological patterns)</w:t>
      </w:r>
    </w:p>
    <w:p>
      <w:pPr>
        <w:pStyle w:val="FirstParagraph"/>
      </w:pPr>
      <w:r>
        <w:rPr>
          <w:iCs/>
          <w:i/>
        </w:rPr>
        <w:t xml:space="preserve">(we will need to add leaf phenology to this paragraph)</w:t>
      </w:r>
    </w:p>
    <w:p>
      <w:pPr>
        <w:pStyle w:val="BodyText"/>
      </w:pPr>
      <w:r>
        <w:rPr>
          <w:bCs/>
          <w:b/>
        </w:rPr>
        <w:t xml:space="preserve">Growth milestones were achieved earlier at SCBI than at Harvard Forest (average difference: 6-10 days) and differed between ring- and diffuse-porous species (Extended Data Figure 2, Extended Data Table 2).</w:t>
      </w:r>
      <w:r>
        <w:t xml:space="preserve"> </w:t>
      </w:r>
      <w:r>
        <w:t xml:space="preserve">Across all trees and years, the mean</w:t>
      </w:r>
      <w:r>
        <w:t xml:space="preserve"> </w:t>
      </w:r>
      <m:oMath>
        <m:r>
          <m:t>D</m:t>
        </m:r>
        <m:r>
          <m:t>O</m:t>
        </m:r>
        <m:sSub>
          <m:e>
            <m:r>
              <m:t>Y</m:t>
            </m:r>
          </m:e>
          <m:sub>
            <m:r>
              <m:t>25</m:t>
            </m:r>
          </m:sub>
        </m:sSub>
      </m:oMath>
      <w:r>
        <w:t xml:space="preserve"> </w:t>
      </w:r>
      <w:r>
        <w:t xml:space="preserve">occurred on day 139 (May 20) at SCBI and day 148 (May 29) at Harvard Forest, while</w:t>
      </w:r>
      <w:r>
        <w:t xml:space="preserve"> </w:t>
      </w:r>
      <m:oMath>
        <m:r>
          <m:t>D</m:t>
        </m:r>
        <m:r>
          <m:t>O</m:t>
        </m:r>
        <m:sSub>
          <m:e>
            <m:r>
              <m:t>Y</m:t>
            </m:r>
          </m:e>
          <m:sub>
            <m:r>
              <m:t>75</m:t>
            </m:r>
          </m:sub>
        </m:sSub>
      </m:oMath>
      <w:r>
        <w:t xml:space="preserve"> </w:t>
      </w:r>
      <w:r>
        <w:t xml:space="preserve">occurred on day 185 (July 5) at SCBI and day 193 (July 13) at Harvard Forest.</w:t>
      </w:r>
      <w:r>
        <w:t xml:space="preserve"> </w:t>
      </w:r>
      <w:r>
        <w:t xml:space="preserve">Consistent with the results of Ref[D’Orangeville],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w:t>
      </w:r>
    </w:p>
    <w:bookmarkEnd w:id="24"/>
    <w:bookmarkStart w:id="26" w:name="critical-temperature-windows"/>
    <w:p>
      <w:pPr>
        <w:pStyle w:val="Heading2"/>
      </w:pPr>
      <w:r>
        <w:t xml:space="preserve">(Critical temperature windows)</w:t>
      </w:r>
    </w:p>
    <w:p>
      <w:pPr>
        <w:pStyle w:val="FirstParagraph"/>
      </w:pPr>
      <w:r>
        <w:t xml:space="preserve">For the majority of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(Extended Data Figure 3).</w:t>
      </w:r>
      <w:r>
        <w:t xml:space="preserve"> </w:t>
      </w:r>
      <w:r>
        <w:t xml:space="preserve">This held true for both ring- and diffuse-porous trees at both sites,</w:t>
      </w:r>
      <w:r>
        <w:t xml:space="preserve"> </w:t>
      </w:r>
      <w:r>
        <w:rPr>
          <w:iCs/>
          <w:i/>
        </w:rPr>
        <w:t xml:space="preserve">albiet</w:t>
      </w:r>
      <w:r>
        <w:t xml:space="preserve"> </w:t>
      </w:r>
      <w:r>
        <w:t xml:space="preserve">with less consistent patterns at Harvard Forest, which was sampled for fewer years.</w:t>
      </w:r>
      <w:r>
        <w:t xml:space="preserve"> </w:t>
      </w:r>
      <w:r>
        <w:t xml:space="preserve">The strongest relationships, including but not limited to the optimal time windows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w:t>
      </w:r>
      <w:r>
        <w:t xml:space="preserve"> </w:t>
      </w:r>
      <w:r>
        <w:t xml:space="preserve">Henceforth, we focus on</w:t>
      </w:r>
      <w:r>
        <w:t xml:space="preserve"> </w:t>
      </w:r>
      <m:oMath>
        <m:sSub>
          <m:e>
            <m:r>
              <m:t>T</m:t>
            </m:r>
          </m:e>
          <m:sub>
            <m:r>
              <m:t>m</m:t>
            </m:r>
            <m:r>
              <m:t>a</m:t>
            </m:r>
            <m:r>
              <m:t>x</m:t>
            </m:r>
          </m:sub>
        </m:sSub>
      </m:oMath>
      <w:r>
        <w:t xml:space="preserve"> </w:t>
      </w:r>
      <w:r>
        <w:t xml:space="preserve">assessed over</w:t>
      </w:r>
      <w:r>
        <w:t xml:space="preserve"> </w:t>
      </w:r>
      <w:r>
        <w:rPr>
          <w:iCs/>
          <w:i/>
        </w:rPr>
        <w:t xml:space="preserve">climwin</w:t>
      </w:r>
      <w:r>
        <w:t xml:space="preserve">-selected critical temperature windows,</w:t>
      </w:r>
      <w:r>
        <w:t xml:space="preserve"> </w:t>
      </w:r>
      <w:r>
        <w:rPr>
          <w:iCs/>
          <w:i/>
        </w:rPr>
        <w:t xml:space="preserve">noting that similar results are obtained using alternate temperature window (</w:t>
      </w:r>
      <w:hyperlink r:id="rId25">
        <w:r>
          <w:rPr>
            <w:rStyle w:val="Hyperlink"/>
            <w:iCs/>
            <w:i/>
          </w:rPr>
          <w:t xml:space="preserve">GitHub issue #42</w:t>
        </w:r>
      </w:hyperlink>
      <w:r>
        <w:rPr>
          <w:iCs/>
          <w:i/>
        </w:rPr>
        <w:t xml:space="preserve">).</w:t>
      </w:r>
    </w:p>
    <w:bookmarkEnd w:id="26"/>
    <w:bookmarkStart w:id="30" w:name="climate-sensitivity-of-phenology"/>
    <w:p>
      <w:pPr>
        <w:pStyle w:val="Heading2"/>
      </w:pP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2).</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r>
              <m:t>g</m:t>
            </m:r>
            <m:r>
              <m:rPr>
                <m:sty m:val="p"/>
              </m:rPr>
              <m:t>.</m:t>
            </m:r>
            <m:r>
              <m:t>m</m:t>
            </m:r>
            <m:r>
              <m:t>a</m:t>
            </m:r>
            <m:r>
              <m:t>x</m:t>
            </m:r>
          </m:sub>
        </m:sSub>
      </m:oMath>
      <w:r>
        <w:t xml:space="preserve">, leaf greenup, and mid-greenup, at both sites all decreased significantly with increasing</w:t>
      </w:r>
      <w:r>
        <w:t xml:space="preserve"> </w:t>
      </w:r>
      <m:oMath>
        <m:sSub>
          <m:e>
            <m:r>
              <m:t>T</m:t>
            </m:r>
          </m:e>
          <m:sub>
            <m:r>
              <m:t>m</m:t>
            </m:r>
            <m:r>
              <m:t>a</m:t>
            </m:r>
            <m:r>
              <m:t>x</m:t>
            </m:r>
          </m:sub>
        </m:sSub>
      </m:oMath>
      <w:r>
        <w:t xml:space="preserve"> </w:t>
      </w:r>
      <w:r>
        <w:t xml:space="preserve">during the critical temperature window (Figs. 1, 2, 3).</w:t>
      </w:r>
    </w:p>
    <w:p>
      <w:pPr>
        <w:pStyle w:val="CaptionedFigure"/>
      </w:pPr>
      <w:r>
        <w:drawing>
          <wp:inline>
            <wp:extent cx="5334000" cy="4458650"/>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SHOULD WE SHOW ONLY THE DOY TRENDS and Lpgs (top 2 rows), GIVEN LACK OF SIGNIFICANT TRENDS IN THE OTHERS AND BECAUSE WE NEED TO KEEP FIGURES COMPACT?)" title="" id="1" name="Picture"/>
            <a:graphic>
              <a:graphicData uri="http://schemas.openxmlformats.org/drawingml/2006/picture">
                <pic:pic>
                  <pic:nvPicPr>
                    <pic:cNvPr descr="tables_figures/pheno_Tsensitivity_combo_patchwork_AIC.png" id="0" name="Picture"/>
                    <pic:cNvPicPr>
                      <a:picLocks noChangeArrowheads="1" noChangeAspect="1"/>
                    </pic:cNvPicPr>
                  </pic:nvPicPr>
                  <pic:blipFill>
                    <a:blip r:embed="rId27"/>
                    <a:stretch>
                      <a:fillRect/>
                    </a:stretch>
                  </pic:blipFill>
                  <pic:spPr bwMode="auto">
                    <a:xfrm>
                      <a:off x="0" y="0"/>
                      <a:ext cx="5334000" cy="4458650"/>
                    </a:xfrm>
                    <a:prstGeom prst="rect">
                      <a:avLst/>
                    </a:prstGeom>
                    <a:noFill/>
                    <a:ln w="9525">
                      <a:noFill/>
                      <a:headEnd/>
                      <a:tailEnd/>
                    </a:ln>
                  </pic:spPr>
                </pic:pic>
              </a:graphicData>
            </a:graphic>
          </wp:inline>
        </w:drawing>
      </w:r>
    </w:p>
    <w:p>
      <w:pPr>
        <w:pStyle w:val="ImageCaption"/>
      </w:pPr>
      <w:r>
        <w:t xml:space="preserve">Figure 2 | Relationship between growth parameters and climwin mean temperatures. For each</w:t>
      </w:r>
      <w:r>
        <w:t xml:space="preserve"> </w:t>
      </w:r>
      <w:r>
        <w:t xml:space="preserve">observed climwin mean temperature value, the posterior mean of the fitted day of year</w:t>
      </w:r>
      <w:r>
        <w:t xml:space="preserve"> </w:t>
      </w:r>
      <w:r>
        <w:t xml:space="preserve">is represented by the solid blue line and 95% credible intervals are represented by bands. (</w:t>
      </w:r>
      <w:r>
        <w:rPr>
          <w:bCs/>
          <w:b/>
        </w:rPr>
        <w:t xml:space="preserve">SHOULD WE SHOW ONLY THE DOY TRENDS and Lpgs (top 2 rows), GIVEN LACK OF SIGNIFICANT TRENDS IN THE OTHERS AND BECAUSE WE NEED TO KEEP FIGURES COMPACT?</w:t>
      </w:r>
      <w:r>
        <w:t xml:space="preserve">)</w:t>
      </w:r>
    </w:p>
    <w:p>
      <w:pPr>
        <w:pStyle w:val="CaptionedFigure"/>
      </w:pPr>
      <w:r>
        <w:drawing>
          <wp:inline>
            <wp:extent cx="5334000" cy="4445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8"/>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9">
        <w:r>
          <w:rPr>
            <w:rStyle w:val="Hyperlink"/>
          </w:rPr>
          <w:t xml:space="preserve">GitHub Issue #50</w:t>
        </w:r>
      </w:hyperlink>
      <w:r>
        <w:t xml:space="preserve">. )</w:t>
      </w:r>
    </w:p>
    <w:p>
      <w:pPr>
        <w:pStyle w:val="BodyText"/>
      </w:pPr>
      <w:r>
        <w:t xml:space="preserve">For two of the four species group-site combinations (ring-porous at SCBI and diffuse-porous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2).</w:t>
      </w:r>
      <w:r>
        <w:t xml:space="preserve"> </w:t>
      </w:r>
      <w:r>
        <w:rPr>
          <w:iCs/>
          <w:i/>
        </w:rPr>
        <w:t xml:space="preserve">At SCBI, ring-porous</w:t>
      </w:r>
      <w:r>
        <w:rPr>
          <w:iCs/>
          <w:i/>
        </w:rPr>
        <w:t xml:space="preserve"> </w:t>
      </w:r>
      <m:oMath>
        <m:r>
          <m:t>D</m:t>
        </m:r>
        <m:r>
          <m:t>O</m:t>
        </m:r>
        <m:sSub>
          <m:e>
            <m:r>
              <m:t>Y</m:t>
            </m:r>
          </m:e>
          <m:sub>
            <m:r>
              <m:t>25</m:t>
            </m:r>
          </m:sub>
        </m:sSub>
      </m:oMath>
      <w:r>
        <w:rPr>
          <w:iCs/>
          <w:i/>
        </w:rPr>
        <w:t xml:space="preserve"> </w:t>
      </w:r>
      <w:r>
        <w:rPr>
          <w:iCs/>
          <w:i/>
        </w:rPr>
        <w:t xml:space="preserve">and</w:t>
      </w:r>
      <w:r>
        <w:rPr>
          <w:iCs/>
          <w:i/>
        </w:rPr>
        <w:t xml:space="preserve"> </w:t>
      </w:r>
      <m:oMath>
        <m:r>
          <m:t>D</m:t>
        </m:r>
        <m:r>
          <m:t>O</m:t>
        </m:r>
        <m:sSub>
          <m:e>
            <m:r>
              <m:t>Y</m:t>
            </m:r>
          </m:e>
          <m:sub>
            <m:r>
              <m:t>50</m:t>
            </m:r>
          </m:sub>
        </m:sSub>
      </m:oMath>
      <w:r>
        <w:rPr>
          <w:iCs/>
          <w:i/>
        </w:rPr>
        <w:t xml:space="preserve"> </w:t>
      </w:r>
      <w:r>
        <w:rPr>
          <w:iCs/>
          <w:i/>
        </w:rPr>
        <w:t xml:space="preserve">shifted earlier as a result of warmer springs whereas</w:t>
      </w:r>
      <w:r>
        <w:rPr>
          <w:iCs/>
          <w:i/>
        </w:rPr>
        <w:t xml:space="preserve"> </w:t>
      </w:r>
      <m:oMath>
        <m:r>
          <m:t>D</m:t>
        </m:r>
        <m:r>
          <m:t>O</m:t>
        </m:r>
        <m:sSub>
          <m:e>
            <m:r>
              <m:t>Y</m:t>
            </m:r>
          </m:e>
          <m:sub>
            <m:r>
              <m:t>75</m:t>
            </m:r>
          </m:sub>
        </m:sSub>
      </m:oMath>
      <w:r>
        <w:rPr>
          <w:iCs/>
          <w:i/>
        </w:rPr>
        <w:t xml:space="preserve"> </w:t>
      </w:r>
      <w:r>
        <w:rPr>
          <w:iCs/>
          <w:i/>
        </w:rPr>
        <w:t xml:space="preserve">did not shift significantly, resulting in a positive correlation between</w:t>
      </w:r>
      <w:r>
        <w:rPr>
          <w:iCs/>
          <w:i/>
        </w:rPr>
        <w:t xml:space="preserve"> </w:t>
      </w:r>
      <m:oMath>
        <m:sSub>
          <m:e>
            <m:r>
              <m:t>L</m:t>
            </m:r>
          </m:e>
          <m:sub>
            <m:r>
              <m:t>P</m:t>
            </m:r>
            <m:r>
              <m:t>G</m:t>
            </m:r>
            <m:r>
              <m:t>S</m:t>
            </m:r>
          </m:sub>
        </m:sSub>
      </m:oMath>
      <w:r>
        <w:rPr>
          <w:iCs/>
          <w:i/>
        </w:rPr>
        <w:t xml:space="preserve"> </w:t>
      </w:r>
      <w:r>
        <w:rPr>
          <w:iCs/>
          <w:i/>
        </w:rPr>
        <w:t xml:space="preserve">and</w:t>
      </w:r>
      <w:r>
        <w:rPr>
          <w:iCs/>
          <w:i/>
        </w:rPr>
        <w:t xml:space="preserve"> </w:t>
      </w:r>
      <m:oMath>
        <m:sSub>
          <m:e>
            <m:r>
              <m:t>T</m:t>
            </m:r>
          </m:e>
          <m:sub>
            <m:r>
              <m:t>m</m:t>
            </m:r>
            <m:r>
              <m:t>a</m:t>
            </m:r>
            <m:r>
              <m:t>x</m:t>
            </m:r>
          </m:sub>
        </m:sSub>
      </m:oMath>
      <w:r>
        <w:rPr>
          <w:iCs/>
          <w:i/>
        </w:rPr>
        <w:t xml:space="preserve"> </w:t>
      </w:r>
      <w:r>
        <w:rPr>
          <w:iCs/>
          <w:i/>
        </w:rPr>
        <w:t xml:space="preserve">during the critical temperature.</w:t>
      </w:r>
      <w:r>
        <w:t xml:space="preserve"> </w:t>
      </w:r>
      <w:r>
        <w:rPr>
          <w:iCs/>
          <w:i/>
        </w:rPr>
        <w:t xml:space="preserve">For diffuse-porous species</w:t>
      </w:r>
      <w:r>
        <w:t xml:space="preserve"> </w:t>
      </w:r>
      <w:r>
        <w:t xml:space="preserve">At SCBI,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p>
      <w:pPr>
        <w:pStyle w:val="BodyText"/>
      </w:pPr>
      <w:r>
        <w:t xml:space="preserve">Ring- and diffuse- porous species were pooled together at each site for leaf phenology measures. Day of year of greenup occurred 21 days earlier at SCBI and 7 days earlier at Harvard Forest when comparing the year with the warmest and coldest critical windows in the analysis (Fig. 3). Mid-greenup timing also shifted forward at both sites when spring temperatures were higher but less so than greenup. Senescence occurred earlier at Harvard forest by 12 days in the warm year while SCBI saw a 5 day delay of senescence during the warm year.</w:t>
      </w:r>
    </w:p>
    <w:bookmarkEnd w:id="30"/>
    <w:bookmarkStart w:id="33" w:name="climate-sensitivity-of-growth"/>
    <w:p>
      <w:pPr>
        <w:pStyle w:val="Heading2"/>
      </w:pP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2).</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2).</w:t>
      </w:r>
    </w:p>
    <w:p>
      <w:pPr>
        <w:pStyle w:val="BodyText"/>
      </w:pPr>
      <w:r>
        <w:rPr>
          <w:bCs/>
          <w:b/>
        </w:rPr>
        <w:t xml:space="preserve">To understand how annual growth, as registered in ring width indices (</w:t>
      </w:r>
      <m:oMath>
        <m:r>
          <m:t>R</m:t>
        </m:r>
        <m:r>
          <m:t>W</m:t>
        </m:r>
        <m:r>
          <m:t>I</m:t>
        </m:r>
      </m:oMath>
      <w:r>
        <w:rPr>
          <w:bCs/>
          <w:b/>
        </w:rPr>
        <w:t xml:space="preserve">), have responded to spring temperatures at the centennial scale, we analyzed tree-ring chronologies for 12 species at SCBI, 3 species at Harvard Forest.</w:t>
      </w:r>
      <w:r>
        <w:t xml:space="preserve"> </w:t>
      </w:r>
      <w:r>
        <w:rPr>
          <w:iCs/>
          <w:i/>
        </w:rPr>
        <w:t xml:space="preserve">(The following should be condensed:)</w:t>
      </w:r>
      <w:r>
        <w:t xml:space="preserve"> </w:t>
      </w:r>
      <w:r>
        <w:t xml:space="preserve">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Cs/>
          <w:i/>
        </w:rPr>
        <w:t xml:space="preserve">Carya tomentosa</w:t>
      </w:r>
      <w:r>
        <w:t xml:space="preserve"> </w:t>
      </w:r>
      <w:r>
        <w:t xml:space="preserve">in March at SCBI; diffuse-porous</w:t>
      </w:r>
      <w:r>
        <w:t xml:space="preserve"> </w:t>
      </w:r>
      <w:r>
        <w:rPr>
          <w:iCs/>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Cs/>
          <w:i/>
        </w:rPr>
        <w:t xml:space="preserve">Quercus rubra</w:t>
      </w:r>
      <w:r>
        <w:t xml:space="preserve"> </w:t>
      </w:r>
      <w:r>
        <w:t xml:space="preserve">in June).</w:t>
      </w:r>
    </w:p>
    <w:p>
      <w:pPr>
        <w:pStyle w:val="CaptionedFigure"/>
      </w:pPr>
      <w:r>
        <w:drawing>
          <wp:inline>
            <wp:extent cx="5334000" cy="5147802"/>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April T_max. Chronology details are given in the Supplementary Information. (NOTE: Figure still needs some work. COLOR SCALE IS A BIT OFF.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31"/>
                    <a:stretch>
                      <a:fillRect/>
                    </a:stretch>
                  </pic:blipFill>
                  <pic:spPr bwMode="auto">
                    <a:xfrm>
                      <a:off x="0" y="0"/>
                      <a:ext cx="5334000" cy="5147802"/>
                    </a:xfrm>
                    <a:prstGeom prst="rect">
                      <a:avLst/>
                    </a:prstGeom>
                    <a:noFill/>
                    <a:ln w="9525">
                      <a:noFill/>
                      <a:headEnd/>
                      <a:tailEnd/>
                    </a:ln>
                  </pic:spPr>
                </pic:pic>
              </a:graphicData>
            </a:graphic>
          </wp:inline>
        </w:drawing>
      </w:r>
    </w:p>
    <w:p>
      <w:pPr>
        <w:pStyle w:val="ImageCaption"/>
      </w:pPr>
      <w:r>
        <w:t xml:space="preserve">Figure 4 | Sensitivity of annual growth, as derived from tree-rings, to monthly maximum temperatures, for 207 chronologies from 114 sites across eastern North America (Extended Data Figure 1). Chronologies are grouped by xylem porosity and ordered by mean April T_max. Chronology details are given in the Supplementary Information. (NOTE: Figure still needs some work.</w:t>
      </w:r>
      <w:r>
        <w:t xml:space="preserve"> </w:t>
      </w:r>
      <w:r>
        <w:rPr>
          <w:bCs/>
          <w:b/>
        </w:rPr>
        <w:t xml:space="preserve">COLOR SCALE IS A BIT OFF.</w:t>
      </w:r>
      <w:r>
        <w:t xml:space="preserve"> </w:t>
      </w:r>
      <w:r>
        <w:t xml:space="preserve">See</w:t>
      </w:r>
      <w:r>
        <w:t xml:space="preserve"> </w:t>
      </w:r>
      <w:hyperlink r:id="rId32">
        <w:r>
          <w:rPr>
            <w:rStyle w:val="Hyperlink"/>
          </w:rPr>
          <w:t xml:space="preserve">GitHub Issue #49</w:t>
        </w:r>
      </w:hyperlink>
      <w:r>
        <w:t xml:space="preserve">.)</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p>
      <w:pPr>
        <w:pStyle w:val="BodyText"/>
      </w:pPr>
      <w:r>
        <w:rPr>
          <w:bCs/>
          <w:b/>
        </w:rPr>
        <w:t xml:space="preserve">To set these findings in a broader scale context, we analyzed an additional 192 chronologies from 112.</w:t>
      </w:r>
      <w:r>
        <w:t xml:space="preserve"> </w:t>
      </w:r>
      <w:r>
        <w:t xml:space="preserve">In total, our analysis included # species at sites distributed from XXX to XXX and spanning a ## degree range in April T.**</w:t>
      </w:r>
      <w:r>
        <w:t xml:space="preserve"> </w:t>
      </w:r>
      <w:r>
        <w:rPr>
          <w:iCs/>
          <w:i/>
        </w:rPr>
        <w:t xml:space="preserve">(describe results across all sites)</w:t>
      </w:r>
      <w:r>
        <w:t xml:space="preserve"> </w:t>
      </w:r>
      <w:r>
        <w:t xml:space="preserve">(Fig. 4)</w:t>
      </w:r>
    </w:p>
    <w:bookmarkEnd w:id="33"/>
    <w:bookmarkEnd w:id="34"/>
    <w:bookmarkStart w:id="35" w:name="discussion"/>
    <w:p>
      <w:pPr>
        <w:pStyle w:val="Heading1"/>
      </w:pP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( 1- 3). Using dendroband data, we found that the peak growing season generally advanced as the critical spring windows warmed (Fig. 3).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1-3).</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2),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rPr>
          <w:vertAlign w:val="superscript"/>
        </w:rPr>
        <w:t xml:space="preserve">22</w:t>
      </w:r>
      <w:r>
        <w:t xml:space="preserve"> .</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3 , REFS), an earlier start to net C sequestration (REFS), and, as shown here, earlier initiation of stem growth (Figs. 1- 3).</w:t>
      </w:r>
      <w:r>
        <w:t xml:space="preserve"> </w:t>
      </w:r>
      <w:r>
        <w:t xml:space="preserve">Yet, an earlier start to the growing season is not associated with a longer growing season (Figs. 1, 2)</w:t>
      </w:r>
      <w:r>
        <w:rPr>
          <w:vertAlign w:val="superscript"/>
        </w:rPr>
        <w:t xml:space="preserve">14</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14</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2, 4)</w:t>
      </w:r>
      <w:r>
        <w:rPr>
          <w:vertAlign w:val="superscript"/>
        </w:rPr>
        <w:t xml:space="preserve">14</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5"/>
    <w:bookmarkStart w:id="36" w:name="content-to-incorporate"/>
    <w:p>
      <w:pPr>
        <w:pStyle w:val="Heading1"/>
      </w:pP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12,21</w:t>
      </w:r>
      <w:r>
        <w:t xml:space="preserve"> This idea agrees with patterns seen in tree cores, where peak growing season climate was more influential than spring climate</w:t>
      </w:r>
      <w:r>
        <w:rPr>
          <w:vertAlign w:val="superscript"/>
        </w:rPr>
        <w:t xml:space="preserve">22</w:t>
      </w:r>
      <w:r>
        <w:t xml:space="preserve"> </w:t>
      </w:r>
      <w:r>
        <w:t xml:space="preserve">but many models still predict the extension of growing season will increase NEE.</w:t>
      </w:r>
    </w:p>
    <w:p>
      <w:pPr>
        <w:pStyle w:val="BodyText"/>
      </w:pPr>
      <w:r>
        <w:rPr>
          <w:vertAlign w:val="superscript"/>
        </w:rPr>
        <w:t xml:space="preserve">24</w:t>
      </w:r>
    </w:p>
    <w:p>
      <w:pPr>
        <w:pStyle w:val="BodyText"/>
      </w:pPr>
      <w:r>
        <w:t xml:space="preserve">From Neil:,</w:t>
      </w:r>
      <w:r>
        <w:rPr>
          <w:vertAlign w:val="superscript"/>
        </w:rPr>
        <w:t xml:space="preserve">25</w:t>
      </w:r>
      <w:r>
        <w:rPr>
          <w:vertAlign w:val="superscript"/>
        </w:rPr>
        <w:t xml:space="preserve">26</w:t>
      </w:r>
    </w:p>
    <w:p>
      <w:pPr>
        <w:pStyle w:val="BodyText"/>
      </w:pPr>
      <w:r>
        <w:t xml:space="preserve">effect of spring temperature on annual growth in New England:</w:t>
      </w:r>
      <w:r>
        <w:rPr>
          <w:vertAlign w:val="superscript"/>
        </w:rPr>
        <w:t xml:space="preserve">27</w:t>
      </w:r>
    </w:p>
    <w:p>
      <w:pPr>
        <w:pStyle w:val="BodyText"/>
      </w:pPr>
      <w:r>
        <w:t xml:space="preserve">results align with,</w:t>
      </w:r>
      <w:r>
        <w:rPr>
          <w:vertAlign w:val="superscript"/>
        </w:rPr>
        <w:t xml:space="preserve">12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6"/>
    <w:bookmarkStart w:id="46" w:name="methods"/>
    <w:p>
      <w:pPr>
        <w:pStyle w:val="Heading1"/>
      </w:pPr>
      <w:r>
        <w:t xml:space="preserve">Methods</w:t>
      </w:r>
    </w:p>
    <w:bookmarkStart w:id="37" w:name="study-sites"/>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7"/>
    <w:bookmarkStart w:id="43" w:name="data-collection-and-preparation"/>
    <w:p>
      <w:pPr>
        <w:pStyle w:val="Heading2"/>
      </w:pPr>
      <w:r>
        <w:t xml:space="preserve">Data collection and preparation</w:t>
      </w:r>
    </w:p>
    <w:bookmarkStart w:id="38" w:name="dendrometer-bands"/>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23</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23</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8"/>
    <w:bookmarkStart w:id="39" w:name="tree-rings"/>
    <w:p>
      <w:pPr>
        <w:pStyle w:val="Heading3"/>
      </w:pPr>
      <w:r>
        <w:t xml:space="preserve">Tree-rings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22</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28</w:t>
      </w:r>
      <w:r>
        <w:t xml:space="preserve"> and trees found newly dead in annual tree mortality in 2016 and 2017.</w:t>
      </w:r>
      <w:r>
        <w:rPr>
          <w:vertAlign w:val="superscript"/>
        </w:rPr>
        <w:t xml:space="preserve">22</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29,30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29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29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9"/>
    <w:bookmarkStart w:id="42"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40">
        <w:r>
          <w:rPr>
            <w:rStyle w:val="Hyperlink"/>
          </w:rPr>
          <w:t xml:space="preserve">https://forestgeo.github.io/Climate/</w:t>
        </w:r>
      </w:hyperlink>
      <w:r>
        <w:t xml:space="preserve">;].</w:t>
      </w:r>
      <w:r>
        <w:rPr>
          <w:vertAlign w:val="superscript"/>
        </w:rPr>
        <w:t xml:space="preserve">33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1">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34</w:t>
      </w:r>
      <w:r>
        <w:t xml:space="preserve"> again via the ForestGEO Climate Data Portal v1.0.</w:t>
      </w:r>
      <w:r>
        <w:rPr>
          <w:vertAlign w:val="superscript"/>
        </w:rPr>
        <w:t xml:space="preserve">33</w:t>
      </w:r>
    </w:p>
    <w:bookmarkEnd w:id="42"/>
    <w:bookmarkEnd w:id="43"/>
    <w:bookmarkStart w:id="44" w:name="determining-critical-temperature-windows"/>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35</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22</w:t>
      </w:r>
      <w:r>
        <w:t xml:space="preserve"> Determining the climate variables that most strongly control all parameters is beyond the scope of this analysis.</w:t>
      </w:r>
    </w:p>
    <w:bookmarkEnd w:id="44"/>
    <w:bookmarkStart w:id="45" w:name="hypothesis-testing"/>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5"/>
    <w:bookmarkEnd w:id="46"/>
    <w:bookmarkStart w:id="47"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7"/>
    <w:bookmarkStart w:id="48" w:name="author-contributions"/>
    <w:p>
      <w:pPr>
        <w:pStyle w:val="Heading1"/>
      </w:pPr>
      <w:r>
        <w:t xml:space="preserve">Author Contributions</w:t>
      </w:r>
    </w:p>
    <w:bookmarkEnd w:id="48"/>
    <w:bookmarkStart w:id="49" w:name="additional-information"/>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9"/>
    <w:bookmarkStart w:id="91" w:name="references"/>
    <w:p>
      <w:pPr>
        <w:pStyle w:val="Heading1"/>
      </w:pPr>
      <w:r>
        <w:t xml:space="preserve">References</w:t>
      </w:r>
    </w:p>
    <w:bookmarkStart w:id="90" w:name="refs"/>
    <w:bookmarkStart w:id="50"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0"/>
    <w:bookmarkStart w:id="51" w:name="ref-menzel_growing_1999"/>
    <w:p>
      <w:pPr>
        <w:pStyle w:val="Bibliography"/>
      </w:pPr>
      <w:r>
        <w:t xml:space="preserve">2.</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3.</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4.</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8" w:name="ref-anderson-teixeira_carbon_2021"/>
    <w:p>
      <w:pPr>
        <w:pStyle w:val="Bibliography"/>
      </w:pPr>
      <w:r>
        <w:t xml:space="preserve">8.</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7">
        <w:r>
          <w:rPr>
            <w:rStyle w:val="Hyperlink"/>
          </w:rPr>
          <w:t xml:space="preserve">10.1088/1748-9326/abed01</w:t>
        </w:r>
      </w:hyperlink>
      <w:r>
        <w:t xml:space="preserve">.</w:t>
      </w:r>
    </w:p>
    <w:bookmarkEnd w:id="58"/>
    <w:bookmarkStart w:id="59" w:name="ref-xue_global_2017"/>
    <w:p>
      <w:pPr>
        <w:pStyle w:val="Bibliography"/>
      </w:pPr>
      <w:r>
        <w:t xml:space="preserve">9.</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10.</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11.</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zohner_ongoing_2019"/>
    <w:p>
      <w:pPr>
        <w:pStyle w:val="Bibliography"/>
      </w:pPr>
      <w:r>
        <w:t xml:space="preserve">13.</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3"/>
    <w:bookmarkStart w:id="64"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rora_carbon_2020"/>
    <w:p>
      <w:pPr>
        <w:pStyle w:val="Bibliography"/>
      </w:pPr>
      <w:r>
        <w:t xml:space="preserve">15.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parmesan_globally_2003"/>
    <w:p>
      <w:pPr>
        <w:pStyle w:val="Bibliography"/>
      </w:pPr>
      <w:r>
        <w:t xml:space="preserve">17.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18.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9"/>
    <w:bookmarkStart w:id="70" w:name="ref-keenan_net_2014"/>
    <w:p>
      <w:pPr>
        <w:pStyle w:val="Bibliography"/>
      </w:pPr>
      <w:r>
        <w:t xml:space="preserve">20.</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70"/>
    <w:bookmarkStart w:id="71" w:name="ref-zhou_explaining_2016"/>
    <w:p>
      <w:pPr>
        <w:pStyle w:val="Bibliography"/>
      </w:pPr>
      <w:r>
        <w:t xml:space="preserve">21.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71"/>
    <w:bookmarkStart w:id="72" w:name="ref-helcoski_growing_2019"/>
    <w:p>
      <w:pPr>
        <w:pStyle w:val="Bibliography"/>
      </w:pPr>
      <w:r>
        <w:t xml:space="preserve">22.</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2"/>
    <w:bookmarkStart w:id="73" w:name="ref-mcmahon_general_2015"/>
    <w:p>
      <w:pPr>
        <w:pStyle w:val="Bibliography"/>
      </w:pPr>
      <w:r>
        <w:t xml:space="preserve">23.</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3"/>
    <w:bookmarkStart w:id="75" w:name="ref-delgado_differences_2020"/>
    <w:p>
      <w:pPr>
        <w:pStyle w:val="Bibliography"/>
      </w:pPr>
      <w:r>
        <w:t xml:space="preserve">24.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4">
        <w:r>
          <w:rPr>
            <w:rStyle w:val="Hyperlink"/>
          </w:rPr>
          <w:t xml:space="preserve">10.1073/pnas.2002713117</w:t>
        </w:r>
      </w:hyperlink>
      <w:r>
        <w:t xml:space="preserve">.</w:t>
      </w:r>
    </w:p>
    <w:bookmarkEnd w:id="75"/>
    <w:bookmarkStart w:id="76" w:name="ref-zhang_drought_2021"/>
    <w:p>
      <w:pPr>
        <w:pStyle w:val="Bibliography"/>
      </w:pPr>
      <w:r>
        <w:t xml:space="preserve">25.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6"/>
    <w:bookmarkStart w:id="77" w:name="ref-zhang_extended_2020"/>
    <w:p>
      <w:pPr>
        <w:pStyle w:val="Bibliography"/>
      </w:pPr>
      <w:r>
        <w:t xml:space="preserve">26.</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7"/>
    <w:bookmarkStart w:id="78"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bourg_initial_2013"/>
    <w:p>
      <w:pPr>
        <w:pStyle w:val="Bibliography"/>
      </w:pPr>
      <w:r>
        <w:t xml:space="preserve">28.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9"/>
    <w:bookmarkStart w:id="80" w:name="ref-cook_time_1985"/>
    <w:p>
      <w:pPr>
        <w:pStyle w:val="Bibliography"/>
      </w:pPr>
      <w:r>
        <w:t xml:space="preserve">29.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0"/>
    <w:bookmarkStart w:id="82" w:name="ref-cook_methods_1990"/>
    <w:p>
      <w:pPr>
        <w:pStyle w:val="Bibliography"/>
      </w:pPr>
      <w:r>
        <w:t xml:space="preserve">30.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1">
        <w:r>
          <w:rPr>
            <w:rStyle w:val="Hyperlink"/>
          </w:rPr>
          <w:t xml:space="preserve">10.1007/978-94-015-7879-0</w:t>
        </w:r>
      </w:hyperlink>
      <w:r>
        <w:t xml:space="preserve">.</w:t>
      </w:r>
    </w:p>
    <w:bookmarkEnd w:id="82"/>
    <w:bookmarkStart w:id="83" w:name="ref-cook_calculating_1997"/>
    <w:p>
      <w:pPr>
        <w:pStyle w:val="Bibliography"/>
      </w:pPr>
      <w:r>
        <w:t xml:space="preserve">31.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3"/>
    <w:bookmarkStart w:id="84" w:name="ref-jones_estimating_1997"/>
    <w:p>
      <w:pPr>
        <w:pStyle w:val="Bibliography"/>
      </w:pPr>
      <w:r>
        <w:t xml:space="preserve">32.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4"/>
    <w:bookmarkStart w:id="86" w:name="ref-anderson-teixeira_forestgeo_2020"/>
    <w:p>
      <w:pPr>
        <w:pStyle w:val="Bibliography"/>
      </w:pPr>
      <w:r>
        <w:t xml:space="preserve">33.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5">
        <w:r>
          <w:rPr>
            <w:rStyle w:val="Hyperlink"/>
          </w:rPr>
          <w:t xml:space="preserve">10.5281/ZENODO.4041609</w:t>
        </w:r>
      </w:hyperlink>
      <w:r>
        <w:t xml:space="preserve">.</w:t>
      </w:r>
    </w:p>
    <w:bookmarkEnd w:id="86"/>
    <w:bookmarkStart w:id="87" w:name="ref-harris_version_2020"/>
    <w:p>
      <w:pPr>
        <w:pStyle w:val="Bibliography"/>
      </w:pPr>
      <w:r>
        <w:t xml:space="preserve">34.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7"/>
    <w:bookmarkStart w:id="88" w:name="ref-vandepol_identifying_2016"/>
    <w:p>
      <w:pPr>
        <w:pStyle w:val="Bibliography"/>
      </w:pPr>
      <w:r>
        <w:t xml:space="preserve">35.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8"/>
    <w:bookmarkStart w:id="89" w:name="ref-bates_fitting_2015"/>
    <w:p>
      <w:pPr>
        <w:pStyle w:val="Bibliography"/>
      </w:pPr>
      <w:r>
        <w:t xml:space="preserve">36.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9"/>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2021-04-27T20:33:04Z</dcterms:created>
  <dcterms:modified xsi:type="dcterms:W3CDTF">2021-04-27T20:33:04Z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word_document</vt:lpwstr>
  </property>
</Properties>
</file>