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bCs/>
          <w:b/>
        </w:rPr>
        <w:t xml:space="preserve"> </w:t>
      </w:r>
      <w:r>
        <w:rPr>
          <w:bCs/>
          <w:b/>
        </w:rPr>
        <w:t xml:space="preserve">and commencement of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14</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w:t>
      </w:r>
      <w:r>
        <w:rPr>
          <w:iCs/>
          <w:i/>
        </w:rPr>
        <w:t xml:space="preserve">GPP</w:t>
      </w:r>
      <w:r>
        <w:t xml:space="preserve">) and net CO</w:t>
      </w:r>
      <w:r>
        <w:rPr>
          <w:vertAlign w:val="subscript"/>
        </w:rPr>
        <w:t xml:space="preserve">2</w:t>
      </w:r>
      <w:r>
        <w:t xml:space="preserve"> </w:t>
      </w:r>
      <w:r>
        <w:t xml:space="preserve">uptake (i.e., net ecosystem exchange,</w:t>
      </w:r>
      <w:r>
        <w:t xml:space="preserve"> </w:t>
      </w:r>
      <w:r>
        <w:rPr>
          <w:iCs/>
          <w:i/>
        </w:rPr>
        <w:t xml:space="preserve">NEE</w:t>
      </w:r>
      <w:r>
        <w:t xml:space="preserv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w:t>
      </w:r>
      <w:r>
        <w:rPr>
          <w:iCs/>
          <w:i/>
        </w:rPr>
        <w:t xml:space="preserve">ANPP</w:t>
      </w:r>
      <w:r>
        <w:rPr>
          <w:vertAlign w:val="subscript"/>
          <w:iCs/>
          <w:i/>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w:t>
      </w:r>
      <w:r>
        <w:t xml:space="preserve"> </w:t>
      </w:r>
      <w:r>
        <w:rPr>
          <w:iCs/>
          <w:i/>
        </w:rPr>
        <w:t xml:space="preserve">ANPP</w:t>
      </w:r>
      <w:r>
        <w:rPr>
          <w:vertAlign w:val="subscript"/>
          <w:iCs/>
          <w:i/>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w:t>
      </w:r>
      <w:r>
        <w:t xml:space="preserve"> </w:t>
      </w:r>
      <w:r>
        <w:rPr>
          <w:iCs/>
          <w:i/>
        </w:rPr>
        <w:t xml:space="preserve">ANPP</w:t>
      </w:r>
      <w:r>
        <w:rPr>
          <w:vertAlign w:val="subscript"/>
          <w:iCs/>
          <w:i/>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w:t>
      </w:r>
      <w:r>
        <w:t xml:space="preserve"> </w:t>
      </w:r>
      <w:r>
        <w:rPr>
          <w:iCs/>
          <w:i/>
        </w:rPr>
        <w:t xml:space="preserve">GPP</w:t>
      </w:r>
      <w:r>
        <w:rPr>
          <w:vertAlign w:val="superscript"/>
        </w:rPr>
        <w:t xml:space="preserve">21</w:t>
      </w:r>
      <w:r>
        <w:t xml:space="preserve">, or</w:t>
      </w:r>
      <w:r>
        <w:t xml:space="preserve"> </w:t>
      </w:r>
      <w:r>
        <w:rPr>
          <w:iCs/>
          <w:i/>
        </w:rPr>
        <w:t xml:space="preserve">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w:r>
        <w:rPr>
          <w:iCs/>
          <w:i/>
        </w:rPr>
        <w:t xml:space="preserve">∆DBH</w:t>
      </w:r>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 Extended Data Figure 1)</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w:t>
      </w:r>
      <w:r>
        <w:rPr>
          <w:iCs/>
          <w:i/>
        </w:rPr>
        <w:t xml:space="preserve">CTW</w:t>
      </w:r>
      <w:r>
        <w:t xml:space="preserve">).</w:t>
      </w:r>
      <w:r>
        <w:t xml:space="preserve"> </w:t>
      </w:r>
      <w:r>
        <w:rPr>
          <w:iCs/>
          <w:i/>
        </w:rPr>
        <w:t xml:space="preserve">CTW</w:t>
      </w:r>
      <w:r>
        <w:t xml:space="preserve"> </w:t>
      </w:r>
      <w:r>
        <w:t xml:space="preserve">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2).</w:t>
      </w:r>
      <w:r>
        <w:t xml:space="preserve"> </w:t>
      </w:r>
      <w:r>
        <w:t xml:space="preserve">The</w:t>
      </w:r>
      <w:r>
        <w:t xml:space="preserve"> </w:t>
      </w:r>
      <w:r>
        <w:rPr>
          <w:iCs/>
          <w:i/>
        </w:rPr>
        <w:t xml:space="preserve">CTW</w:t>
      </w:r>
      <w:r>
        <w:t xml:space="preserve"> </w:t>
      </w:r>
      <w:r>
        <w:t xml:space="preserve">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w:t>
      </w:r>
      <w:r>
        <w:rPr>
          <w:iCs/>
          <w:i/>
        </w:rPr>
        <w:t xml:space="preserve">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days/°C at SCBI (p=0.016) and 2.4 days/ °C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(Figs. 1, 2c-d; Extended Data Figures 3-4).</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 °C for ring porous species and 2.8-2.9 days/ °C for diffuse porous species at SCBI, and 10.3-12.3 days/ °C for ring porous species and 0.9-4.2 days/°C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3-4).</w:t>
      </w:r>
    </w:p>
    <w:p>
      <w:pPr>
        <w:pStyle w:val="BodyText"/>
      </w:pPr>
      <w:r>
        <w:t xml:space="preserve">In contrast to the pronounced effects of</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w:r>
        <w:rPr>
          <w:iCs/>
          <w:i/>
        </w:rPr>
        <w:t xml:space="preserve">∆DBH</w:t>
      </w:r>
      <w:r>
        <w:t xml:space="preserve"> </w:t>
      </w:r>
      <w:r>
        <w:t xml:space="preserve">were inconsistent, and usually weak (Fig. 1, Extended Data Figures 3-4).</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w:r>
        <w:rPr>
          <w:iCs/>
          <w:i/>
        </w:rPr>
        <w:t xml:space="preserve">∆DBH</w:t>
      </w:r>
      <w:r>
        <w:t xml:space="preserve"> </w:t>
      </w:r>
      <w:r>
        <w:t xml:space="preserve">displayed a weak positive relationship (+0.003-0.008 cm/ °C) with</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SCBI and a weak negative relationship (-0.02-0.003 cm/ °C) at Harvard Forest (Extended Data Figure 3).</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5; Extended Data Table 3).</w:t>
      </w:r>
      <w:r>
        <w:t xml:space="preserve"> </w:t>
      </w:r>
      <w:r>
        <w:t xml:space="preserve">In total, our analysis included 207 chronologies representing 24 broadleaf species at 108 sites distributed from Alabama (34.35°N latitude) to Michigan (45.56°N latitude) and spanning a 15 °C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w:t>
      </w:r>
      <w:r>
        <w:rPr>
          <w:iCs/>
          <w:i/>
        </w:rPr>
        <w:t xml:space="preserve">RWI</w:t>
      </w:r>
      <w:r>
        <w:t xml:space="preserve">)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w:t>
      </w:r>
      <w:r>
        <w:t xml:space="preserve"> </w:t>
      </w:r>
      <w:r>
        <w:rPr>
          <w:iCs/>
          <w:i/>
        </w:rPr>
        <w:t xml:space="preserve">RWI</w:t>
      </w:r>
      <w:r>
        <w:t xml:space="preserve"> </w:t>
      </w:r>
      <w:r>
        <w:t xml:space="preserve">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w:t>
      </w:r>
      <w:r>
        <w:t xml:space="preserve"> </w:t>
      </w:r>
      <w:r>
        <w:rPr>
          <w:iCs/>
          <w:i/>
        </w:rPr>
        <w:t xml:space="preserve">RWI</w:t>
      </w:r>
      <w:r>
        <w:t xml:space="preserve"> </w:t>
      </w:r>
      <w:r>
        <w:t xml:space="preserve">(Extended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w:t>
      </w:r>
      <w:r>
        <w:t xml:space="preserve"> </w:t>
      </w:r>
      <w:r>
        <w:rPr>
          <w:iCs/>
          <w:i/>
        </w:rPr>
        <w:t xml:space="preserve">RWI</w:t>
      </w:r>
      <w:r>
        <w:t xml:space="preserve"> </w:t>
      </w:r>
      <w:r>
        <w:t xml:space="preserve">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w:t>
      </w:r>
      <w:r>
        <w:t xml:space="preserve"> </w:t>
      </w:r>
      <w:r>
        <w:rPr>
          <w:iCs/>
          <w:i/>
        </w:rPr>
        <w:t xml:space="preserve">RWI</w:t>
      </w:r>
      <w:r>
        <w:t xml:space="preserve"> </w:t>
      </w:r>
      <w:r>
        <w:t xml:space="preserve">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Results were qualitatively similar to the univariate correlations (Fig. 3), with significant (p ≤ 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w:t>
      </w:r>
      <w:r>
        <w:t xml:space="preserve"> </w:t>
      </w:r>
      <w:r>
        <w:rPr>
          <w:iCs/>
          <w:i/>
        </w:rPr>
        <w:t xml:space="preserve">NEE</w:t>
      </w:r>
      <w:r>
        <w:rPr>
          <w:vertAlign w:val="superscript"/>
        </w:rPr>
        <w:t xml:space="preserve">1,3</w:t>
      </w:r>
      <w:r>
        <w:t xml:space="preserve">.</w:t>
      </w:r>
      <w:r>
        <w:t xml:space="preserve"> </w:t>
      </w:r>
      <w:r>
        <w:t xml:space="preserve">However, inconsistent with the concept that an earlier start to growth would increase</w:t>
      </w:r>
      <w:r>
        <w:t xml:space="preserve"> </w:t>
      </w:r>
      <w:r>
        <w:rPr>
          <w:iCs/>
          <w:i/>
        </w:rPr>
        <w:t xml:space="preserve">ANPP</w:t>
      </w:r>
      <w:r>
        <w:rPr>
          <w:vertAlign w:val="subscript"/>
          <w:iCs/>
          <w:i/>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1)</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w:t>
      </w:r>
      <w:r>
        <w:t xml:space="preserve"> </w:t>
      </w:r>
      <w:r>
        <w:rPr>
          <w:iCs/>
          <w:i/>
        </w:rPr>
        <w:t xml:space="preserve">ANPP</w:t>
      </w:r>
      <w:r>
        <w:rPr>
          <w:vertAlign w:val="subscript"/>
          <w:iCs/>
          <w:i/>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w:t>
      </w:r>
      <w:r>
        <w:t xml:space="preserve"> </w:t>
      </w:r>
      <w:r>
        <w:rPr>
          <w:iCs/>
          <w:i/>
        </w:rPr>
        <w:t xml:space="preserve">ANPP</w:t>
      </w:r>
      <w:r>
        <w:rPr>
          <w:vertAlign w:val="subscript"/>
          <w:iCs/>
          <w:i/>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w:t>
      </w:r>
      <w:r>
        <w:t xml:space="preserve"> </w:t>
      </w:r>
      <w:r>
        <w:rPr>
          <w:iCs/>
          <w:i/>
        </w:rPr>
        <w:t xml:space="preserve">GPP</w:t>
      </w:r>
      <w:r>
        <w:t xml:space="preserve"> </w:t>
      </w:r>
      <w:r>
        <w:t xml:space="preserve">of a mature forest was increased through experimental CO</w:t>
      </w:r>
      <w:r>
        <w:rPr>
          <w:vertAlign w:val="subscript"/>
        </w:rPr>
        <w:t xml:space="preserve">2</w:t>
      </w:r>
      <w:r>
        <w:t xml:space="preserve"> </w:t>
      </w:r>
      <w:r>
        <w:t xml:space="preserve">enrichment,</w:t>
      </w:r>
      <w:r>
        <w:t xml:space="preserve"> </w:t>
      </w:r>
      <w:r>
        <w:rPr>
          <w:iCs/>
          <w:i/>
        </w:rPr>
        <w:t xml:space="preserve">ANPP</w:t>
      </w:r>
      <w:r>
        <w:rPr>
          <w:vertAlign w:val="subscript"/>
          <w:iCs/>
          <w:i/>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w:t>
      </w:r>
      <w:r>
        <w:t xml:space="preserve"> </w:t>
      </w:r>
      <w:r>
        <w:rPr>
          <w:iCs/>
          <w:i/>
        </w:rPr>
        <w:t xml:space="preserve">NEE</w:t>
      </w:r>
      <w:r>
        <w:t xml:space="preserve"> </w:t>
      </w:r>
      <w:r>
        <w:t xml:space="preserve">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w:t>
      </w:r>
      <w:r>
        <w:t xml:space="preserve"> </w:t>
      </w:r>
      <w:r>
        <w:rPr>
          <w:iCs/>
          <w:i/>
        </w:rPr>
        <w:t xml:space="preserve">ANPP</w:t>
      </w:r>
      <w:r>
        <w:rPr>
          <w:vertAlign w:val="subscript"/>
          <w:iCs/>
          <w:i/>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w:t>
      </w:r>
      <w:r>
        <w:t xml:space="preserve"> </w:t>
      </w:r>
      <w:r>
        <w:rPr>
          <w:iCs/>
          <w:i/>
        </w:rPr>
        <w:t xml:space="preserve">ANPP</w:t>
      </w:r>
      <w:r>
        <w:rPr>
          <w:vertAlign w:val="subscript"/>
          <w:iCs/>
          <w:i/>
        </w:rPr>
        <w:t xml:space="preserve">woody</w:t>
      </w:r>
      <w:r>
        <w:rPr>
          <w:vertAlign w:val="superscript"/>
        </w:rPr>
        <w:t xml:space="preserve">45</w:t>
      </w:r>
      <w:r>
        <w:t xml:space="preserve">, and</w:t>
      </w:r>
      <w:r>
        <w:t xml:space="preserve"> </w:t>
      </w:r>
      <w:r>
        <w:rPr>
          <w:iCs/>
          <w:i/>
        </w:rPr>
        <w:t xml:space="preserve">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w:t>
      </w:r>
      <w:r>
        <w:t xml:space="preserve"> </w:t>
      </w:r>
      <w:r>
        <w:rPr>
          <w:iCs/>
          <w:i/>
        </w:rPr>
        <w:t xml:space="preserve">GPP</w:t>
      </w:r>
      <w:r>
        <w:t xml:space="preserve"> </w:t>
      </w:r>
      <w:r>
        <w:t xml:space="preserve">and</w:t>
      </w:r>
      <w:r>
        <w:t xml:space="preserve"> </w:t>
      </w:r>
      <w:r>
        <w:rPr>
          <w:iCs/>
          <w:i/>
        </w:rPr>
        <w:t xml:space="preserve">ANPP</w:t>
      </w:r>
      <w:r>
        <w:rPr>
          <w:vertAlign w:val="subscript"/>
          <w:iCs/>
          <w:i/>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w:t>
      </w:r>
      <w:r>
        <w:t xml:space="preserve"> </w:t>
      </w:r>
      <w:r>
        <w:rPr>
          <w:iCs/>
          <w:i/>
        </w:rPr>
        <w:t xml:space="preserve">ANPP</w:t>
      </w:r>
      <w:r>
        <w:rPr>
          <w:vertAlign w:val="subscript"/>
          <w:iCs/>
          <w:i/>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1)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 ±1.4°C (mean ± 1SD) prior to the study period (range: 14.1-19.9) and 17.6± 1.7°C (range: 15.6-20) during the study period, while summer SPEI was -0.06± 1.02 (range: -1.7-2.4) prior to the study period and 0.5± 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 1.5°C prior to the study period (range: 8.0-13.2) and 11.2± 1.0°C (range: 10.1-12.2) during the study period, while summer SPEI was 0.1± 0.9 (range: -1.8-1.7) prior to the study period and 0.2± 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w:r>
        <w:rPr>
          <w:iCs/>
          <w:i/>
        </w:rPr>
        <w:t xml:space="preserve">∆DBH</w:t>
      </w:r>
      <w:r>
        <w:t xml:space="preserve"> </w:t>
      </w:r>
      <w:r>
        <w:t xml:space="preserve">≤0.005 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r>
                <m:rPr>
                  <m:sty m:val="p"/>
                </m:rPr>
                <m:t>[</m:t>
              </m:r>
              <m:r>
                <m:rPr>
                  <m:sty m:val="p"/>
                </m:rPr>
                <m:t>−</m:t>
              </m:r>
              <m:r>
                <m:t>r</m:t>
              </m:r>
              <m:r>
                <m:rPr>
                  <m:sty m:val="p"/>
                </m:rPr>
                <m:t>(</m:t>
              </m:r>
              <m:r>
                <m:t>D</m:t>
              </m:r>
              <m:r>
                <m:t>O</m:t>
              </m:r>
              <m:r>
                <m:t>Y</m:t>
              </m:r>
              <m:r>
                <m:rPr>
                  <m:sty m:val="p"/>
                </m:rPr>
                <m:t>−</m:t>
              </m:r>
              <m:r>
                <m:t>D</m:t>
              </m:r>
              <m:r>
                <m:t>O</m:t>
              </m:r>
              <m:sSub>
                <m:e>
                  <m:r>
                    <m:t>Y</m:t>
                  </m:r>
                </m:e>
                <m:sub>
                  <m:r>
                    <m:t>i</m:t>
                  </m:r>
                  <m:r>
                    <m:t>p</m:t>
                  </m:r>
                </m:sub>
              </m:sSub>
              <m:r>
                <m:rPr>
                  <m:sty m:val="p"/>
                </m:rPr>
                <m:t>)</m:t>
              </m:r>
              <m:r>
                <m:rPr>
                  <m:sty m:val="p"/>
                </m:rPr>
                <m:t>/</m:t>
              </m:r>
              <m:r>
                <m:t>θ</m:t>
              </m:r>
              <m:r>
                <m:rPr>
                  <m:sty m:val="p"/>
                </m:rPr>
                <m:t>)</m:t>
              </m:r>
              <m:sSup>
                <m:e>
                  <m:r>
                    <m:rPr>
                      <m:sty m:val="p"/>
                    </m:rPr>
                    <m:t>]</m:t>
                  </m:r>
                </m:e>
                <m:sup>
                  <m:r>
                    <m:t>θ</m:t>
                  </m:r>
                </m:sup>
              </m:sSup>
            </m:den>
          </m:f>
        </m:oMath>
      </m:oMathPara>
    </w:p>
    <w:p>
      <w:pPr>
        <w:pStyle w:val="FirstParagraph"/>
      </w:pPr>
      <w:r>
        <w:t xml:space="preserve">Here,</w:t>
      </w:r>
      <w:r>
        <w:t xml:space="preserve"> </w:t>
      </w:r>
      <w:r>
        <w:rPr>
          <w:iCs/>
          <w:i/>
        </w:rPr>
        <w:t xml:space="preserve">L</w:t>
      </w:r>
      <w:r>
        <w:t xml:space="preserve"> </w:t>
      </w:r>
      <w:r>
        <w:t xml:space="preserve">and</w:t>
      </w:r>
      <w:r>
        <w:t xml:space="preserve"> </w:t>
      </w:r>
      <w:r>
        <w:rPr>
          <w:iCs/>
          <w:i/>
        </w:rPr>
        <w:t xml:space="preserve">K</w:t>
      </w:r>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w:r>
        <w:rPr>
          <w:iCs/>
          <w:i/>
        </w:rPr>
        <w:t xml:space="preserve">r</w:t>
      </w:r>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w:r>
        <w:rPr>
          <w:iCs/>
          <w:i/>
        </w:rPr>
        <w:t xml:space="preserve">a</w:t>
      </w:r>
      <w:r>
        <w:t xml:space="preserve"> </w:t>
      </w:r>
      <w:r>
        <w:t xml:space="preserve">and</w:t>
      </w:r>
      <w:r>
        <w:t xml:space="preserve"> </w:t>
      </w:r>
      <w:r>
        <w:rPr>
          <w:iCs/>
          <w:i/>
        </w:rPr>
        <w:t xml:space="preserve">b</w:t>
      </w:r>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 ≥2.5 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 ≥2.5 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w:t>
      </w:r>
      <w:r>
        <w:rPr>
          <w:iCs/>
          <w:i/>
        </w:rPr>
        <w:t xml:space="preserve">CTW</w:t>
      </w:r>
      <w:r>
        <w:t xml:space="preserve">,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w:r>
        <w:rPr>
          <w:iCs/>
          <w:i/>
        </w:rPr>
        <w:t xml:space="preserve">∆AICc</w:t>
      </w:r>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w:r>
        <w:rPr>
          <w:iCs/>
          <w:i/>
        </w:rPr>
        <w:t xml:space="preserve">∆AICc</w:t>
      </w:r>
      <w:r>
        <w:t xml:space="preserve"> </w:t>
      </w:r>
      <w:r>
        <w:t xml:space="preserve">was selected as the</w:t>
      </w:r>
      <w:r>
        <w:t xml:space="preserve"> </w:t>
      </w:r>
      <w:r>
        <w:rPr>
          <w:iCs/>
          <w:i/>
        </w:rPr>
        <w:t xml:space="preserve">CTW</w:t>
      </w:r>
      <w:r>
        <w:t xml:space="preserve">.</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w:t>
      </w:r>
      <w:r>
        <w:t xml:space="preserve"> </w:t>
      </w:r>
      <w:r>
        <w:rPr>
          <w:iCs/>
          <w:i/>
        </w:rPr>
        <w:t xml:space="preserve">CTW</w:t>
      </w:r>
      <w:r>
        <w:t xml:space="preserve"> </w:t>
      </w:r>
      <w:r>
        <w:t xml:space="preserve">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w:t>
      </w:r>
      <w:r>
        <w:t xml:space="preserve"> </w:t>
      </w:r>
      <w:r>
        <w:rPr>
          <w:iCs/>
          <w:i/>
        </w:rPr>
        <w:t xml:space="preserve">CTW</w:t>
      </w:r>
      <w:r>
        <w:t xml:space="preserve">, and to parallel the monthly time windows used in our tree-ring analysis (detailed below; Fig. 3, Extended Data Figure 6-7), we also ran analyses where we fixed the</w:t>
      </w:r>
      <w:r>
        <w:t xml:space="preserve"> </w:t>
      </w:r>
      <w:r>
        <w:rPr>
          <w:iCs/>
          <w:i/>
        </w:rPr>
        <w:t xml:space="preserve">CTW</w:t>
      </w:r>
      <w:r>
        <w:t xml:space="preserve"> </w:t>
      </w:r>
      <w:r>
        <w:t xml:space="preserve">identified by</w:t>
      </w:r>
      <w:r>
        <w:t xml:space="preserve"> </w:t>
      </w:r>
      <w:r>
        <w:rPr>
          <w:iCs/>
          <w:i/>
        </w:rPr>
        <w:t xml:space="preserve">climwin</w:t>
      </w:r>
      <w:r>
        <w:t xml:space="preserve"> </w:t>
      </w:r>
      <w:r>
        <w:t xml:space="preserve">to be the month with the most days in the</w:t>
      </w:r>
      <w:r>
        <w:t xml:space="preserve"> </w:t>
      </w:r>
      <w:r>
        <w:rPr>
          <w:iCs/>
          <w:i/>
        </w:rPr>
        <w:t xml:space="preserve">CTW</w:t>
      </w:r>
      <w:r>
        <w:t xml:space="preserve"> </w:t>
      </w:r>
      <w:r>
        <w:t xml:space="preserve">(Extended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w:r>
        <w:rPr>
          <w:iCs/>
          <w:i/>
        </w:rPr>
        <w:t xml:space="preserve">∆DBH</w:t>
      </w:r>
      <w:r>
        <w:t xml:space="preserve">, Fig. 1) and</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w:t>
      </w:r>
      <w:r>
        <w:t xml:space="preserve"> </w:t>
      </w:r>
      <w:r>
        <w:rPr>
          <w:iCs/>
          <w:i/>
        </w:rPr>
        <w:t xml:space="preserve">CTW</w:t>
      </w:r>
      <w:r>
        <w:t xml:space="preserve">,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version 2.21.3 R interface to the Stan programming language.</w:t>
      </w:r>
      <w:r>
        <w:rPr>
          <w:vertAlign w:val="superscript"/>
        </w:rPr>
        <w:t xml:space="preserve">65,66</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w:t>
      </w:r>
      <w:r>
        <w:t xml:space="preserve"> </w:t>
      </w:r>
      <w:r>
        <w:rPr>
          <w:iCs/>
          <w:i/>
        </w:rPr>
        <w:t xml:space="preserve">RWI</w:t>
      </w:r>
      <w:r>
        <w:t xml:space="preserve"> </w:t>
      </w:r>
      <w:r>
        <w:t xml:space="preserve">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V49_1b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w:t>
      </w:r>
      <w:r>
        <w:rPr>
          <w:iCs/>
          <w:i/>
        </w:rPr>
        <w:t xml:space="preserve">RWI</w:t>
      </w:r>
      <w:r>
        <w:t xml:space="preserve">)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 ≥80% of the population signal was captured in the chronology.</w:t>
      </w:r>
    </w:p>
    <w:p>
      <w:pPr>
        <w:pStyle w:val="BodyText"/>
      </w:pPr>
      <w:r>
        <w:t xml:space="preserve">For the analysis of correlation between</w:t>
      </w:r>
      <w:r>
        <w:t xml:space="preserve"> </w:t>
      </w:r>
      <w:r>
        <w:rPr>
          <w:iCs/>
          <w:i/>
        </w:rPr>
        <w:t xml:space="preserve">RWI</w:t>
      </w:r>
      <w:r>
        <w:t xml:space="preserve"> </w:t>
      </w:r>
      <w:r>
        <w:t xml:space="preserve">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w:t>
      </w:r>
      <w:r>
        <w:t xml:space="preserve"> </w:t>
      </w:r>
      <w:r>
        <w:rPr>
          <w:iCs/>
          <w:i/>
        </w:rPr>
        <w:t xml:space="preserve">RWI</w:t>
      </w:r>
      <w:r>
        <w:t xml:space="preserve"> </w:t>
      </w:r>
      <w:r>
        <w:t xml:space="preserve">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Reported correlations and significance were determined using bootstrapped confidence intervals. Summary figures were created using the package</w:t>
      </w:r>
      <w:r>
        <w:t xml:space="preserve"> </w:t>
      </w:r>
      <w:r>
        <w:rPr>
          <w:iCs/>
          <w:i/>
        </w:rPr>
        <w:t xml:space="preserve">dplR</w:t>
      </w:r>
      <w:r>
        <w:rPr>
          <w:vertAlign w:val="superscript"/>
        </w:rPr>
        <w:t xml:space="preserve">78</w:t>
      </w:r>
      <w:r>
        <w:t xml:space="preserve"> </w:t>
      </w:r>
      <w:r>
        <w:t xml:space="preserve">(Fig. 3, Extended Data Figures 6-7).</w:t>
      </w:r>
      <w:r>
        <w:br/>
      </w:r>
      <w:r>
        <w:t xml:space="preserve">Our analysis focused on assessing correlations of</w:t>
      </w:r>
      <w:r>
        <w:t xml:space="preserve"> </w:t>
      </w:r>
      <w:r>
        <w:rPr>
          <w:iCs/>
          <w:i/>
        </w:rPr>
        <w:t xml:space="preserve">RWI</w:t>
      </w:r>
      <w:r>
        <w:t xml:space="preserve"> </w:t>
      </w:r>
      <w:r>
        <w:t xml:space="preserve">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w:t>
      </w:r>
      <w:r>
        <w:t xml:space="preserve"> </w:t>
      </w:r>
      <w:r>
        <w:t xml:space="preserve">We focused on April to represent spring temperatures because it was the month with greatest overall alignment with the</w:t>
      </w:r>
      <w:r>
        <w:t xml:space="preserve"> </w:t>
      </w:r>
      <w:r>
        <w:rPr>
          <w:iCs/>
          <w:i/>
        </w:rPr>
        <w:t xml:space="preserve">CTW</w:t>
      </w:r>
      <w:r>
        <w:t xml:space="preserve">’s identified in the dendrometer band analysis and had the highest rate of positive correlations with</w:t>
      </w:r>
      <w:r>
        <w:t xml:space="preserve"> </w:t>
      </w:r>
      <w:r>
        <w:rPr>
          <w:iCs/>
          <w:i/>
        </w:rPr>
        <w:t xml:space="preserve">RWI</w:t>
      </w:r>
      <w:r>
        <w:t xml:space="preserve"> </w:t>
      </w:r>
      <w:r>
        <w:t xml:space="preserve">(Extended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w:t>
      </w:r>
      <w:r>
        <w:t xml:space="preserve"> </w:t>
      </w:r>
      <w:r>
        <w:rPr>
          <w:iCs/>
          <w:i/>
        </w:rPr>
        <w:t xml:space="preserve">RWI</w:t>
      </w:r>
      <w:r>
        <w:t xml:space="preserve"> </w:t>
      </w:r>
      <w:r>
        <w:t xml:space="preserve">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Roman Zweifel, members of the ForestGEO Ecosystems &amp; Climate Lab at SCBI, and three anonymous reviewers for helpful feedback.</w:t>
      </w:r>
      <w:r>
        <w:t xml:space="preserve"> </w:t>
      </w:r>
      <w:r>
        <w:t xml:space="preserve">The research was funded by ForestGEO (Smithsonian).</w:t>
      </w:r>
      <w:r>
        <w:t xml:space="preserve"> </w:t>
      </w:r>
      <w:r>
        <w:t xml:space="preserve">Collection of tree-ring samples was funded by a USDA Agriculture and Food Research Initiative grant 2017-67013-26191 and from the Indiana University Vice Provost for Research Faculty Research Program.</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 10.5281/zenodo.6632090).</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5"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v.0.1.0 (</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Mixed effects models were run with mixed-effect model was run within a hierarchical Bayesian framework and fit using the</w:t>
      </w:r>
      <w:r>
        <w:t xml:space="preserve"> </w:t>
      </w:r>
      <w:r>
        <w:rPr>
          <w:rStyle w:val="VerbatimChar"/>
        </w:rPr>
        <w:t xml:space="preserve">rstanarm</w:t>
      </w:r>
      <w:r>
        <w:t xml:space="preserve"> </w:t>
      </w:r>
      <w:r>
        <w:t xml:space="preserve">version 2.21.3 R interface to the Stan programming language (source code available at</w:t>
      </w:r>
      <w:r>
        <w:t xml:space="preserve"> </w:t>
      </w:r>
      <w:hyperlink r:id="rId53">
        <w:r>
          <w:rPr>
            <w:rStyle w:val="Hyperlink"/>
          </w:rPr>
          <w:t xml:space="preserve">https://github.com/EcoClimLab/growth_phenology#steps-to-replicate-the-analysis</w:t>
        </w:r>
      </w:hyperlink>
      <w:r>
        <w:t xml:space="preserve">).</w:t>
      </w:r>
      <w:r>
        <w:t xml:space="preserve"> </w:t>
      </w:r>
      <w:r>
        <w:t xml:space="preserve">Tree-ring chronologies were developed using the program ARSTAN V49_1b (</w:t>
      </w:r>
      <w:hyperlink r:id="rId54">
        <w:r>
          <w:rPr>
            <w:rStyle w:val="Hyperlink"/>
          </w:rPr>
          <w:t xml:space="preserve">https://www.geog.cam.ac.uk/research/projects/dendrosoftware/</w:t>
        </w:r>
      </w:hyperlink>
      <w:r>
        <w:t xml:space="preserve">).</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 10.5281/zenodo.6632090).</w:t>
      </w:r>
    </w:p>
    <w:bookmarkEnd w:id="55"/>
    <w:bookmarkStart w:id="56"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6"/>
    <w:bookmarkStart w:id="57"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 °C),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3.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w:t>
      </w:r>
      <w:r>
        <w:rPr>
          <w:iCs/>
          <w:i/>
        </w:rPr>
        <w:t xml:space="preserve">CTW</w:t>
      </w:r>
      <w:r>
        <w:t xml:space="preserve">), then turned into a ratio and assigned a color on a gradient where the coldest year in the sample is blue and the warmest is red. Leaf phenology years are colored according to the</w:t>
      </w:r>
      <w:r>
        <w:t xml:space="preserve"> </w:t>
      </w:r>
      <w:r>
        <w:rPr>
          <w:iCs/>
          <w:i/>
        </w:rPr>
        <w:t xml:space="preserve">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5,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End w:id="57"/>
    <w:bookmarkStart w:id="146" w:name="legends-for-extended-data-table-figures"/>
    <w:p>
      <w:pPr>
        <w:pStyle w:val="Heading1"/>
      </w:pPr>
      <w:r>
        <w:t xml:space="preserve">Legends for Extended Data Table &amp; Figures</w:t>
      </w:r>
    </w:p>
    <w:p>
      <w:pPr>
        <w:pStyle w:val="FirstParagraph"/>
      </w:pPr>
      <w:r>
        <w:rPr>
          <w:bCs/>
          <w:b/>
        </w:rPr>
        <w:t xml:space="preserve">Extended Data Table 1 | Dominant broadleaf deciduous species at the Smithsonian Conservation Biology Institute (SCBI) and Harvard Forest, along with sample sizes included in our final analysis.</w:t>
      </w:r>
    </w:p>
    <w:p>
      <w:pPr>
        <w:pStyle w:val="BodyText"/>
      </w:pPr>
      <w:r>
        <w:rPr>
          <w:bCs/>
          <w:b/>
        </w:rPr>
        <w:t xml:space="preserve">Extended Data Table 2 | Summary of parameters describing the seasonality and temperature sensitivity of broadleaf deciduous tree woody growth and canopy phenology at the Smithsonian Conservation Biology Institute (SCBI) and Harvard Forest.</w:t>
      </w:r>
      <w:r>
        <w:t xml:space="preserve"> </w:t>
      </w:r>
      <w:r>
        <w:t xml:space="preserve">Temperature sensitivity refers to the sensitivity of a parameter to the mean maximum temperature (</w:t>
      </w:r>
      <w:r>
        <w:rPr>
          <w:iCs/>
          <w:i/>
        </w:rPr>
        <w:t xml:space="preserve">T</w:t>
      </w:r>
      <w:r>
        <w:rPr>
          <w:vertAlign w:val="subscript"/>
          <w:iCs/>
          <w:i/>
        </w:rPr>
        <w:t xml:space="preserve">max</w:t>
      </w:r>
      <w:r>
        <w:t xml:space="preserve">) during the critical temperature window (</w:t>
      </w:r>
      <w:r>
        <w:rPr>
          <w:iCs/>
          <w:i/>
        </w:rPr>
        <w:t xml:space="preserve">CTW</w:t>
      </w:r>
      <w:r>
        <w:t xml:space="preserve">, Fig. 1). Because leaf phenology measurements were derived from satellite imagery and included both ring- and diffuse-porous trees, the selection of a critical window was less straightforward. We used the</w:t>
      </w:r>
      <w:r>
        <w:t xml:space="preserve"> </w:t>
      </w:r>
      <w:r>
        <w:rPr>
          <w:iCs/>
          <w:i/>
        </w:rPr>
        <w:t xml:space="preserve">CTW</w:t>
      </w:r>
      <w:r>
        <w:t xml:space="preserve"> </w:t>
      </w:r>
      <w:r>
        <w:t xml:space="preserve">of the porosity group containing the dominant canopy species at each site:</w:t>
      </w:r>
      <w:r>
        <w:t xml:space="preserve"> </w:t>
      </w:r>
      <w:r>
        <w:rPr>
          <w:iCs/>
          <w:i/>
        </w:rPr>
        <w:t xml:space="preserve">Liriodendron tulipifera</w:t>
      </w:r>
      <w:r>
        <w:t xml:space="preserve"> </w:t>
      </w:r>
      <w:r>
        <w:t xml:space="preserve">(diffuse porous) at SCBI and</w:t>
      </w:r>
      <w:r>
        <w:t xml:space="preserve"> </w:t>
      </w:r>
      <w:r>
        <w:rPr>
          <w:iCs/>
          <w:i/>
        </w:rPr>
        <w:t xml:space="preserve">Quercus rubra</w:t>
      </w:r>
      <w:r>
        <w:t xml:space="preserve"> </w:t>
      </w:r>
      <w:r>
        <w:t xml:space="preserve">(ring porous) at Harvard Forest.</w:t>
      </w:r>
    </w:p>
    <w:p>
      <w:pPr>
        <w:pStyle w:val="BodyText"/>
      </w:pPr>
      <w:r>
        <w:rPr>
          <w:bCs/>
          <w:b/>
        </w:rPr>
        <w:t xml:space="preserve">Extended Data Table 3 | Summary of tree-ring chronologies analyzed and number of significant (at significance level = 0.05) positive or negative correlations of ring width index to monthly</w:t>
      </w:r>
      <w:r>
        <w:rPr>
          <w:bCs/>
          <w:b/>
        </w:rPr>
        <w:t xml:space="preserve"> </w:t>
      </w:r>
      <w:r>
        <w:rPr>
          <w:iCs/>
          <w:i/>
          <w:bCs/>
          <w:b/>
        </w:rPr>
        <w:t xml:space="preserve">T</w:t>
      </w:r>
      <w:r>
        <w:rPr>
          <w:vertAlign w:val="subscript"/>
          <w:iCs/>
          <w:i/>
          <w:bCs/>
          <w:b/>
        </w:rPr>
        <w:t xml:space="preserve">max</w:t>
      </w:r>
      <w:r>
        <w:rPr>
          <w:bCs/>
          <w:b/>
        </w:rPr>
        <w:t xml:space="preserve"> </w:t>
      </w:r>
      <w:r>
        <w:rPr>
          <w:bCs/>
          <w:b/>
        </w:rPr>
        <w:t xml:space="preserve">in univariate and multivariate analyses.</w:t>
      </w:r>
    </w:p>
    <w:p>
      <w:pPr>
        <w:pStyle w:val="BodyText"/>
      </w:pPr>
      <w:r>
        <w:rPr>
          <w:bCs/>
          <w:b/>
        </w:rPr>
        <w:t xml:space="preserve">Extended Data Figure 1 | Seasonal patterns of forest canopy greenness (top row) and stem growth of ring- and diffuse-porous trees, represented as both relative and cumulative fractions of total annual growth (middle and bottom rows, respectively), at the Smithsonian Conservation Biology Institute (SCBI) and Harvard Forest.</w:t>
      </w:r>
      <w:r>
        <w:t xml:space="preserve"> </w:t>
      </w:r>
      <w:r>
        <w:t xml:space="preserve">In the top row, canopy greenness is characterized using the two band Enhanced Vegetation Index (EVI2), with each line representing a year between 2000 and 2018. For stem growth, each line represents the average growth over one year, as modeled based on a five-parameter logistic growth model to dendrometer band data. Dashed lines represent modeled DBH change which fell outside of the median DOY where predicted starting DBH (a) and predicted ending DBH (b) were reached. Solid lines represent DBH change attributable to stem growth.</w:t>
      </w:r>
    </w:p>
    <w:p>
      <w:pPr>
        <w:pStyle w:val="BodyText"/>
      </w:pPr>
      <w:r>
        <w:rPr>
          <w:bCs/>
          <w:b/>
        </w:rPr>
        <w:t xml:space="preserve">Extended Data Figure 2 | Landscapes of relationships between the day of year on which 25% of annual growth is achieved (</w:t>
      </w:r>
      <w:r>
        <w:rPr>
          <w:iCs/>
          <w:i/>
          <w:bCs/>
          <w:b/>
        </w:rPr>
        <w:t xml:space="preserve">DOY</w:t>
      </w:r>
      <w:r>
        <w:rPr>
          <w:vertAlign w:val="subscript"/>
          <w:iCs/>
          <w:i/>
          <w:bCs/>
          <w:b/>
        </w:rPr>
        <w:t xml:space="preserve">25</w:t>
      </w:r>
      <w:r>
        <w:rPr>
          <w:bCs/>
          <w:b/>
        </w:rPr>
        <w:t xml:space="preserve">) and temperature in prior weeks for ring- and diffuse-porous trees at the Smithsonian Conservation Biology Institute (SCBI) and Harvard Forest.</w:t>
      </w:r>
      <w:r>
        <w:t xml:space="preserve"> </w:t>
      </w:r>
      <w:r>
        <w:t xml:space="preserve">Shown are matrices of</w:t>
      </w:r>
      <w:r>
        <w:t xml:space="preserve"> </w:t>
      </w:r>
      <m:oMath>
        <m:r>
          <m:t>β</m:t>
        </m:r>
      </m:oMath>
      <w:r>
        <w:t xml:space="preserve"> </w:t>
      </w:r>
      <w:r>
        <w:t xml:space="preserve">coefficients from first-order linear regressions between mean maximum temperature (</w:t>
      </w:r>
      <w:r>
        <w:rPr>
          <w:iCs/>
          <w:i/>
        </w:rPr>
        <w:t xml:space="preserve">T</w:t>
      </w:r>
      <w:r>
        <w:rPr>
          <w:vertAlign w:val="subscript"/>
          <w:iCs/>
          <w:i/>
        </w:rPr>
        <w:t xml:space="preserve">max</w:t>
      </w:r>
      <w:r>
        <w:t xml:space="preserve">) and</w:t>
      </w:r>
      <w:r>
        <w:t xml:space="preserve"> </w:t>
      </w:r>
      <w:r>
        <w:rPr>
          <w:iCs/>
          <w:i/>
        </w:rPr>
        <w:t xml:space="preserve">DOY</w:t>
      </w:r>
      <w:r>
        <w:rPr>
          <w:vertAlign w:val="subscript"/>
          <w:iCs/>
          <w:i/>
        </w:rPr>
        <w:t xml:space="preserve">25</w:t>
      </w:r>
      <w:r>
        <w:t xml:space="preserve">. Window Open and Window Close indicate number of weeks prior to</w:t>
      </w:r>
      <w:r>
        <w:t xml:space="preserve"> </w:t>
      </w:r>
      <w:r>
        <w:rPr>
          <w:iCs/>
          <w:i/>
        </w:rPr>
        <w:t xml:space="preserve">DOY</w:t>
      </w:r>
      <w:r>
        <w:rPr>
          <w:vertAlign w:val="subscript"/>
          <w:iCs/>
          <w:i/>
        </w:rPr>
        <w:t xml:space="preserve">25</w:t>
      </w:r>
      <w:r>
        <w:t xml:space="preserve"> </w:t>
      </w:r>
      <w:r>
        <w:t xml:space="preserve">(listed in Extended Data Table 2). Yellow shading indicates neutral relationships, while orange or red shading indicates that</w:t>
      </w:r>
      <w:r>
        <w:t xml:space="preserve"> </w:t>
      </w:r>
      <w:r>
        <w:rPr>
          <w:iCs/>
          <w:i/>
        </w:rPr>
        <w:t xml:space="preserve">DOY</w:t>
      </w:r>
      <w:r>
        <w:rPr>
          <w:vertAlign w:val="subscript"/>
          <w:iCs/>
          <w:i/>
        </w:rPr>
        <w:t xml:space="preserve">25</w:t>
      </w:r>
      <w:r>
        <w:t xml:space="preserve"> </w:t>
      </w:r>
      <w:r>
        <w:t xml:space="preserve">advances with increased</w:t>
      </w:r>
      <w:r>
        <w:t xml:space="preserve"> </w:t>
      </w:r>
      <w:r>
        <w:rPr>
          <w:iCs/>
          <w:i/>
        </w:rPr>
        <w:t xml:space="preserve">T</w:t>
      </w:r>
      <w:r>
        <w:rPr>
          <w:vertAlign w:val="subscript"/>
          <w:iCs/>
          <w:i/>
        </w:rPr>
        <w:t xml:space="preserve">max</w:t>
      </w:r>
      <w:r>
        <w:t xml:space="preserve"> </w:t>
      </w:r>
      <w:r>
        <w:t xml:space="preserve">over the given time window (negative</w:t>
      </w:r>
      <w:r>
        <w:t xml:space="preserve"> </w:t>
      </w:r>
      <m:oMath>
        <m:r>
          <m:t>β</m:t>
        </m:r>
      </m:oMath>
      <w:r>
        <w:t xml:space="preserve">). Black circles indicate the critical temperature window selected based on minimization of</w:t>
      </w:r>
      <w:r>
        <w:t xml:space="preserve"> </w:t>
      </w:r>
      <w:r>
        <w:rPr>
          <w:iCs/>
          <w:i/>
        </w:rPr>
        <w:t xml:space="preserve">∆AICc</w:t>
      </w:r>
      <w:r>
        <w:t xml:space="preserve">, the difference in Akaike Information Criterion corrected for small sample size relative to a null model. Critical temperature windows are listed in Extended Data Table 2.</w:t>
      </w:r>
    </w:p>
    <w:p>
      <w:pPr>
        <w:pStyle w:val="BodyText"/>
      </w:pPr>
      <w:r>
        <w:rPr>
          <w:bCs/>
          <w:b/>
        </w:rPr>
        <w:t xml:space="preserve">Extended Data Figure 3 | Response of stem growth timing and rates to mean maximum temperatures (</w:t>
      </w:r>
      <w:r>
        <w:rPr>
          <w:iCs/>
          <w:i/>
          <w:bCs/>
          <w:b/>
        </w:rPr>
        <w:t xml:space="preserve">T</w:t>
      </w:r>
      <w:r>
        <w:rPr>
          <w:vertAlign w:val="subscript"/>
          <w:iCs/>
          <w:i/>
          <w:bCs/>
          <w:b/>
        </w:rPr>
        <w:t xml:space="preserve">max</w:t>
      </w:r>
      <w:r>
        <w:rPr>
          <w:bCs/>
          <w:b/>
        </w:rPr>
        <w:t xml:space="preserve">) during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Shown are relationships between mean</w:t>
      </w:r>
      <w:r>
        <w:t xml:space="preserve"> </w:t>
      </w:r>
      <w:r>
        <w:rPr>
          <w:iCs/>
          <w:i/>
        </w:rPr>
        <w:t xml:space="preserve">T</w:t>
      </w:r>
      <w:r>
        <w:rPr>
          <w:vertAlign w:val="subscript"/>
          <w:iCs/>
          <w:i/>
        </w:rPr>
        <w:t xml:space="preserve">max</w:t>
      </w:r>
      <w:r>
        <w:t xml:space="preserve"> </w:t>
      </w:r>
      <w:r>
        <w:t xml:space="preserve">over the</w:t>
      </w:r>
      <w:r>
        <w:t xml:space="preserve"> </w:t>
      </w:r>
      <w:r>
        <w:rPr>
          <w:iCs/>
          <w:i/>
        </w:rPr>
        <w:t xml:space="preserve">CTW</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all declined significantly with mean</w:t>
      </w:r>
      <w:r>
        <w:t xml:space="preserve"> </w:t>
      </w:r>
      <w:r>
        <w:rPr>
          <w:iCs/>
          <w:i/>
        </w:rPr>
        <w:t xml:space="preserve">T</w:t>
      </w:r>
      <w:r>
        <w:rPr>
          <w:vertAlign w:val="subscript"/>
          <w:iCs/>
          <w:i/>
        </w:rPr>
        <w:t xml:space="preserve">max</w:t>
      </w:r>
      <w:r>
        <w:t xml:space="preserve"> </w:t>
      </w:r>
      <w:r>
        <w:t xml:space="preserve">during their respective</w:t>
      </w:r>
      <w:r>
        <w:t xml:space="preserve"> </w:t>
      </w:r>
      <w:r>
        <w:rPr>
          <w:iCs/>
          <w:i/>
        </w:rPr>
        <w:t xml:space="preserve">CTW</w:t>
      </w:r>
      <w:r>
        <w:t xml:space="preserve">. Dots represent growth parameter values for individual tree-year combinations, which were derived by fitting a five-parameter logistic growth model to dendrometer band data.</w:t>
      </w:r>
    </w:p>
    <w:p>
      <w:pPr>
        <w:pStyle w:val="BodyText"/>
      </w:pPr>
      <w:r>
        <w:rPr>
          <w:bCs/>
          <w:b/>
        </w:rPr>
        <w:t xml:space="preserve">Extended Data Figure 4 | Response of stem growth timing and rates to mean maximum temperatures (</w:t>
      </w:r>
      <w:r>
        <w:rPr>
          <w:iCs/>
          <w:i/>
          <w:bCs/>
          <w:b/>
        </w:rPr>
        <w:t xml:space="preserve">T</w:t>
      </w:r>
      <w:r>
        <w:rPr>
          <w:vertAlign w:val="subscript"/>
          <w:iCs/>
          <w:i/>
          <w:bCs/>
          <w:b/>
        </w:rPr>
        <w:t xml:space="preserve">max</w:t>
      </w:r>
      <w:r>
        <w:rPr>
          <w:bCs/>
          <w:b/>
        </w:rPr>
        <w:t xml:space="preserve">) for the month most closely corresponding to the spring critial temperature window (</w:t>
      </w:r>
      <w:r>
        <w:rPr>
          <w:iCs/>
          <w:i/>
          <w:bCs/>
          <w:b/>
        </w:rPr>
        <w:t xml:space="preserve">CTW</w:t>
      </w:r>
      <w:r>
        <w:rPr>
          <w:bCs/>
          <w:b/>
        </w:rPr>
        <w:t xml:space="preserve">) for ring- and diffuse-porous species at the Smithsonian Conservation Biology Institute (SCBI) and Harvard Forest.</w:t>
      </w:r>
      <w:r>
        <w:t xml:space="preserve"> </w:t>
      </w:r>
      <w:r>
        <w:rPr>
          <w:iCs/>
          <w:i/>
        </w:rPr>
        <w:t xml:space="preserve">CTW</w:t>
      </w:r>
      <w:r>
        <w:t xml:space="preserve"> </w:t>
      </w:r>
      <w:r>
        <w:t xml:space="preserve">was defined as the period over which</w:t>
      </w:r>
      <w:r>
        <w:t xml:space="preserve"> </w:t>
      </w:r>
      <w:r>
        <w:rPr>
          <w:iCs/>
          <w:i/>
        </w:rPr>
        <w:t xml:space="preserve">T</w:t>
      </w:r>
      <w:r>
        <w:rPr>
          <w:vertAlign w:val="subscript"/>
          <w:iCs/>
          <w:i/>
        </w:rPr>
        <w:t xml:space="preserve">max</w:t>
      </w:r>
      <w:r>
        <w:t xml:space="preserve"> </w:t>
      </w:r>
      <w:r>
        <w:t xml:space="preserve">was most strongly correlated with the day of year on which 25% of annual growth was achieved (</w:t>
      </w:r>
      <w:r>
        <w:rPr>
          <w:iCs/>
          <w:i/>
        </w:rPr>
        <w:t xml:space="preserve">DOY</w:t>
      </w:r>
      <w:r>
        <w:rPr>
          <w:vertAlign w:val="subscript"/>
          <w:iCs/>
          <w:i/>
        </w:rPr>
        <w:t xml:space="preserve">25</w:t>
      </w:r>
      <w:r>
        <w:t xml:space="preserve">; Extended Data Table 2, Extended Data Figure 2), and the most closely corresponding month was determined as that with the greatest number of days within the</w:t>
      </w:r>
      <w:r>
        <w:t xml:space="preserve"> </w:t>
      </w:r>
      <w:r>
        <w:rPr>
          <w:iCs/>
          <w:i/>
        </w:rPr>
        <w:t xml:space="preserve">CTW</w:t>
      </w:r>
      <w:r>
        <w:t xml:space="preserve">. Shown are relationships between monthly</w:t>
      </w:r>
      <w:r>
        <w:t xml:space="preserve"> </w:t>
      </w:r>
      <w:r>
        <w:rPr>
          <w:iCs/>
          <w:i/>
        </w:rPr>
        <w:t xml:space="preserve">T</w:t>
      </w:r>
      <w:r>
        <w:rPr>
          <w:vertAlign w:val="subscript"/>
          <w:iCs/>
          <w:i/>
        </w:rPr>
        <w:t xml:space="preserve">max</w:t>
      </w:r>
      <w:r>
        <w:t xml:space="preserve"> </w:t>
      </w:r>
      <w:r>
        <w:t xml:space="preserve">and days of the year on which 25%, 50%, and 75% total stem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respectively; first row); the length of the peak growing season (</w:t>
      </w:r>
      <w:r>
        <w:rPr>
          <w:iCs/>
          <w:i/>
        </w:rPr>
        <w:t xml:space="preserve">L</w:t>
      </w:r>
      <w:r>
        <w:rPr>
          <w:vertAlign w:val="subscript"/>
          <w:iCs/>
          <w:i/>
        </w:rPr>
        <w:t xml:space="preserve">pgs</w:t>
      </w:r>
      <w:r>
        <w:t xml:space="preserve">; second row); maximum growth rate (</w:t>
      </w:r>
      <w:r>
        <w:rPr>
          <w:iCs/>
          <w:i/>
        </w:rPr>
        <w:t xml:space="preserve">g</w:t>
      </w:r>
      <w:r>
        <w:rPr>
          <w:vertAlign w:val="subscript"/>
          <w:iCs/>
          <w:i/>
        </w:rPr>
        <w:t xml:space="preserve">max</w:t>
      </w:r>
      <w:r>
        <w:t xml:space="preserve">; third row); and total seasonal radial stem growth (</w:t>
      </w:r>
      <w:r>
        <w:rPr>
          <w:iCs/>
          <w:i/>
        </w:rPr>
        <w:t xml:space="preserve">∆DBH</w:t>
      </w:r>
      <w:r>
        <w:t xml:space="preserve">; fourth row). Posterior predictions of each variable that did not include zero are represented with solid lines, while those that do include zero use dotted lines. The 95% credible intervals are represented by bands centered on the posterior mean for each year. For both species groups at both sites,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declined significantly with April</w:t>
      </w:r>
      <w:r>
        <w:t xml:space="preserve"> </w:t>
      </w:r>
      <w:r>
        <w:rPr>
          <w:iCs/>
          <w:i/>
        </w:rPr>
        <w:t xml:space="preserve">T</w:t>
      </w:r>
      <w:r>
        <w:rPr>
          <w:vertAlign w:val="subscript"/>
          <w:iCs/>
          <w:i/>
        </w:rPr>
        <w:t xml:space="preserve">max</w:t>
      </w:r>
      <w:r>
        <w:t xml:space="preserve">, with the exception of</w:t>
      </w:r>
      <w:r>
        <w:t xml:space="preserve"> </w:t>
      </w:r>
      <w:r>
        <w:rPr>
          <w:iCs/>
          <w:i/>
        </w:rPr>
        <w:t xml:space="preserve">DOY</w:t>
      </w:r>
      <w:r>
        <w:rPr>
          <w:vertAlign w:val="subscript"/>
          <w:iCs/>
          <w:i/>
        </w:rPr>
        <w:t xml:space="preserve">25</w:t>
      </w:r>
      <w:r>
        <w:t xml:space="preserve"> </w:t>
      </w:r>
      <w:r>
        <w:t xml:space="preserve">for ring-porous species at SCBI. Dots represent growth parameter values for individual tree-year combinations, which were derived by fitting a five-parameter logistic growth model to dendrometer band data.</w:t>
      </w:r>
    </w:p>
    <w:p>
      <w:pPr>
        <w:pStyle w:val="BodyText"/>
      </w:pPr>
      <w:r>
        <w:rPr>
          <w:bCs/>
          <w:b/>
        </w:rPr>
        <w:t xml:space="preserve">Extended Data Figure 5 | Map of sampling locations of tree-ring chronologies analyzed in this study.</w:t>
      </w:r>
      <w:r>
        <w:t xml:space="preserve"> </w:t>
      </w:r>
      <w:r>
        <w:t xml:space="preserve">Sites are colored by the xylem porosity type of species sampled: ring poroous (RP), diffuse porous (DP), or both. Sampling details are provided in SI Table 1. Base map source is ggplot2.</w:t>
      </w:r>
    </w:p>
    <w:p>
      <w:pPr>
        <w:pStyle w:val="BodyText"/>
      </w:pPr>
      <w:r>
        <w:rPr>
          <w:bCs/>
          <w:b/>
        </w:rPr>
        <w:t xml:space="preserve">Extended Data Figure 6 | Sensitivity of annual growth, as derived from tree-rings, to monthly mean minimum temperatures (</w:t>
      </w:r>
      <w:r>
        <w:rPr>
          <w:iCs/>
          <w:i/>
          <w:bCs/>
          <w:b/>
        </w:rPr>
        <w:t xml:space="preserve">T</w:t>
      </w:r>
      <w:r>
        <w:rPr>
          <w:vertAlign w:val="subscript"/>
          <w:iCs/>
          <w:i/>
          <w:bCs/>
          <w:b/>
        </w:rPr>
        <w:t xml:space="preserve">min</w:t>
      </w:r>
      <w:r>
        <w:rPr>
          <w:bCs/>
          <w:b/>
        </w:rPr>
        <w:t xml:space="preserve">),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min</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min</w:t>
      </w:r>
      <w:r>
        <w:t xml:space="preserve">. Plots are annotated to highlight records from our two focal sites, the Smithsonian Conservation Biology Institute (SCBI) and Harvard Forest (HF) (Extended Data Table 1). Species analyzed and numbers of significant correlations to</w:t>
      </w:r>
      <w:r>
        <w:t xml:space="preserve"> </w:t>
      </w:r>
      <w:r>
        <w:rPr>
          <w:iCs/>
          <w:i/>
        </w:rPr>
        <w:t xml:space="preserve">T</w:t>
      </w:r>
      <w:r>
        <w:rPr>
          <w:vertAlign w:val="subscript"/>
          <w:iCs/>
          <w:i/>
        </w:rPr>
        <w:t xml:space="preserve">min</w:t>
      </w:r>
      <w:r>
        <w:t xml:space="preserve"> </w:t>
      </w:r>
      <w:r>
        <w:t xml:space="preserve">are summarized in Extended Data Table 3, and chronology details are given in SI Table 1.</w:t>
      </w:r>
    </w:p>
    <w:p>
      <w:pPr>
        <w:pStyle w:val="BodyText"/>
      </w:pPr>
      <w:r>
        <w:rPr>
          <w:bCs/>
          <w:b/>
        </w:rPr>
        <w:t xml:space="preserve">Extended Data Figure 7 | Sensitivity of annual growth, as derived from tree-rings, to monthly mean maximum temperatures (</w:t>
      </w:r>
      <w:r>
        <w:rPr>
          <w:iCs/>
          <w:i/>
          <w:bCs/>
          <w:b/>
        </w:rPr>
        <w:t xml:space="preserve">T</w:t>
      </w:r>
      <w:r>
        <w:rPr>
          <w:vertAlign w:val="subscript"/>
          <w:iCs/>
          <w:i/>
          <w:bCs/>
          <w:b/>
        </w:rPr>
        <w:t xml:space="preserve">max</w:t>
      </w:r>
      <w:r>
        <w:rPr>
          <w:bCs/>
          <w:b/>
        </w:rPr>
        <w:t xml:space="preserve">) of the current and past year, for 207 chronologies from 108 sites across eastern North America</w:t>
      </w:r>
      <w:r>
        <w:t xml:space="preserve"> </w:t>
      </w:r>
      <w:r>
        <w:t xml:space="preserve">(Extended Data Figure 5).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w:t>
      </w:r>
      <w:r>
        <w:rPr>
          <w:iCs/>
          <w:i/>
        </w:rPr>
        <w:t xml:space="preserve">RWI</w:t>
      </w:r>
      <w:r>
        <w:t xml:space="preserve">)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Figure presents the same results as main manuscript Fig. 3 but extends back to include the previous year.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145" w:name="refs"/>
    <w:bookmarkStart w:id="58"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Net carbon uptake has increased through warming-induced changes in temperate forest phenology.</w:t>
      </w:r>
      <w:r>
        <w:t xml:space="preserve"> </w:t>
      </w:r>
      <w:r>
        <w:rPr>
          <w:iCs/>
          <w:i/>
        </w:rPr>
        <w:t xml:space="preserve">Nature Climate Change</w:t>
      </w:r>
      <w:r>
        <w:t xml:space="preserve"> </w:t>
      </w:r>
      <w:r>
        <w:rPr>
          <w:bCs/>
          <w:b/>
        </w:rPr>
        <w:t xml:space="preserve">4</w:t>
      </w:r>
      <w:r>
        <w:t xml:space="preserve">, 598–604 (2014).</w:t>
      </w:r>
    </w:p>
    <w:bookmarkEnd w:id="58"/>
    <w:bookmarkStart w:id="59"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Widespread seasonal compensation effects of spring warming on northern plant productivity.</w:t>
      </w:r>
      <w:r>
        <w:t xml:space="preserve"> </w:t>
      </w:r>
      <w:r>
        <w:rPr>
          <w:iCs/>
          <w:i/>
        </w:rPr>
        <w:t xml:space="preserve">Nature</w:t>
      </w:r>
      <w:r>
        <w:t xml:space="preserve"> </w:t>
      </w:r>
      <w:r>
        <w:rPr>
          <w:bCs/>
          <w:b/>
        </w:rPr>
        <w:t xml:space="preserve">562</w:t>
      </w:r>
      <w:r>
        <w:t xml:space="preserve">, 110–114 (2018).</w:t>
      </w:r>
    </w:p>
    <w:bookmarkEnd w:id="59"/>
    <w:bookmarkStart w:id="60"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Carbon budget of the</w:t>
      </w:r>
      <w:r>
        <w:t xml:space="preserve"> </w:t>
      </w:r>
      <w:r>
        <w:t xml:space="preserve">Harvard Forest Long-Term Ecological Research</w:t>
      </w:r>
      <w:r>
        <w:t xml:space="preserve"> </w:t>
      </w:r>
      <w:r>
        <w:t xml:space="preserve">site: Pattern, process, and response to global change.</w:t>
      </w:r>
      <w:r>
        <w:t xml:space="preserve"> </w:t>
      </w:r>
      <w:r>
        <w:rPr>
          <w:iCs/>
          <w:i/>
        </w:rPr>
        <w:t xml:space="preserve">Ecological Monographs</w:t>
      </w:r>
      <w:r>
        <w:t xml:space="preserve"> </w:t>
      </w:r>
      <w:r>
        <w:rPr>
          <w:bCs/>
          <w:b/>
        </w:rPr>
        <w:t xml:space="preserve">90</w:t>
      </w:r>
      <w:r>
        <w:t xml:space="preserve">, e01423 (2020).</w:t>
      </w:r>
    </w:p>
    <w:bookmarkEnd w:id="60"/>
    <w:bookmarkStart w:id="61" w:name="ref-keeling_increased_1996"/>
    <w:p>
      <w:pPr>
        <w:pStyle w:val="Bibliography"/>
      </w:pPr>
      <w:r>
        <w:t xml:space="preserve">4.</w:t>
      </w:r>
      <w:r>
        <w:t xml:space="preserve"> </w:t>
      </w:r>
      <w:r>
        <w:t xml:space="preserve">	</w:t>
      </w:r>
      <w:r>
        <w:t xml:space="preserve">Keeling, C. D., Chin, J. F. S. &amp; Whorf, T. P. Increased activity of northern vegetation inferred from atmospheric</w:t>
      </w:r>
      <w:r>
        <w:t xml:space="preserve"> </w:t>
      </w:r>
      <w:r>
        <w:t xml:space="preserve">CO</w:t>
      </w:r>
      <w:r>
        <w:t xml:space="preserve"> </w:t>
      </w:r>
      <w:r>
        <w:t xml:space="preserve">2 measurements.</w:t>
      </w:r>
      <w:r>
        <w:t xml:space="preserve"> </w:t>
      </w:r>
      <w:r>
        <w:rPr>
          <w:iCs/>
          <w:i/>
        </w:rPr>
        <w:t xml:space="preserve">Nature</w:t>
      </w:r>
      <w:r>
        <w:t xml:space="preserve"> </w:t>
      </w:r>
      <w:r>
        <w:rPr>
          <w:bCs/>
          <w:b/>
        </w:rPr>
        <w:t xml:space="preserve">382</w:t>
      </w:r>
      <w:r>
        <w:t xml:space="preserve">, 146–149 (1996).</w:t>
      </w:r>
    </w:p>
    <w:bookmarkEnd w:id="61"/>
    <w:bookmarkStart w:id="62"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Evidence of increased net ecosystem productivity associated with a longer vegetated season in a deciduous forest in south-central</w:t>
      </w:r>
      <w:r>
        <w:t xml:space="preserve"> </w:t>
      </w:r>
      <w:r>
        <w:t xml:space="preserve">Indiana</w:t>
      </w:r>
      <w:r>
        <w:t xml:space="preserve">,</w:t>
      </w:r>
      <w:r>
        <w:t xml:space="preserve"> </w:t>
      </w:r>
      <w:r>
        <w:t xml:space="preserve">USA</w:t>
      </w:r>
      <w:r>
        <w:t xml:space="preserve">.</w:t>
      </w:r>
      <w:r>
        <w:t xml:space="preserve"> </w:t>
      </w:r>
      <w:r>
        <w:rPr>
          <w:iCs/>
          <w:i/>
        </w:rPr>
        <w:t xml:space="preserve">Global Change Biology</w:t>
      </w:r>
      <w:r>
        <w:t xml:space="preserve"> </w:t>
      </w:r>
      <w:r>
        <w:rPr>
          <w:bCs/>
          <w:b/>
        </w:rPr>
        <w:t xml:space="preserve">17</w:t>
      </w:r>
      <w:r>
        <w:t xml:space="preserve">, 886–897 (2011).</w:t>
      </w:r>
    </w:p>
    <w:bookmarkEnd w:id="62"/>
    <w:bookmarkStart w:id="63"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Explaining inter-annual variability of gross primary productivity from plant phenology and physiology.</w:t>
      </w:r>
      <w:r>
        <w:t xml:space="preserve"> </w:t>
      </w:r>
      <w:r>
        <w:rPr>
          <w:iCs/>
          <w:i/>
        </w:rPr>
        <w:t xml:space="preserve">Agricultural and Forest Meteorology</w:t>
      </w:r>
      <w:r>
        <w:t xml:space="preserve"> </w:t>
      </w:r>
      <w:r>
        <w:rPr>
          <w:bCs/>
          <w:b/>
        </w:rPr>
        <w:t xml:space="preserve">226–227</w:t>
      </w:r>
      <w:r>
        <w:t xml:space="preserve">, 246–256 (2016).</w:t>
      </w:r>
    </w:p>
    <w:bookmarkEnd w:id="63"/>
    <w:bookmarkStart w:id="64"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Maximum carbon uptake rate dominates the interannual variability of global net ecosystem exchange.</w:t>
      </w:r>
      <w:r>
        <w:t xml:space="preserve"> </w:t>
      </w:r>
      <w:r>
        <w:rPr>
          <w:iCs/>
          <w:i/>
        </w:rPr>
        <w:t xml:space="preserve">Global Change Biology</w:t>
      </w:r>
      <w:r>
        <w:t xml:space="preserve"> </w:t>
      </w:r>
      <w:r>
        <w:rPr>
          <w:bCs/>
          <w:b/>
        </w:rPr>
        <w:t xml:space="preserve">25</w:t>
      </w:r>
      <w:r>
        <w:t xml:space="preserve">, 3381–3394 (2019).</w:t>
      </w:r>
    </w:p>
    <w:bookmarkEnd w:id="64"/>
    <w:bookmarkStart w:id="65" w:name="ref-savage_coordination_2021"/>
    <w:p>
      <w:pPr>
        <w:pStyle w:val="Bibliography"/>
      </w:pPr>
      <w:r>
        <w:t xml:space="preserve">8.</w:t>
      </w:r>
      <w:r>
        <w:t xml:space="preserve"> </w:t>
      </w:r>
      <w:r>
        <w:t xml:space="preserve">	</w:t>
      </w:r>
      <w:r>
        <w:t xml:space="preserve">Savage, J. A. &amp; Chuine, I. Coordination of spring vascular and organ phenology in deciduous angiosperms growing in seasonally cold climates.</w:t>
      </w:r>
      <w:r>
        <w:t xml:space="preserve"> </w:t>
      </w:r>
      <w:r>
        <w:rPr>
          <w:iCs/>
          <w:i/>
        </w:rPr>
        <w:t xml:space="preserve">New Phytologist</w:t>
      </w:r>
      <w:r>
        <w:t xml:space="preserve"> </w:t>
      </w:r>
      <w:r>
        <w:rPr>
          <w:bCs/>
          <w:b/>
        </w:rPr>
        <w:t xml:space="preserve">230</w:t>
      </w:r>
      <w:r>
        <w:t xml:space="preserve">, 1700–1715 (2021).</w:t>
      </w:r>
    </w:p>
    <w:bookmarkEnd w:id="65"/>
    <w:bookmarkStart w:id="66"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Temperate and boreal forest tree phenology: From organ-scale processes to terrestrial ecosystem models.</w:t>
      </w:r>
      <w:r>
        <w:t xml:space="preserve"> </w:t>
      </w:r>
      <w:r>
        <w:rPr>
          <w:iCs/>
          <w:i/>
        </w:rPr>
        <w:t xml:space="preserve">Annals of Forest Science</w:t>
      </w:r>
      <w:r>
        <w:t xml:space="preserve"> </w:t>
      </w:r>
      <w:r>
        <w:rPr>
          <w:bCs/>
          <w:b/>
        </w:rPr>
        <w:t xml:space="preserve">73</w:t>
      </w:r>
      <w:r>
        <w:t xml:space="preserve">, 5–25 (2016).</w:t>
      </w:r>
    </w:p>
    <w:bookmarkEnd w:id="66"/>
    <w:bookmarkStart w:id="67"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Global patterns of woody residence time and its influence on model simulation of aboveground biomass.</w:t>
      </w:r>
      <w:r>
        <w:t xml:space="preserve"> </w:t>
      </w:r>
      <w:r>
        <w:rPr>
          <w:iCs/>
          <w:i/>
        </w:rPr>
        <w:t xml:space="preserve">Global Biogeochemical Cycles</w:t>
      </w:r>
      <w:r>
        <w:t xml:space="preserve"> </w:t>
      </w:r>
      <w:r>
        <w:rPr>
          <w:bCs/>
          <w:b/>
        </w:rPr>
        <w:t xml:space="preserve">31</w:t>
      </w:r>
      <w:r>
        <w:t xml:space="preserve">, 821–835 (2017).</w:t>
      </w:r>
    </w:p>
    <w:bookmarkEnd w:id="67"/>
    <w:bookmarkStart w:id="68"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Residence times and decay rates of downed woody debris biomass/carbon in eastern</w:t>
      </w:r>
      <w:r>
        <w:t xml:space="preserve"> </w:t>
      </w:r>
      <w:r>
        <w:t xml:space="preserve">US</w:t>
      </w:r>
      <w:r>
        <w:t xml:space="preserve"> </w:t>
      </w:r>
      <w:r>
        <w:t xml:space="preserve">forests.</w:t>
      </w:r>
      <w:r>
        <w:t xml:space="preserve"> </w:t>
      </w:r>
      <w:r>
        <w:rPr>
          <w:iCs/>
          <w:i/>
        </w:rPr>
        <w:t xml:space="preserve">Ecosystems</w:t>
      </w:r>
      <w:r>
        <w:t xml:space="preserve"> </w:t>
      </w:r>
      <w:r>
        <w:rPr>
          <w:bCs/>
          <w:b/>
        </w:rPr>
        <w:t xml:space="preserve">17</w:t>
      </w:r>
      <w:r>
        <w:t xml:space="preserve">, 765–777 (2014).</w:t>
      </w:r>
    </w:p>
    <w:bookmarkEnd w:id="68"/>
    <w:bookmarkStart w:id="69"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Terrestrial biosphere models need better representation of vegetation phenology: Results from the</w:t>
      </w:r>
      <w:r>
        <w:t xml:space="preserve"> </w:t>
      </w:r>
      <w:r>
        <w:t xml:space="preserve">North American Carbon Program Site Synthesis</w:t>
      </w:r>
      <w:r>
        <w:t xml:space="preserve">.</w:t>
      </w:r>
      <w:r>
        <w:t xml:space="preserve"> </w:t>
      </w:r>
      <w:r>
        <w:rPr>
          <w:iCs/>
          <w:i/>
        </w:rPr>
        <w:t xml:space="preserve">Global Change Biology</w:t>
      </w:r>
      <w:r>
        <w:t xml:space="preserve"> </w:t>
      </w:r>
      <w:r>
        <w:rPr>
          <w:bCs/>
          <w:b/>
        </w:rPr>
        <w:t xml:space="preserve">18</w:t>
      </w:r>
      <w:r>
        <w:t xml:space="preserve">, 566–584 (2012).</w:t>
      </w:r>
    </w:p>
    <w:bookmarkEnd w:id="69"/>
    <w:bookmarkStart w:id="71"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70">
        <w:r>
          <w:rPr>
            <w:rStyle w:val="Hyperlink"/>
          </w:rPr>
          <w:t xml:space="preserve">10.1038/s41558-020-00976-6</w:t>
        </w:r>
      </w:hyperlink>
      <w:r>
        <w:t xml:space="preserve">.</w:t>
      </w:r>
    </w:p>
    <w:bookmarkEnd w:id="71"/>
    <w:bookmarkStart w:id="72"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4382–4387 (2019).</w:t>
      </w:r>
    </w:p>
    <w:bookmarkEnd w:id="72"/>
    <w:bookmarkStart w:id="73" w:name="ref-ahlstrom_robustness_2012"/>
    <w:p>
      <w:pPr>
        <w:pStyle w:val="Bibliography"/>
      </w:pPr>
      <w:r>
        <w:t xml:space="preserve">15.</w:t>
      </w:r>
      <w:r>
        <w:t xml:space="preserve"> </w:t>
      </w:r>
      <w:r>
        <w:t xml:space="preserve">	</w:t>
      </w:r>
      <w:r>
        <w:t xml:space="preserve">Ahlström, A., Schurgers, G., Arneth, A. &amp; Smith, B. Robustness and uncertainty in terrestrial ecosystem carbon response to</w:t>
      </w:r>
      <w:r>
        <w:t xml:space="preserve"> </w:t>
      </w:r>
      <w:r>
        <w:t xml:space="preserve">CMIP5</w:t>
      </w:r>
      <w:r>
        <w:t xml:space="preserve"> </w:t>
      </w:r>
      <w:r>
        <w:t xml:space="preserve">climate change projections.</w:t>
      </w:r>
      <w:r>
        <w:t xml:space="preserve"> </w:t>
      </w:r>
      <w:r>
        <w:rPr>
          <w:iCs/>
          <w:i/>
        </w:rPr>
        <w:t xml:space="preserve">Environmental Research Letters</w:t>
      </w:r>
      <w:r>
        <w:t xml:space="preserve"> </w:t>
      </w:r>
      <w:r>
        <w:rPr>
          <w:bCs/>
          <w:b/>
        </w:rPr>
        <w:t xml:space="preserve">7</w:t>
      </w:r>
      <w:r>
        <w:t xml:space="preserve">, 044008 (2012).</w:t>
      </w:r>
    </w:p>
    <w:bookmarkEnd w:id="73"/>
    <w:bookmarkStart w:id="74"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Global</w:t>
      </w:r>
      <w:r>
        <w:t xml:space="preserve"> </w:t>
      </w:r>
      <w:r>
        <w:t xml:space="preserve">Carbon Budget</w:t>
      </w:r>
      <w:r>
        <w:t xml:space="preserve"> </w:t>
      </w:r>
      <w:r>
        <w:t xml:space="preserve">2020.</w:t>
      </w:r>
      <w:r>
        <w:t xml:space="preserve"> </w:t>
      </w:r>
      <w:r>
        <w:rPr>
          <w:iCs/>
          <w:i/>
        </w:rPr>
        <w:t xml:space="preserve">Earth System Science Data</w:t>
      </w:r>
      <w:r>
        <w:t xml:space="preserve"> </w:t>
      </w:r>
      <w:r>
        <w:rPr>
          <w:bCs/>
          <w:b/>
        </w:rPr>
        <w:t xml:space="preserve">12</w:t>
      </w:r>
      <w:r>
        <w:t xml:space="preserve">, 3269–3340 (2020).</w:t>
      </w:r>
    </w:p>
    <w:bookmarkEnd w:id="74"/>
    <w:bookmarkStart w:id="75"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75"/>
    <w:bookmarkStart w:id="76" w:name="ref-lu_no_2022"/>
    <w:p>
      <w:pPr>
        <w:pStyle w:val="Bibliography"/>
      </w:pPr>
      <w:r>
        <w:t xml:space="preserve">18.</w:t>
      </w:r>
      <w:r>
        <w:t xml:space="preserve"> </w:t>
      </w:r>
      <w:r>
        <w:t xml:space="preserve">	</w:t>
      </w:r>
      <w:r>
        <w:t xml:space="preserve">Lu, X. &amp; Keenan, T. F. No evidence for a negative effect of growing season photosynthesis on leaf senescence timing.</w:t>
      </w:r>
      <w:r>
        <w:t xml:space="preserve"> </w:t>
      </w:r>
      <w:r>
        <w:rPr>
          <w:iCs/>
          <w:i/>
        </w:rPr>
        <w:t xml:space="preserve">Global Change Biology</w:t>
      </w:r>
      <w:r>
        <w:t xml:space="preserve"> </w:t>
      </w:r>
      <w:r>
        <w:rPr>
          <w:bCs/>
          <w:b/>
        </w:rPr>
        <w:t xml:space="preserve">28</w:t>
      </w:r>
      <w:r>
        <w:t xml:space="preserve">, 3083–3093 (2022).</w:t>
      </w:r>
    </w:p>
    <w:bookmarkEnd w:id="76"/>
    <w:bookmarkStart w:id="77"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The fate of carbon in a mature forest under carbon dioxide enrichment.</w:t>
      </w:r>
      <w:r>
        <w:t xml:space="preserve"> </w:t>
      </w:r>
      <w:r>
        <w:rPr>
          <w:iCs/>
          <w:i/>
        </w:rPr>
        <w:t xml:space="preserve">Nature</w:t>
      </w:r>
      <w:r>
        <w:t xml:space="preserve"> </w:t>
      </w:r>
      <w:r>
        <w:rPr>
          <w:bCs/>
          <w:b/>
        </w:rPr>
        <w:t xml:space="preserve">580</w:t>
      </w:r>
      <w:r>
        <w:t xml:space="preserve">, 227–231 (2020).</w:t>
      </w:r>
    </w:p>
    <w:bookmarkEnd w:id="77"/>
    <w:bookmarkStart w:id="78"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Warmer temperatures reduce net carbon uptake, but do not affect water use, in a mature southern</w:t>
      </w:r>
      <w:r>
        <w:t xml:space="preserve"> </w:t>
      </w:r>
      <w:r>
        <w:t xml:space="preserve">Appalachian</w:t>
      </w:r>
      <w:r>
        <w:t xml:space="preserve"> </w:t>
      </w:r>
      <w:r>
        <w:t xml:space="preserve">forest.</w:t>
      </w:r>
      <w:r>
        <w:t xml:space="preserve"> </w:t>
      </w:r>
      <w:r>
        <w:rPr>
          <w:iCs/>
          <w:i/>
        </w:rPr>
        <w:t xml:space="preserve">Agricultural and Forest Meteorology</w:t>
      </w:r>
      <w:r>
        <w:t xml:space="preserve"> </w:t>
      </w:r>
      <w:r>
        <w:rPr>
          <w:bCs/>
          <w:b/>
        </w:rPr>
        <w:t xml:space="preserve">252</w:t>
      </w:r>
      <w:r>
        <w:t xml:space="preserve">, 269–282 (2018).</w:t>
      </w:r>
    </w:p>
    <w:bookmarkEnd w:id="78"/>
    <w:bookmarkStart w:id="79" w:name="ref-delpierre_wood_2016"/>
    <w:p>
      <w:pPr>
        <w:pStyle w:val="Bibliography"/>
      </w:pPr>
      <w:r>
        <w:t xml:space="preserve">21.</w:t>
      </w:r>
      <w:r>
        <w:t xml:space="preserve"> </w:t>
      </w:r>
      <w:r>
        <w:t xml:space="preserve">	</w:t>
      </w:r>
      <w:r>
        <w:t xml:space="preserve">Delpierre, N., Berveiller, D., Granda, E. &amp; Dufrêne, E. Wood phenology, not carbon input, controls the interannual variability of wood growth in a temperate oak forest.</w:t>
      </w:r>
      <w:r>
        <w:t xml:space="preserve"> </w:t>
      </w:r>
      <w:r>
        <w:rPr>
          <w:iCs/>
          <w:i/>
        </w:rPr>
        <w:t xml:space="preserve">New Phytologist</w:t>
      </w:r>
      <w:r>
        <w:t xml:space="preserve"> </w:t>
      </w:r>
      <w:r>
        <w:rPr>
          <w:bCs/>
          <w:b/>
        </w:rPr>
        <w:t xml:space="preserve">210</w:t>
      </w:r>
      <w:r>
        <w:t xml:space="preserve">, 459–470 (2016).</w:t>
      </w:r>
    </w:p>
    <w:bookmarkEnd w:id="79"/>
    <w:bookmarkStart w:id="80"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Photoperiod and temperature as dominant environmental drivers triggering secondary growth resumption in</w:t>
      </w:r>
      <w:r>
        <w:t xml:space="preserve"> </w:t>
      </w:r>
      <w:r>
        <w:t xml:space="preserve">Northern Hemisphere</w:t>
      </w:r>
      <w:r>
        <w:t xml:space="preserve"> </w:t>
      </w:r>
      <w:r>
        <w:t xml:space="preserve">conifers.</w:t>
      </w:r>
      <w:r>
        <w:t xml:space="preserve"> </w:t>
      </w:r>
      <w:r>
        <w:rPr>
          <w:iCs/>
          <w:i/>
        </w:rPr>
        <w:t xml:space="preserve">Proceedings of the National Academy of Sciences</w:t>
      </w:r>
      <w:r>
        <w:t xml:space="preserve"> </w:t>
      </w:r>
      <w:r>
        <w:rPr>
          <w:bCs/>
          <w:b/>
        </w:rPr>
        <w:t xml:space="preserve">117</w:t>
      </w:r>
      <w:r>
        <w:t xml:space="preserve">, 20645–20652 (2020).</w:t>
      </w:r>
    </w:p>
    <w:bookmarkEnd w:id="80"/>
    <w:bookmarkStart w:id="81"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Critical temperatures for xylogenesis in conifers of cold climates.</w:t>
      </w:r>
      <w:r>
        <w:t xml:space="preserve"> </w:t>
      </w:r>
      <w:r>
        <w:rPr>
          <w:iCs/>
          <w:i/>
        </w:rPr>
        <w:t xml:space="preserve">Global Ecology and Biogeography</w:t>
      </w:r>
      <w:r>
        <w:t xml:space="preserve"> </w:t>
      </w:r>
      <w:r>
        <w:rPr>
          <w:bCs/>
          <w:b/>
        </w:rPr>
        <w:t xml:space="preserve">17</w:t>
      </w:r>
      <w:r>
        <w:t xml:space="preserve">, 696–707 (2008).</w:t>
      </w:r>
    </w:p>
    <w:bookmarkEnd w:id="81"/>
    <w:bookmarkStart w:id="82"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Twentieth century redistribution in climatic drivers of global tree growth.</w:t>
      </w:r>
      <w:r>
        <w:t xml:space="preserve"> </w:t>
      </w:r>
      <w:r>
        <w:rPr>
          <w:iCs/>
          <w:i/>
        </w:rPr>
        <w:t xml:space="preserve">Science Advances</w:t>
      </w:r>
      <w:r>
        <w:t xml:space="preserve"> </w:t>
      </w:r>
      <w:r>
        <w:rPr>
          <w:bCs/>
          <w:b/>
        </w:rPr>
        <w:t xml:space="preserve">5</w:t>
      </w:r>
      <w:r>
        <w:t xml:space="preserve">, eaat4313 (2019).</w:t>
      </w:r>
    </w:p>
    <w:bookmarkEnd w:id="82"/>
    <w:bookmarkStart w:id="84"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83">
        <w:r>
          <w:rPr>
            <w:rStyle w:val="Hyperlink"/>
          </w:rPr>
          <w:t xml:space="preserve">10.1038/s41559-022-01668-4</w:t>
        </w:r>
      </w:hyperlink>
      <w:r>
        <w:t xml:space="preserve">.</w:t>
      </w:r>
    </w:p>
    <w:bookmarkEnd w:id="84"/>
    <w:bookmarkStart w:id="85"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Why trees grow at night.</w:t>
      </w:r>
      <w:r>
        <w:t xml:space="preserve"> </w:t>
      </w:r>
      <w:r>
        <w:rPr>
          <w:iCs/>
          <w:i/>
        </w:rPr>
        <w:t xml:space="preserve">New Phytologist</w:t>
      </w:r>
      <w:r>
        <w:t xml:space="preserve"> </w:t>
      </w:r>
      <w:r>
        <w:rPr>
          <w:bCs/>
          <w:b/>
        </w:rPr>
        <w:t xml:space="preserve">231</w:t>
      </w:r>
      <w:r>
        <w:t xml:space="preserve">, 2174–2185 (2021).</w:t>
      </w:r>
    </w:p>
    <w:bookmarkEnd w:id="85"/>
    <w:bookmarkStart w:id="86" w:name="ref-tumajer_limitation_2022"/>
    <w:p>
      <w:pPr>
        <w:pStyle w:val="Bibliography"/>
      </w:pPr>
      <w:r>
        <w:t xml:space="preserve">27.</w:t>
      </w:r>
      <w:r>
        <w:t xml:space="preserve"> </w:t>
      </w:r>
      <w:r>
        <w:t xml:space="preserve">	</w:t>
      </w:r>
      <w:r>
        <w:t xml:space="preserve">Tumajer, J., Scharnweber, T., Smiljanic, M. &amp; Wilmking, M. Limitation by vapour pressure deficit shapes different intra-annual growth patterns of diffuse- and ring-porous temperate broadleaves.</w:t>
      </w:r>
      <w:r>
        <w:t xml:space="preserve"> </w:t>
      </w:r>
      <w:r>
        <w:rPr>
          <w:iCs/>
          <w:i/>
        </w:rPr>
        <w:t xml:space="preserve">New Phytologist</w:t>
      </w:r>
      <w:r>
        <w:t xml:space="preserve"> </w:t>
      </w:r>
      <w:r>
        <w:rPr>
          <w:bCs/>
          <w:b/>
        </w:rPr>
        <w:t xml:space="preserve">233</w:t>
      </w:r>
      <w:r>
        <w:t xml:space="preserve">, 2429–2441 (2022).</w:t>
      </w:r>
    </w:p>
    <w:bookmarkEnd w:id="86"/>
    <w:bookmarkStart w:id="87"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Number of growth days and not length of the growth period determines radial stem growth of temperate trees.</w:t>
      </w:r>
      <w:r>
        <w:t xml:space="preserve"> </w:t>
      </w:r>
      <w:r>
        <w:rPr>
          <w:iCs/>
          <w:i/>
        </w:rPr>
        <w:t xml:space="preserve">Ecology Letters</w:t>
      </w:r>
      <w:r>
        <w:t xml:space="preserve"> </w:t>
      </w:r>
      <w:r>
        <w:rPr>
          <w:bCs/>
          <w:b/>
        </w:rPr>
        <w:t xml:space="preserve">25</w:t>
      </w:r>
      <w:r>
        <w:t xml:space="preserve">, 427–439 (2022).</w:t>
      </w:r>
    </w:p>
    <w:bookmarkEnd w:id="87"/>
    <w:bookmarkStart w:id="88" w:name="ref-zani_increased_2020"/>
    <w:p>
      <w:pPr>
        <w:pStyle w:val="Bibliography"/>
      </w:pPr>
      <w:r>
        <w:t xml:space="preserve">29.</w:t>
      </w:r>
      <w:r>
        <w:t xml:space="preserve"> </w:t>
      </w:r>
      <w:r>
        <w:t xml:space="preserve">	</w:t>
      </w:r>
      <w:r>
        <w:t xml:space="preserve">Zani, D., Crowther, T. W., Mo, L., Renner, S. S. &amp; Zohner, C. M. Increased growing-season productivity drives earlier autumn leaf senescence in temperate trees.</w:t>
      </w:r>
      <w:r>
        <w:t xml:space="preserve"> </w:t>
      </w:r>
      <w:r>
        <w:rPr>
          <w:iCs/>
          <w:i/>
        </w:rPr>
        <w:t xml:space="preserve">Science</w:t>
      </w:r>
      <w:r>
        <w:t xml:space="preserve"> </w:t>
      </w:r>
      <w:r>
        <w:rPr>
          <w:bCs/>
          <w:b/>
        </w:rPr>
        <w:t xml:space="preserve">370</w:t>
      </w:r>
      <w:r>
        <w:t xml:space="preserve">, 1066–1071 (2020).</w:t>
      </w:r>
    </w:p>
    <w:bookmarkEnd w:id="88"/>
    <w:bookmarkStart w:id="89" w:name="ref-zohner_how_2021"/>
    <w:p>
      <w:pPr>
        <w:pStyle w:val="Bibliography"/>
      </w:pPr>
      <w:r>
        <w:t xml:space="preserve">30.</w:t>
      </w:r>
      <w:r>
        <w:t xml:space="preserve"> </w:t>
      </w:r>
      <w:r>
        <w:t xml:space="preserve">	</w:t>
      </w:r>
      <w:r>
        <w:t xml:space="preserve">Zohner, C. M., Renner, S. S., Sebald, V. &amp; Crowther, T. W. How changes in spring and autumn phenology translate into growth-experimental evidence of asymmetric effects.</w:t>
      </w:r>
      <w:r>
        <w:t xml:space="preserve"> </w:t>
      </w:r>
      <w:r>
        <w:rPr>
          <w:iCs/>
          <w:i/>
        </w:rPr>
        <w:t xml:space="preserve">Journal of Ecology</w:t>
      </w:r>
      <w:r>
        <w:t xml:space="preserve"> </w:t>
      </w:r>
      <w:r>
        <w:rPr>
          <w:bCs/>
          <w:b/>
        </w:rPr>
        <w:t xml:space="preserve">109</w:t>
      </w:r>
      <w:r>
        <w:t xml:space="preserve">, 2717–2728 (2021).</w:t>
      </w:r>
    </w:p>
    <w:bookmarkEnd w:id="89"/>
    <w:bookmarkStart w:id="90"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Cross-biome synthesis of source versus sink limits to tree growth.</w:t>
      </w:r>
      <w:r>
        <w:t xml:space="preserve"> </w:t>
      </w:r>
      <w:r>
        <w:rPr>
          <w:iCs/>
          <w:i/>
        </w:rPr>
        <w:t xml:space="preserve">Science</w:t>
      </w:r>
      <w:r>
        <w:t xml:space="preserve"> </w:t>
      </w:r>
      <w:r>
        <w:rPr>
          <w:bCs/>
          <w:b/>
        </w:rPr>
        <w:t xml:space="preserve">376</w:t>
      </w:r>
      <w:r>
        <w:t xml:space="preserve">, 758–761 (2022).</w:t>
      </w:r>
    </w:p>
    <w:bookmarkEnd w:id="90"/>
    <w:bookmarkStart w:id="91"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Drought timing and local climate determine the sensitivity of eastern temperate forests to drought.</w:t>
      </w:r>
      <w:r>
        <w:t xml:space="preserve"> </w:t>
      </w:r>
      <w:r>
        <w:rPr>
          <w:iCs/>
          <w:i/>
        </w:rPr>
        <w:t xml:space="preserve">Global Change Biology</w:t>
      </w:r>
      <w:r>
        <w:t xml:space="preserve"> </w:t>
      </w:r>
      <w:r>
        <w:rPr>
          <w:bCs/>
          <w:b/>
        </w:rPr>
        <w:t xml:space="preserve">24</w:t>
      </w:r>
      <w:r>
        <w:t xml:space="preserve">, 2339–2351 (2018).</w:t>
      </w:r>
    </w:p>
    <w:bookmarkEnd w:id="91"/>
    <w:bookmarkStart w:id="92"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Growing season moisture drives interannual variation in woody productivity of a temperate deciduous forest.</w:t>
      </w:r>
      <w:r>
        <w:t xml:space="preserve"> </w:t>
      </w:r>
      <w:r>
        <w:rPr>
          <w:iCs/>
          <w:i/>
        </w:rPr>
        <w:t xml:space="preserve">New Phytologist</w:t>
      </w:r>
      <w:r>
        <w:t xml:space="preserve"> </w:t>
      </w:r>
      <w:r>
        <w:rPr>
          <w:bCs/>
          <w:b/>
        </w:rPr>
        <w:t xml:space="preserve">223</w:t>
      </w:r>
      <w:r>
        <w:t xml:space="preserve">, 1204–1216 (2019).</w:t>
      </w:r>
    </w:p>
    <w:bookmarkEnd w:id="92"/>
    <w:bookmarkStart w:id="93" w:name="ref-mcmahon_general_2015"/>
    <w:p>
      <w:pPr>
        <w:pStyle w:val="Bibliography"/>
      </w:pPr>
      <w:r>
        <w:t xml:space="preserve">34.</w:t>
      </w:r>
      <w:r>
        <w:t xml:space="preserve"> </w:t>
      </w:r>
      <w:r>
        <w:t xml:space="preserve">	</w:t>
      </w:r>
      <w:r>
        <w:t xml:space="preserve">McMahon, S. M. &amp; Parker, G. G. A general model of intra-annual tree growth using dendrometer bands.</w:t>
      </w:r>
      <w:r>
        <w:t xml:space="preserve"> </w:t>
      </w:r>
      <w:r>
        <w:rPr>
          <w:iCs/>
          <w:i/>
        </w:rPr>
        <w:t xml:space="preserve">Ecology and Evolution</w:t>
      </w:r>
      <w:r>
        <w:t xml:space="preserve"> </w:t>
      </w:r>
      <w:r>
        <w:rPr>
          <w:bCs/>
          <w:b/>
        </w:rPr>
        <w:t xml:space="preserve">5</w:t>
      </w:r>
      <w:r>
        <w:t xml:space="preserve">, 243–254 (2015).</w:t>
      </w:r>
    </w:p>
    <w:bookmarkEnd w:id="93"/>
    <w:bookmarkStart w:id="94"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Peak radial growth of diffuse-porous species occurs during periods of lower water availability than for ring-porous and coniferous trees.</w:t>
      </w:r>
      <w:r>
        <w:t xml:space="preserve"> </w:t>
      </w:r>
      <w:r>
        <w:rPr>
          <w:iCs/>
          <w:i/>
        </w:rPr>
        <w:t xml:space="preserve">Tree Physiology</w:t>
      </w:r>
      <w:r>
        <w:t xml:space="preserve"> </w:t>
      </w:r>
      <w:r>
        <w:rPr>
          <w:bCs/>
          <w:b/>
        </w:rPr>
        <w:t xml:space="preserve">42</w:t>
      </w:r>
      <w:r>
        <w:t xml:space="preserve">, 304–316 (2022).</w:t>
      </w:r>
    </w:p>
    <w:bookmarkEnd w:id="94"/>
    <w:bookmarkStart w:id="95"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Seasonal dynamics and age of stemwood nonstructural carbohydrates in temperate forest trees.</w:t>
      </w:r>
      <w:r>
        <w:t xml:space="preserve"> </w:t>
      </w:r>
      <w:r>
        <w:rPr>
          <w:iCs/>
          <w:i/>
        </w:rPr>
        <w:t xml:space="preserve">New Phytologist</w:t>
      </w:r>
      <w:r>
        <w:t xml:space="preserve"> </w:t>
      </w:r>
      <w:r>
        <w:rPr>
          <w:bCs/>
          <w:b/>
        </w:rPr>
        <w:t xml:space="preserve">197</w:t>
      </w:r>
      <w:r>
        <w:t xml:space="preserve">, 850–861 (2013).</w:t>
      </w:r>
    </w:p>
    <w:bookmarkEnd w:id="95"/>
    <w:bookmarkStart w:id="96" w:name="ref-elmore_earlier_2016"/>
    <w:p>
      <w:pPr>
        <w:pStyle w:val="Bibliography"/>
      </w:pPr>
      <w:r>
        <w:t xml:space="preserve">37.</w:t>
      </w:r>
      <w:r>
        <w:t xml:space="preserve"> </w:t>
      </w:r>
      <w:r>
        <w:t xml:space="preserve">	</w:t>
      </w:r>
      <w:r>
        <w:t xml:space="preserve">Elmore, A. J., Nelson, D. M. &amp; Craine, J. M. Earlier springs are causing reduced nitrogen availability in</w:t>
      </w:r>
      <w:r>
        <w:t xml:space="preserve"> </w:t>
      </w:r>
      <w:r>
        <w:t xml:space="preserve">North American</w:t>
      </w:r>
      <w:r>
        <w:t xml:space="preserve"> </w:t>
      </w:r>
      <w:r>
        <w:t xml:space="preserve">eastern deciduous forests.</w:t>
      </w:r>
      <w:r>
        <w:t xml:space="preserve"> </w:t>
      </w:r>
      <w:r>
        <w:rPr>
          <w:iCs/>
          <w:i/>
        </w:rPr>
        <w:t xml:space="preserve">Nature Plants</w:t>
      </w:r>
      <w:r>
        <w:t xml:space="preserve"> </w:t>
      </w:r>
      <w:r>
        <w:rPr>
          <w:bCs/>
          <w:b/>
        </w:rPr>
        <w:t xml:space="preserve">2</w:t>
      </w:r>
      <w:r>
        <w:t xml:space="preserve">, 16133 (2016).</w:t>
      </w:r>
    </w:p>
    <w:bookmarkEnd w:id="96"/>
    <w:bookmarkStart w:id="97"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Woody biomass production lags stem-girth increase by over one month in coniferous forests.</w:t>
      </w:r>
      <w:r>
        <w:t xml:space="preserve"> </w:t>
      </w:r>
      <w:r>
        <w:rPr>
          <w:iCs/>
          <w:i/>
        </w:rPr>
        <w:t xml:space="preserve">Nature Plants</w:t>
      </w:r>
      <w:r>
        <w:t xml:space="preserve"> </w:t>
      </w:r>
      <w:r>
        <w:rPr>
          <w:bCs/>
          <w:b/>
        </w:rPr>
        <w:t xml:space="preserve">1</w:t>
      </w:r>
      <w:r>
        <w:t xml:space="preserve">, 15160 (2015).</w:t>
      </w:r>
    </w:p>
    <w:bookmarkEnd w:id="97"/>
    <w:bookmarkStart w:id="98" w:name="ref-tardif_influence_2006"/>
    <w:p>
      <w:pPr>
        <w:pStyle w:val="Bibliography"/>
      </w:pPr>
      <w:r>
        <w:t xml:space="preserve">39.</w:t>
      </w:r>
      <w:r>
        <w:t xml:space="preserve"> </w:t>
      </w:r>
      <w:r>
        <w:t xml:space="preserve">	</w:t>
      </w:r>
      <w:r>
        <w:t xml:space="preserve">Tardif, J. C. &amp; Conciatori, F. Influence of climate on tree rings and vessel features in red oak and white oak growing near their northern distribution limit, southwestern</w:t>
      </w:r>
      <w:r>
        <w:t xml:space="preserve"> </w:t>
      </w:r>
      <w:r>
        <w:t xml:space="preserve">Quebec</w:t>
      </w:r>
      <w:r>
        <w:t xml:space="preserve">,</w:t>
      </w:r>
      <w:r>
        <w:t xml:space="preserve"> </w:t>
      </w:r>
      <w:r>
        <w:t xml:space="preserve">Canada</w:t>
      </w:r>
      <w:r>
        <w:t xml:space="preserve">.</w:t>
      </w:r>
      <w:r>
        <w:t xml:space="preserve"> </w:t>
      </w:r>
      <w:r>
        <w:rPr>
          <w:iCs/>
          <w:i/>
        </w:rPr>
        <w:t xml:space="preserve">Canadian Journal of Forest Research</w:t>
      </w:r>
      <w:r>
        <w:t xml:space="preserve"> </w:t>
      </w:r>
      <w:r>
        <w:rPr>
          <w:bCs/>
          <w:b/>
        </w:rPr>
        <w:t xml:space="preserve">36</w:t>
      </w:r>
      <w:r>
        <w:t xml:space="preserve">, 2317–2330 (2006).</w:t>
      </w:r>
    </w:p>
    <w:bookmarkEnd w:id="98"/>
    <w:bookmarkStart w:id="99"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The climatic response of tree ring width components of ash (</w:t>
      </w:r>
      <w:r>
        <w:t xml:space="preserve">Fraxinus</w:t>
      </w:r>
      <w:r>
        <w:t xml:space="preserve"> </w:t>
      </w:r>
      <w:r>
        <w:t xml:space="preserve">excelsior</w:t>
      </w:r>
      <w:r>
        <w:t xml:space="preserve"> </w:t>
      </w:r>
      <w:r>
        <w:t xml:space="preserve">L</w:t>
      </w:r>
      <w:r>
        <w:t xml:space="preserve">.) And common oak (</w:t>
      </w:r>
      <w:r>
        <w:t xml:space="preserve">Quercus</w:t>
      </w:r>
      <w:r>
        <w:t xml:space="preserve"> </w:t>
      </w:r>
      <w:r>
        <w:t xml:space="preserve">robur</w:t>
      </w:r>
      <w:r>
        <w:t xml:space="preserve"> </w:t>
      </w:r>
      <w:r>
        <w:t xml:space="preserve">L</w:t>
      </w:r>
      <w:r>
        <w:t xml:space="preserve">.) From eastern</w:t>
      </w:r>
      <w:r>
        <w:t xml:space="preserve"> </w:t>
      </w:r>
      <w:r>
        <w:t xml:space="preserve">Europe</w:t>
      </w:r>
      <w:r>
        <w:t xml:space="preserve">.</w:t>
      </w:r>
      <w:r>
        <w:t xml:space="preserve"> </w:t>
      </w:r>
      <w:r>
        <w:rPr>
          <w:iCs/>
          <w:i/>
        </w:rPr>
        <w:t xml:space="preserve">Forests</w:t>
      </w:r>
      <w:r>
        <w:t xml:space="preserve"> </w:t>
      </w:r>
      <w:r>
        <w:rPr>
          <w:bCs/>
          <w:b/>
        </w:rPr>
        <w:t xml:space="preserve">11</w:t>
      </w:r>
      <w:r>
        <w:t xml:space="preserve">, 600 (2020).</w:t>
      </w:r>
    </w:p>
    <w:bookmarkEnd w:id="99"/>
    <w:bookmarkStart w:id="100"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Multiple tree-ring proxies (earlywood width, latewood width and</w:t>
      </w:r>
      <w:r>
        <w:t xml:space="preserve"> </w:t>
      </w:r>
      <m:oMath>
        <m:r>
          <m:t>δ</m:t>
        </m:r>
      </m:oMath>
      <w:r>
        <w:t xml:space="preserve">13C</w:t>
      </w:r>
      <w:r>
        <w:t xml:space="preserve">) from pedunculate oak (</w:t>
      </w:r>
      <w:r>
        <w:t xml:space="preserve">Quercus</w:t>
      </w:r>
      <w:r>
        <w:t xml:space="preserve"> </w:t>
      </w:r>
      <w:r>
        <w:t xml:space="preserve">robur</w:t>
      </w:r>
      <w:r>
        <w:t xml:space="preserve"> </w:t>
      </w:r>
      <w:r>
        <w:t xml:space="preserve">L</w:t>
      </w:r>
      <w:r>
        <w:t xml:space="preserve">.),</w:t>
      </w:r>
      <w:r>
        <w:t xml:space="preserve"> </w:t>
      </w:r>
      <w:r>
        <w:t xml:space="preserve">Hungary</w:t>
      </w:r>
      <w:r>
        <w:t xml:space="preserve">.</w:t>
      </w:r>
      <w:r>
        <w:t xml:space="preserve"> </w:t>
      </w:r>
      <w:r>
        <w:rPr>
          <w:iCs/>
          <w:i/>
        </w:rPr>
        <w:t xml:space="preserve">Quaternary International</w:t>
      </w:r>
      <w:r>
        <w:t xml:space="preserve"> </w:t>
      </w:r>
      <w:r>
        <w:rPr>
          <w:bCs/>
          <w:b/>
        </w:rPr>
        <w:t xml:space="preserve">293</w:t>
      </w:r>
      <w:r>
        <w:t xml:space="preserve">, 257–267 (2013).</w:t>
      </w:r>
    </w:p>
    <w:bookmarkEnd w:id="100"/>
    <w:bookmarkStart w:id="101" w:name="ref-trumbore_quantifying_2002"/>
    <w:p>
      <w:pPr>
        <w:pStyle w:val="Bibliography"/>
      </w:pPr>
      <w:r>
        <w:t xml:space="preserve">42.</w:t>
      </w:r>
      <w:r>
        <w:t xml:space="preserve"> </w:t>
      </w:r>
      <w:r>
        <w:t xml:space="preserve">	</w:t>
      </w:r>
      <w:r>
        <w:t xml:space="preserve">Trumbore, S., Gaudinski, J. B., Hanson, P. J. &amp; Southon, J. R. Quantifying ecosystem-atmosphere carbon exchange with a</w:t>
      </w:r>
      <w:r>
        <w:t xml:space="preserve"> </w:t>
      </w:r>
      <w:r>
        <w:t xml:space="preserve">14C</w:t>
      </w:r>
      <w:r>
        <w:t xml:space="preserve"> </w:t>
      </w:r>
      <w:r>
        <w:t xml:space="preserve">label.</w:t>
      </w:r>
      <w:r>
        <w:t xml:space="preserve"> </w:t>
      </w:r>
      <w:r>
        <w:rPr>
          <w:iCs/>
          <w:i/>
        </w:rPr>
        <w:t xml:space="preserve">Eos, Transactions American Geophysical Union</w:t>
      </w:r>
      <w:r>
        <w:t xml:space="preserve"> </w:t>
      </w:r>
      <w:r>
        <w:rPr>
          <w:bCs/>
          <w:b/>
        </w:rPr>
        <w:t xml:space="preserve">83</w:t>
      </w:r>
      <w:r>
        <w:t xml:space="preserve">, 265–268 (2002).</w:t>
      </w:r>
    </w:p>
    <w:bookmarkEnd w:id="101"/>
    <w:bookmarkStart w:id="103"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102">
        <w:r>
          <w:rPr>
            <w:rStyle w:val="Hyperlink"/>
          </w:rPr>
          <w:t xml:space="preserve">10.1073/pnas.2002713117</w:t>
        </w:r>
      </w:hyperlink>
      <w:r>
        <w:t xml:space="preserve">.</w:t>
      </w:r>
    </w:p>
    <w:bookmarkEnd w:id="103"/>
    <w:bookmarkStart w:id="104"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 (2022).</w:t>
      </w:r>
    </w:p>
    <w:bookmarkEnd w:id="104"/>
    <w:bookmarkStart w:id="105"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Global patterns of forest autotrophic carbon fluxes.</w:t>
      </w:r>
      <w:r>
        <w:t xml:space="preserve"> </w:t>
      </w:r>
      <w:r>
        <w:rPr>
          <w:iCs/>
          <w:i/>
        </w:rPr>
        <w:t xml:space="preserve">Global Change Biology</w:t>
      </w:r>
      <w:r>
        <w:t xml:space="preserve"> </w:t>
      </w:r>
      <w:r>
        <w:rPr>
          <w:bCs/>
          <w:b/>
        </w:rPr>
        <w:t xml:space="preserve">27</w:t>
      </w:r>
      <w:r>
        <w:t xml:space="preserve">, 2840–2855 (2021).</w:t>
      </w:r>
    </w:p>
    <w:bookmarkEnd w:id="105"/>
    <w:bookmarkStart w:id="106" w:name="ref-churkina_spatial_2005"/>
    <w:p>
      <w:pPr>
        <w:pStyle w:val="Bibliography"/>
      </w:pPr>
      <w:r>
        <w:t xml:space="preserve">46.</w:t>
      </w:r>
      <w:r>
        <w:t xml:space="preserve"> </w:t>
      </w:r>
      <w:r>
        <w:t xml:space="preserve">	</w:t>
      </w:r>
      <w:r>
        <w:t xml:space="preserve">Churkina, G., Schimel, D., Braswell, B. H. &amp; Xiao, X. Spatial analysis of growing season length control over net ecosystem exchange.</w:t>
      </w:r>
      <w:r>
        <w:t xml:space="preserve"> </w:t>
      </w:r>
      <w:r>
        <w:rPr>
          <w:iCs/>
          <w:i/>
        </w:rPr>
        <w:t xml:space="preserve">Global Change Biology</w:t>
      </w:r>
      <w:r>
        <w:t xml:space="preserve"> </w:t>
      </w:r>
      <w:r>
        <w:rPr>
          <w:bCs/>
          <w:b/>
        </w:rPr>
        <w:t xml:space="preserve">11</w:t>
      </w:r>
      <w:r>
        <w:t xml:space="preserve">, 1777–1787 (2005).</w:t>
      </w:r>
    </w:p>
    <w:bookmarkEnd w:id="106"/>
    <w:bookmarkStart w:id="107"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Phenological mismatches between above- and belowground plant responses to climate warming.</w:t>
      </w:r>
      <w:r>
        <w:t xml:space="preserve"> </w:t>
      </w:r>
      <w:r>
        <w:rPr>
          <w:iCs/>
          <w:i/>
        </w:rPr>
        <w:t xml:space="preserve">Nature Climate Change</w:t>
      </w:r>
      <w:r>
        <w:t xml:space="preserve"> </w:t>
      </w:r>
      <w:r>
        <w:rPr>
          <w:bCs/>
          <w:b/>
        </w:rPr>
        <w:t xml:space="preserve">12</w:t>
      </w:r>
      <w:r>
        <w:t xml:space="preserve">, 97–102 (2022).</w:t>
      </w:r>
    </w:p>
    <w:bookmarkEnd w:id="107"/>
    <w:bookmarkStart w:id="108"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The increasing importance of atmospheric demand for ecosystem water and carbon fluxes.</w:t>
      </w:r>
      <w:r>
        <w:t xml:space="preserve"> </w:t>
      </w:r>
      <w:r>
        <w:rPr>
          <w:iCs/>
          <w:i/>
        </w:rPr>
        <w:t xml:space="preserve">Nature Climate Change</w:t>
      </w:r>
      <w:r>
        <w:t xml:space="preserve"> </w:t>
      </w:r>
      <w:r>
        <w:rPr>
          <w:bCs/>
          <w:b/>
        </w:rPr>
        <w:t xml:space="preserve">6</w:t>
      </w:r>
      <w:r>
        <w:t xml:space="preserve">, 1023–1027 (2016).</w:t>
      </w:r>
    </w:p>
    <w:bookmarkEnd w:id="108"/>
    <w:bookmarkStart w:id="109"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Drought limits wood production of</w:t>
      </w:r>
      <w:r>
        <w:t xml:space="preserve"> </w:t>
      </w:r>
      <w:r>
        <w:t xml:space="preserve">Juniperus</w:t>
      </w:r>
      <w:r>
        <w:t xml:space="preserve"> </w:t>
      </w:r>
      <w:r>
        <w:t xml:space="preserve">przewalskii even as growing seasons lengthens in a cold and arid environment.</w:t>
      </w:r>
      <w:r>
        <w:t xml:space="preserve"> </w:t>
      </w:r>
      <w:r>
        <w:rPr>
          <w:iCs/>
          <w:i/>
        </w:rPr>
        <w:t xml:space="preserve">CATENA</w:t>
      </w:r>
      <w:r>
        <w:t xml:space="preserve"> </w:t>
      </w:r>
      <w:r>
        <w:rPr>
          <w:bCs/>
          <w:b/>
        </w:rPr>
        <w:t xml:space="preserve">196</w:t>
      </w:r>
      <w:r>
        <w:t xml:space="preserve">, 104936 (2021).</w:t>
      </w:r>
    </w:p>
    <w:bookmarkEnd w:id="109"/>
    <w:bookmarkStart w:id="110"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Summer soil drying exacerbated by earlier spring greening of northern vegetation.</w:t>
      </w:r>
      <w:r>
        <w:t xml:space="preserve"> </w:t>
      </w:r>
      <w:r>
        <w:rPr>
          <w:iCs/>
          <w:i/>
        </w:rPr>
        <w:t xml:space="preserve">Science Advances</w:t>
      </w:r>
      <w:r>
        <w:t xml:space="preserve"> </w:t>
      </w:r>
      <w:r>
        <w:rPr>
          <w:bCs/>
          <w:b/>
        </w:rPr>
        <w:t xml:space="preserve">6</w:t>
      </w:r>
      <w:r>
        <w:t xml:space="preserve">, eaax0255 (2022).</w:t>
      </w:r>
    </w:p>
    <w:bookmarkEnd w:id="110"/>
    <w:bookmarkStart w:id="111" w:name="ref-bourg_initial_2013"/>
    <w:p>
      <w:pPr>
        <w:pStyle w:val="Bibliography"/>
      </w:pPr>
      <w:r>
        <w:t xml:space="preserve">51.</w:t>
      </w:r>
      <w:r>
        <w:t xml:space="preserve"> </w:t>
      </w:r>
      <w:r>
        <w:t xml:space="preserve">	</w:t>
      </w:r>
      <w:r>
        <w:t xml:space="preserve">Bourg, N. A., McShea, W. J., Thompson, J. R., McGarvey, J. C. &amp; Shen, X. Initial census, woody seedling, seed rain, and stand structure data for the</w:t>
      </w:r>
      <w:r>
        <w:t xml:space="preserve"> </w:t>
      </w:r>
      <w:r>
        <w:t xml:space="preserve">SCBI SIGEO Large Forest Dynamics Plot</w:t>
      </w:r>
      <w:r>
        <w:t xml:space="preserve">:</w:t>
      </w:r>
      <w:r>
        <w:t xml:space="preserve"> </w:t>
      </w:r>
      <w:r>
        <w:rPr>
          <w:iCs/>
          <w:i/>
        </w:rPr>
        <w:t xml:space="preserve">Ecological Archives</w:t>
      </w:r>
      <w:r>
        <w:t xml:space="preserve"> </w:t>
      </w:r>
      <w:r>
        <w:t xml:space="preserve">E094-195</w:t>
      </w:r>
      <w:r>
        <w:t xml:space="preserve">.</w:t>
      </w:r>
      <w:r>
        <w:t xml:space="preserve"> </w:t>
      </w:r>
      <w:r>
        <w:rPr>
          <w:iCs/>
          <w:i/>
        </w:rPr>
        <w:t xml:space="preserve">Ecology</w:t>
      </w:r>
      <w:r>
        <w:t xml:space="preserve"> </w:t>
      </w:r>
      <w:r>
        <w:rPr>
          <w:bCs/>
          <w:b/>
        </w:rPr>
        <w:t xml:space="preserve">94</w:t>
      </w:r>
      <w:r>
        <w:t xml:space="preserve">, 2111–2112 (2013).</w:t>
      </w:r>
    </w:p>
    <w:bookmarkEnd w:id="111"/>
    <w:bookmarkStart w:id="112"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528–549 (2015).</w:t>
      </w:r>
    </w:p>
    <w:bookmarkEnd w:id="112"/>
    <w:bookmarkStart w:id="113"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108907 (2021).</w:t>
      </w:r>
    </w:p>
    <w:bookmarkEnd w:id="113"/>
    <w:bookmarkStart w:id="114" w:name="ref-harris_version_2020"/>
    <w:p>
      <w:pPr>
        <w:pStyle w:val="Bibliography"/>
      </w:pPr>
      <w:r>
        <w:t xml:space="preserve">54.</w:t>
      </w:r>
      <w:r>
        <w:t xml:space="preserve"> </w:t>
      </w:r>
      <w:r>
        <w:t xml:space="preserve">	</w:t>
      </w:r>
      <w:r>
        <w:t xml:space="preserve">Harris, I., Osborn, T. J., Jones, P. &amp; Lister, D. Version 4 of the</w:t>
      </w:r>
      <w:r>
        <w:t xml:space="preserve"> </w:t>
      </w:r>
      <w:r>
        <w:t xml:space="preserve">CRU TS</w:t>
      </w:r>
      <w:r>
        <w:t xml:space="preserve"> </w:t>
      </w:r>
      <w:r>
        <w:t xml:space="preserve">monthly high-resolution gridded multivariate climate dataset.</w:t>
      </w:r>
      <w:r>
        <w:t xml:space="preserve"> </w:t>
      </w:r>
      <w:r>
        <w:rPr>
          <w:iCs/>
          <w:i/>
        </w:rPr>
        <w:t xml:space="preserve">Scientific Data</w:t>
      </w:r>
      <w:r>
        <w:t xml:space="preserve"> </w:t>
      </w:r>
      <w:r>
        <w:rPr>
          <w:bCs/>
          <w:b/>
        </w:rPr>
        <w:t xml:space="preserve">7</w:t>
      </w:r>
      <w:r>
        <w:t xml:space="preserve">, (2020).</w:t>
      </w:r>
    </w:p>
    <w:bookmarkEnd w:id="114"/>
    <w:bookmarkStart w:id="115" w:name="ref-vicente-serrano_multiscalar_2010"/>
    <w:p>
      <w:pPr>
        <w:pStyle w:val="Bibliography"/>
      </w:pPr>
      <w:r>
        <w:t xml:space="preserve">55.</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15"/>
    <w:bookmarkStart w:id="116"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16"/>
    <w:bookmarkStart w:id="118"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17">
        <w:r>
          <w:rPr>
            <w:rStyle w:val="Hyperlink"/>
          </w:rPr>
          <w:t xml:space="preserve">10.5067/MODIS/MCD12Q2.006</w:t>
        </w:r>
      </w:hyperlink>
      <w:r>
        <w:t xml:space="preserve">.</w:t>
      </w:r>
    </w:p>
    <w:bookmarkEnd w:id="118"/>
    <w:bookmarkStart w:id="120"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19">
        <w:r>
          <w:rPr>
            <w:rStyle w:val="Hyperlink"/>
          </w:rPr>
          <w:t xml:space="preserve">10.5281/ZENODO.4041609</w:t>
        </w:r>
      </w:hyperlink>
      <w:r>
        <w:t xml:space="preserve">.</w:t>
      </w:r>
    </w:p>
    <w:bookmarkEnd w:id="120"/>
    <w:bookmarkStart w:id="121"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21"/>
    <w:bookmarkStart w:id="123"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22">
        <w:r>
          <w:rPr>
            <w:rStyle w:val="Hyperlink"/>
          </w:rPr>
          <w:t xml:space="preserve">10.6073/PASTA/213335F5DAA17222A738C105B9FA60C4</w:t>
        </w:r>
      </w:hyperlink>
      <w:r>
        <w:t xml:space="preserve">.</w:t>
      </w:r>
    </w:p>
    <w:bookmarkEnd w:id="123"/>
    <w:bookmarkStart w:id="125"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24">
        <w:r>
          <w:rPr>
            <w:rStyle w:val="Hyperlink"/>
          </w:rPr>
          <w:t xml:space="preserve">10.6073/PASTA/69E92642B512897032446CFE795CFFB8</w:t>
        </w:r>
      </w:hyperlink>
      <w:r>
        <w:t xml:space="preserve">.</w:t>
      </w:r>
    </w:p>
    <w:bookmarkEnd w:id="125"/>
    <w:bookmarkStart w:id="126" w:name="ref-begueria_standardized_2014"/>
    <w:p>
      <w:pPr>
        <w:pStyle w:val="Bibliography"/>
      </w:pPr>
      <w:r>
        <w:t xml:space="preserve">62.</w:t>
      </w:r>
      <w:r>
        <w:t xml:space="preserve"> </w:t>
      </w:r>
      <w:r>
        <w:t xml:space="preserve">	</w:t>
      </w:r>
      <w:r>
        <w:t xml:space="preserve">Beguería, S., Vicente-Serrano, S. M., Reig, F. &amp; Latorre, B. Standardized precipitation evapotranspiration index (</w:t>
      </w:r>
      <w:r>
        <w:t xml:space="preserve">SPEI</w:t>
      </w:r>
      <w:r>
        <w:t xml:space="preserve">) revisited: Parameter fitting, evapotranspiration models, tools, datasets and drought monitoring.</w:t>
      </w:r>
      <w:r>
        <w:t xml:space="preserve"> </w:t>
      </w:r>
      <w:r>
        <w:rPr>
          <w:iCs/>
          <w:i/>
        </w:rPr>
        <w:t xml:space="preserve">International Journal of Climatology</w:t>
      </w:r>
      <w:r>
        <w:t xml:space="preserve"> </w:t>
      </w:r>
      <w:r>
        <w:rPr>
          <w:bCs/>
          <w:b/>
        </w:rPr>
        <w:t xml:space="preserve">34</w:t>
      </w:r>
      <w:r>
        <w:t xml:space="preserve">, 3001–3023 (2014).</w:t>
      </w:r>
    </w:p>
    <w:bookmarkEnd w:id="126"/>
    <w:bookmarkStart w:id="127" w:name="ref-vicente-serrano_multiscalar_2010a"/>
    <w:p>
      <w:pPr>
        <w:pStyle w:val="Bibliography"/>
      </w:pPr>
      <w:r>
        <w:t xml:space="preserve">63.</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27"/>
    <w:bookmarkStart w:id="128"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Identifying the best climatic predictors in ecology and evolution.</w:t>
      </w:r>
      <w:r>
        <w:t xml:space="preserve"> </w:t>
      </w:r>
      <w:r>
        <w:rPr>
          <w:iCs/>
          <w:i/>
        </w:rPr>
        <w:t xml:space="preserve">Methods in Ecology and Evolution</w:t>
      </w:r>
      <w:r>
        <w:t xml:space="preserve"> </w:t>
      </w:r>
      <w:r>
        <w:rPr>
          <w:bCs/>
          <w:b/>
        </w:rPr>
        <w:t xml:space="preserve">7</w:t>
      </w:r>
      <w:r>
        <w:t xml:space="preserve">, 1246–1257 (2016).</w:t>
      </w:r>
    </w:p>
    <w:bookmarkEnd w:id="128"/>
    <w:bookmarkStart w:id="129"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29"/>
    <w:bookmarkStart w:id="130"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30"/>
    <w:bookmarkStart w:id="131"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31"/>
    <w:bookmarkStart w:id="132"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32"/>
    <w:bookmarkStart w:id="133"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The potential to strengthen temperature reconstructions in ecoregions with limited tree line using a multispecies approach.</w:t>
      </w:r>
      <w:r>
        <w:t xml:space="preserve"> </w:t>
      </w:r>
      <w:r>
        <w:rPr>
          <w:iCs/>
          <w:i/>
        </w:rPr>
        <w:t xml:space="preserve">Quaternary Research</w:t>
      </w:r>
      <w:r>
        <w:t xml:space="preserve"> </w:t>
      </w:r>
      <w:r>
        <w:rPr>
          <w:bCs/>
          <w:b/>
        </w:rPr>
        <w:t xml:space="preserve">92</w:t>
      </w:r>
      <w:r>
        <w:t xml:space="preserve">, 583–597 (2019).</w:t>
      </w:r>
    </w:p>
    <w:bookmarkEnd w:id="133"/>
    <w:bookmarkStart w:id="134"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 </w:t>
      </w:r>
      <w:r>
        <w:rPr>
          <w:bCs/>
          <w:b/>
        </w:rPr>
        <w:t xml:space="preserve">7</w:t>
      </w:r>
      <w:r>
        <w:t xml:space="preserve">, e01454 (2016).</w:t>
      </w:r>
    </w:p>
    <w:bookmarkEnd w:id="134"/>
    <w:bookmarkStart w:id="135"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35"/>
    <w:bookmarkStart w:id="136"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Sampling density and date along with species selection influence spatial representation of tree-ring reconstructions.</w:t>
      </w:r>
      <w:r>
        <w:t xml:space="preserve"> </w:t>
      </w:r>
      <w:r>
        <w:rPr>
          <w:iCs/>
          <w:i/>
        </w:rPr>
        <w:t xml:space="preserve">Climate of the Past</w:t>
      </w:r>
      <w:r>
        <w:t xml:space="preserve"> </w:t>
      </w:r>
      <w:r>
        <w:rPr>
          <w:bCs/>
          <w:b/>
        </w:rPr>
        <w:t xml:space="preserve">16</w:t>
      </w:r>
      <w:r>
        <w:t xml:space="preserve">, 1901–1916 (2020).</w:t>
      </w:r>
    </w:p>
    <w:bookmarkEnd w:id="136"/>
    <w:bookmarkStart w:id="138"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37">
        <w:r>
          <w:rPr>
            <w:rStyle w:val="Hyperlink"/>
          </w:rPr>
          <w:t xml:space="preserve">10.1007/978-94-015-7879-0</w:t>
        </w:r>
      </w:hyperlink>
      <w:r>
        <w:t xml:space="preserve">.</w:t>
      </w:r>
    </w:p>
    <w:bookmarkEnd w:id="138"/>
    <w:bookmarkStart w:id="139"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39"/>
    <w:bookmarkStart w:id="140" w:name="ref-cook_calculating_1997"/>
    <w:p>
      <w:pPr>
        <w:pStyle w:val="Bibliography"/>
      </w:pPr>
      <w:r>
        <w:t xml:space="preserve">75.</w:t>
      </w:r>
      <w:r>
        <w:t xml:space="preserve"> </w:t>
      </w:r>
      <w:r>
        <w:t xml:space="preserve">	</w:t>
      </w:r>
      <w:r>
        <w:t xml:space="preserve">Cook, E. R. &amp; Peters, K. Calculating unbiased tree-ring indices for the study of climatic and environmental change.</w:t>
      </w:r>
      <w:r>
        <w:t xml:space="preserve"> </w:t>
      </w:r>
      <w:r>
        <w:rPr>
          <w:iCs/>
          <w:i/>
        </w:rPr>
        <w:t xml:space="preserve">The Holocene</w:t>
      </w:r>
      <w:r>
        <w:t xml:space="preserve"> </w:t>
      </w:r>
      <w:r>
        <w:rPr>
          <w:bCs/>
          <w:b/>
        </w:rPr>
        <w:t xml:space="preserve">7</w:t>
      </w:r>
      <w:r>
        <w:t xml:space="preserve">, 361–370 (1997).</w:t>
      </w:r>
    </w:p>
    <w:bookmarkEnd w:id="140"/>
    <w:bookmarkStart w:id="141"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41"/>
    <w:bookmarkStart w:id="142"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42"/>
    <w:bookmarkStart w:id="143" w:name="ref-bunn_dendrochronology_2008"/>
    <w:p>
      <w:pPr>
        <w:pStyle w:val="Bibliography"/>
      </w:pPr>
      <w:r>
        <w:t xml:space="preserve">78.</w:t>
      </w:r>
      <w:r>
        <w:t xml:space="preserve"> </w:t>
      </w:r>
      <w:r>
        <w:t xml:space="preserve">	</w:t>
      </w:r>
      <w:r>
        <w:t xml:space="preserve">Bunn, A. G. A dendrochronology program library in</w:t>
      </w:r>
      <w:r>
        <w:t xml:space="preserve"> </w:t>
      </w:r>
      <w:r>
        <w:t xml:space="preserve">R</w:t>
      </w:r>
      <w:r>
        <w:t xml:space="preserve"> </w:t>
      </w:r>
      <w:r>
        <w:t xml:space="preserve">(</w:t>
      </w:r>
      <w:r>
        <w:t xml:space="preserve">dplR</w:t>
      </w:r>
      <w:r>
        <w:t xml:space="preserve">).</w:t>
      </w:r>
      <w:r>
        <w:t xml:space="preserve"> </w:t>
      </w:r>
      <w:r>
        <w:rPr>
          <w:iCs/>
          <w:i/>
        </w:rPr>
        <w:t xml:space="preserve">Dendrochronologia</w:t>
      </w:r>
      <w:r>
        <w:t xml:space="preserve"> </w:t>
      </w:r>
      <w:r>
        <w:rPr>
          <w:bCs/>
          <w:b/>
        </w:rPr>
        <w:t xml:space="preserve">26</w:t>
      </w:r>
      <w:r>
        <w:t xml:space="preserve">, 115–124 (2008).</w:t>
      </w:r>
    </w:p>
    <w:bookmarkEnd w:id="143"/>
    <w:bookmarkStart w:id="144" w:name="ref-zang_dendroclimatic_2013"/>
    <w:p>
      <w:pPr>
        <w:pStyle w:val="Bibliography"/>
      </w:pPr>
      <w:r>
        <w:t xml:space="preserve">79.</w:t>
      </w:r>
      <w:r>
        <w:t xml:space="preserve"> </w:t>
      </w:r>
      <w:r>
        <w:t xml:space="preserve">	</w:t>
      </w:r>
      <w:r>
        <w:t xml:space="preserve">Zang, C. &amp; Biondi, F. Dendroclimatic calibration in</w:t>
      </w:r>
      <w:r>
        <w:t xml:space="preserve"> </w:t>
      </w:r>
      <w:r>
        <w:t xml:space="preserve">R</w:t>
      </w:r>
      <w:r>
        <w:t xml:space="preserve">:</w:t>
      </w:r>
      <w:r>
        <w:t xml:space="preserve"> </w:t>
      </w:r>
      <w:r>
        <w:t xml:space="preserve">The bootRes</w:t>
      </w:r>
      <w:r>
        <w:t xml:space="preserve"> </w:t>
      </w:r>
      <w:r>
        <w:t xml:space="preserve">package for response and correlation function analysis.</w:t>
      </w:r>
      <w:r>
        <w:t xml:space="preserve"> </w:t>
      </w:r>
      <w:r>
        <w:rPr>
          <w:iCs/>
          <w:i/>
        </w:rPr>
        <w:t xml:space="preserve">Dendrochronologia</w:t>
      </w:r>
      <w:r>
        <w:t xml:space="preserve"> </w:t>
      </w:r>
      <w:r>
        <w:rPr>
          <w:bCs/>
          <w:b/>
        </w:rPr>
        <w:t xml:space="preserve">31</w:t>
      </w:r>
      <w:r>
        <w:t xml:space="preserve">, 68–74 (2013).</w:t>
      </w:r>
    </w:p>
    <w:bookmarkEnd w:id="144"/>
    <w:bookmarkEnd w:id="145"/>
    <w:bookmarkEnd w:id="146"/>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7" Target="https://doi.org/10.1007/978-94-015-7879-0" TargetMode="External" /><Relationship Type="http://schemas.openxmlformats.org/officeDocument/2006/relationships/hyperlink" Id="rId70" Target="https://doi.org/10.1038/s41558-020-00976-6" TargetMode="External" /><Relationship Type="http://schemas.openxmlformats.org/officeDocument/2006/relationships/hyperlink" Id="rId83" Target="https://doi.org/10.1038/s41559-022-01668-4" TargetMode="External" /><Relationship Type="http://schemas.openxmlformats.org/officeDocument/2006/relationships/hyperlink" Id="rId102" Target="https://doi.org/10.1073/pnas.2002713117" TargetMode="External" /><Relationship Type="http://schemas.openxmlformats.org/officeDocument/2006/relationships/hyperlink" Id="rId117" Target="https://doi.org/10.5067/MODIS/MCD12Q2.006" TargetMode="External" /><Relationship Type="http://schemas.openxmlformats.org/officeDocument/2006/relationships/hyperlink" Id="rId119" Target="https://doi.org/10.5281/ZENODO.4041609" TargetMode="External" /><Relationship Type="http://schemas.openxmlformats.org/officeDocument/2006/relationships/hyperlink" Id="rId122" Target="https://doi.org/10.6073/PASTA/213335F5DAA17222A738C105B9FA60C4" TargetMode="External" /><Relationship Type="http://schemas.openxmlformats.org/officeDocument/2006/relationships/hyperlink" Id="rId124"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53" Target="https://github.com/EcoClimLab/growth_phenology#steps-to-replicate-the-analysis"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54" Target="https://www.geog.cam.ac.uk/research/projects/dendrosoftware/"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7" Target="https://doi.org/10.1007/978-94-015-7879-0" TargetMode="External" /><Relationship Type="http://schemas.openxmlformats.org/officeDocument/2006/relationships/hyperlink" Id="rId70" Target="https://doi.org/10.1038/s41558-020-00976-6" TargetMode="External" /><Relationship Type="http://schemas.openxmlformats.org/officeDocument/2006/relationships/hyperlink" Id="rId83" Target="https://doi.org/10.1038/s41559-022-01668-4" TargetMode="External" /><Relationship Type="http://schemas.openxmlformats.org/officeDocument/2006/relationships/hyperlink" Id="rId102" Target="https://doi.org/10.1073/pnas.2002713117" TargetMode="External" /><Relationship Type="http://schemas.openxmlformats.org/officeDocument/2006/relationships/hyperlink" Id="rId117" Target="https://doi.org/10.5067/MODIS/MCD12Q2.006" TargetMode="External" /><Relationship Type="http://schemas.openxmlformats.org/officeDocument/2006/relationships/hyperlink" Id="rId119" Target="https://doi.org/10.5281/ZENODO.4041609" TargetMode="External" /><Relationship Type="http://schemas.openxmlformats.org/officeDocument/2006/relationships/hyperlink" Id="rId122" Target="https://doi.org/10.6073/PASTA/213335F5DAA17222A738C105B9FA60C4" TargetMode="External" /><Relationship Type="http://schemas.openxmlformats.org/officeDocument/2006/relationships/hyperlink" Id="rId124"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53" Target="https://github.com/EcoClimLab/growth_phenology#steps-to-replicate-the-analysis"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54" Target="https://www.geog.cam.ac.uk/research/projects/dendrosoftware/"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2022-06-10T15:58:53Z</dcterms:created>
  <dcterms:modified xsi:type="dcterms:W3CDTF">2022-06-10T15:58:53Z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