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r>
        <w:t xml:space="preserve"> </w:t>
      </w:r>
      <w:r>
        <w:t xml:space="preserve">( Orcid ID : 0000-0001-7824-306X)</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 balance.</w:t>
      </w:r>
      <w:r>
        <w:rPr>
          <w:bCs/>
          <w:b/>
        </w:rPr>
        <w:t xml:space="preserve"> </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the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large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 </w:t>
      </w:r>
      <w:r>
        <w:t xml:space="preserve">(&gt;30% of the total forest C sink)</w:t>
      </w:r>
      <w:r>
        <w:rPr>
          <w:vertAlign w:val="superscript"/>
        </w:rPr>
        <w:t xml:space="preserve">21</w:t>
      </w:r>
      <w:r>
        <w:t xml:space="preserve">.</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20,22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that annual productivity can be limited by sink factors</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the responses of leaf phenology and seasonal</w:t>
      </w:r>
      <w:r>
        <w:t xml:space="preserve"> </w:t>
      </w:r>
      <w:r>
        <w:rPr>
          <w:iCs/>
          <w:i/>
        </w:rPr>
        <w:t xml:space="preserve">NEE</w:t>
      </w:r>
      <w:r>
        <w:t xml:space="preserve"> </w:t>
      </w:r>
      <w:r>
        <w:t xml:space="preserve">to warming spring temperatures have been relatively well-studied</w:t>
      </w:r>
      <w:r>
        <w:rPr>
          <w:vertAlign w:val="superscript"/>
        </w:rPr>
        <w:t xml:space="preserve">1–4,7–9</w:t>
      </w:r>
      <w:r>
        <w:t xml:space="preserve">, very little is known about how the longest-lived component of fixed C in trees, the woody growth, is responding to warming spring temperatures.</w:t>
      </w:r>
      <w:r>
        <w:t xml:space="preserve"> </w:t>
      </w:r>
      <w:r>
        <w:t xml:space="preserve">In fact, we are aware of only one study that has documented stem-growth phenology of temperate deciduous species over multiple years</w:t>
      </w:r>
      <w:r>
        <w:rPr>
          <w:vertAlign w:val="superscript"/>
        </w:rPr>
        <w:t xml:space="preserve">25</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correlations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28</w:t>
      </w:r>
      <w:r>
        <w:t xml:space="preserve"> </w:t>
      </w:r>
      <w:r>
        <w:t xml:space="preserve">to determine the days of year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ree growth changes under warmer spring temperatures. (a) Schematic illustrating parameters of interest and summarizing how each responds to warmer maximum temperatures during a ‘critical temperature window’, defined as the period with the strongest control over DOY_{25}; (b) Variable definitions and summary responses to warmer spring temperatures at two temperate forests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and</w:t>
      </w:r>
      <w:r>
        <w:t xml:space="preserve"> </w:t>
      </w:r>
      <m:oMath>
        <m:r>
          <m:t>D</m:t>
        </m:r>
        <m:r>
          <m:t>O</m:t>
        </m:r>
        <m:sSub>
          <m:e>
            <m:r>
              <m:t>Y</m:t>
            </m:r>
          </m:e>
          <m:sub>
            <m:r>
              <m:t>25</m:t>
            </m:r>
          </m:sub>
        </m:sSub>
      </m:oMath>
      <w:r>
        <w:t xml:space="preserve"> </w:t>
      </w:r>
      <w:r>
        <w:t xml:space="preserve">(Extended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30</w:t>
      </w:r>
      <w:r>
        <w:t xml:space="preserve">, leaf phenological milestones advanced at both sites (Fig. 2a-b,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813685"/>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photosynthate limitation, such as daylength or sink limitation, which also play an important role in autumn leaf senescence</w:t>
      </w:r>
      <w:r>
        <w:rPr>
          <w:vertAlign w:val="superscript"/>
        </w:rPr>
        <w:t xml:space="preserve">17,23,31</w:t>
      </w:r>
      <w:r>
        <w:t xml:space="preserve">.</w:t>
      </w:r>
      <w:r>
        <w:t xml:space="preserve"> </w:t>
      </w:r>
      <w:r>
        <w:t xml:space="preserve">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 xml:space="preserve">26</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3,32</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 implying that the effects of warm spring temperatures on growth phenology elucidated here (Fig. 1) were not attributable to summer drought.</w:t>
      </w:r>
    </w:p>
    <w:p>
      <w:pPr>
        <w:pStyle w:val="BodyText"/>
      </w:pPr>
      <w:r>
        <w:t xml:space="preserve">Our finding that interannual variation in woody growth is more strongly linked to conditions during the peak growing season than to growing season length aligns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woody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36</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3,42</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vertAlign w:val="superscript"/>
        </w:rPr>
        <w:t xml:space="preserve">45</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46</w:t>
      </w:r>
      <w:r>
        <w:t xml:space="preserve">, woody productivity</w:t>
      </w:r>
      <w:r>
        <w:rPr>
          <w:vertAlign w:val="superscript"/>
        </w:rPr>
        <w:t xml:space="preserve">47</w:t>
      </w:r>
      <w:r>
        <w:t xml:space="preserve">, and</w:t>
      </w:r>
      <w:r>
        <w:t xml:space="preserve"> </w:t>
      </w:r>
      <w:r>
        <w:rPr>
          <w:iCs/>
          <w:i/>
        </w:rPr>
        <w:t xml:space="preserve">NEE</w:t>
      </w:r>
      <w:r>
        <w:rPr>
          <w:vertAlign w:val="superscript"/>
        </w:rPr>
        <w:t xml:space="preserve">48</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49</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50,51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49</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46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rPr>
            <m:sty m:val="p"/>
          </m:rPr>
          <m:t>=</m:t>
        </m:r>
        <m:r>
          <m:t>1</m:t>
        </m:r>
      </m:oMath>
      <w:r>
        <w:t xml:space="preserve">.</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(5) models with unexplained sharp spikes in growth rate (SCBI = 0, Harvard Forest = 3);</w:t>
      </w:r>
      <w:r>
        <w:t xml:space="preserve"> </w:t>
      </w:r>
      <w:r>
        <w:t xml:space="preserve">and (6) poorly fit models that did not meet any of the above criteria (SCBI = 2, Harvard Forest = 0).</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52</w:t>
      </w:r>
      <w:r>
        <w:t xml:space="preserve"> </w:t>
      </w:r>
      <w:r>
        <w:t xml:space="preserve">via Google Earth Engine.</w:t>
      </w:r>
      <w:r>
        <w:t xml:space="preserve"> </w:t>
      </w:r>
      <w:r>
        <w:t xml:space="preserve">Extracted pixels were those containing the NEON tower at each site.</w:t>
      </w:r>
      <w:r>
        <w:t xml:space="preserve"> </w:t>
      </w:r>
      <w:r>
        <w:t xml:space="preserve">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55,56</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57</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growth phenology parameters,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58,59</w:t>
      </w:r>
      <w:r>
        <w:t xml:space="preserve">. 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tempreatures and summer Standardized Precipitation Evapotranspiration Index</w:t>
      </w:r>
      <w:r>
        <w:rPr>
          <w:vertAlign w:val="superscript"/>
        </w:rPr>
        <w:t xml:space="preserve">33</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53</w:t>
      </w:r>
      <w:r>
        <w:t xml:space="preserve">.</w:t>
      </w:r>
      <w:r>
        <w:t xml:space="preserve"> </w:t>
      </w:r>
      <w:r>
        <w:rPr>
          <w:iCs/>
          <w:i/>
        </w:rPr>
        <w:t xml:space="preserve">ADD SOMETHING ON HOW STANDARD PRECIPITAITON EVAPOTRANSPIRATIN INDEX WAS FOUND</w:t>
      </w:r>
      <w:r>
        <w:t xml:space="preserve">!!!!</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60</w:t>
      </w:r>
      <w:r>
        <w:t xml:space="preserve">.</w:t>
      </w:r>
    </w:p>
    <w:p>
      <w:pPr>
        <w:pStyle w:val="BodyText"/>
      </w:pPr>
      <w:r>
        <w:t xml:space="preserve">Dominant tree species were cored at both SCBI</w:t>
      </w:r>
      <w:r>
        <w:rPr>
          <w:vertAlign w:val="superscript"/>
        </w:rPr>
        <w:t xml:space="preserve">27,49</w:t>
      </w:r>
      <w:r>
        <w:t xml:space="preserve"> </w:t>
      </w:r>
      <w:r>
        <w:t xml:space="preserve">and Harvard Forest</w:t>
      </w:r>
      <w:r>
        <w:rPr>
          <w:vertAlign w:val="superscript"/>
        </w:rPr>
        <w:t xml:space="preserve">4,61,62</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26,63</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 ring records into a dimensionless ring width index (RWI) to emphasize interannual variability associated with climate.</w:t>
      </w:r>
      <w:r>
        <w:rPr>
          <w:vertAlign w:val="superscript"/>
        </w:rPr>
        <w:t xml:space="preserve">64</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64,65</w:t>
      </w:r>
      <w:r>
        <w:t xml:space="preserve">.</w:t>
      </w:r>
      <w:r>
        <w:t xml:space="preserve"> </w:t>
      </w:r>
      <w:r>
        <w:t xml:space="preserve">An adaptive power transformation, a process that also stabilises the variance over time</w:t>
      </w:r>
      <w:r>
        <w:rPr>
          <w:vertAlign w:val="superscript"/>
        </w:rPr>
        <w:t xml:space="preserve">66</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67</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that,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68</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69</w:t>
      </w:r>
      <w:r>
        <w:t xml:space="preserve"> </w:t>
      </w:r>
      <w:r>
        <w:t xml:space="preserve">and</w:t>
      </w:r>
      <w:r>
        <w:t xml:space="preserve"> </w:t>
      </w:r>
      <w:r>
        <w:t xml:space="preserve">‘</w:t>
      </w:r>
      <w:r>
        <w:t xml:space="preserve">bootRes</w:t>
      </w:r>
      <w:r>
        <w:t xml:space="preserve">’</w:t>
      </w:r>
      <w:r>
        <w:rPr>
          <w:vertAlign w:val="superscript"/>
        </w:rPr>
        <w:t xml:space="preserve">70</w:t>
      </w:r>
      <w:r>
        <w:t xml:space="preserve"> </w:t>
      </w:r>
      <w:r>
        <w:t xml:space="preserve">in R v 4.0 (R Core Team, 2020), which correlated functions and bootstrapped confidence intervals for these relationships</w:t>
      </w:r>
      <w:r>
        <w:rPr>
          <w:vertAlign w:val="superscript"/>
        </w:rPr>
        <w:t xml:space="preserve">71</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Ecosystesms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3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4"/>
    <w:bookmarkStart w:id="115" w:name="References"/>
    <w:p>
      <w:pPr>
        <w:pStyle w:val="Heading1"/>
      </w:pPr>
      <w:r>
        <w:t xml:space="preserve">References</w:t>
      </w:r>
    </w:p>
    <w:bookmarkStart w:id="114" w:name="refs"/>
    <w:bookmarkStart w:id="3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5"/>
    <w:bookmarkStart w:id="36"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6"/>
    <w:bookmarkStart w:id="37"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37"/>
    <w:bookmarkStart w:id="38"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38"/>
    <w:bookmarkStart w:id="39"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39"/>
    <w:bookmarkStart w:id="41"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40">
        <w:r>
          <w:rPr>
            <w:rStyle w:val="Hyperlink"/>
          </w:rPr>
          <w:t xml:space="preserve">10.1073/pnas.2002713117</w:t>
        </w:r>
      </w:hyperlink>
      <w:r>
        <w:t xml:space="preserve">.</w:t>
      </w:r>
    </w:p>
    <w:bookmarkEnd w:id="41"/>
    <w:bookmarkStart w:id="42"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52"/>
    <w:bookmarkStart w:id="53"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53"/>
    <w:bookmarkStart w:id="54" w:name="ref-pan_large_2011"/>
    <w:p>
      <w:pPr>
        <w:pStyle w:val="Bibliography"/>
      </w:pPr>
      <w:r>
        <w:t xml:space="preserve">19.</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5"/>
    <w:bookmarkStart w:id="56" w:name="ref-pugh_role_2019"/>
    <w:p>
      <w:pPr>
        <w:pStyle w:val="Bibliography"/>
      </w:pPr>
      <w:r>
        <w:t xml:space="preserve">21.</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6"/>
    <w:bookmarkStart w:id="57" w:name="ref-arora_carbon_2020"/>
    <w:p>
      <w:pPr>
        <w:pStyle w:val="Bibliography"/>
      </w:pPr>
      <w:r>
        <w:t xml:space="preserve">22.</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7"/>
    <w:bookmarkStart w:id="58" w:name="ref-keenan_timing_2015"/>
    <w:p>
      <w:pPr>
        <w:pStyle w:val="Bibliography"/>
      </w:pPr>
      <w:r>
        <w:t xml:space="preserve">23.</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8"/>
    <w:bookmarkStart w:id="59" w:name="ref-zohner_how_2021"/>
    <w:p>
      <w:pPr>
        <w:pStyle w:val="Bibliography"/>
      </w:pPr>
      <w:r>
        <w:t xml:space="preserve">24.</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59"/>
    <w:bookmarkStart w:id="61" w:name="ref-dorangeville_peak_2021"/>
    <w:p>
      <w:pPr>
        <w:pStyle w:val="Bibliography"/>
      </w:pPr>
      <w:r>
        <w:t xml:space="preserve">25.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0">
        <w:r>
          <w:rPr>
            <w:rStyle w:val="Hyperlink"/>
          </w:rPr>
          <w:t xml:space="preserve">10.1093/treephys/tpab101</w:t>
        </w:r>
      </w:hyperlink>
      <w:r>
        <w:t xml:space="preserve">.</w:t>
      </w:r>
    </w:p>
    <w:bookmarkEnd w:id="61"/>
    <w:bookmarkStart w:id="62"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2"/>
    <w:bookmarkStart w:id="63"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3"/>
    <w:bookmarkStart w:id="64"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4"/>
    <w:bookmarkStart w:id="65" w:name="ref-parmesan_globally_2003"/>
    <w:p>
      <w:pPr>
        <w:pStyle w:val="Bibliography"/>
      </w:pPr>
      <w:r>
        <w:t xml:space="preserve">29.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5"/>
    <w:bookmarkStart w:id="66" w:name="ref-friedl_tale_2014"/>
    <w:p>
      <w:pPr>
        <w:pStyle w:val="Bibliography"/>
      </w:pPr>
      <w:r>
        <w:t xml:space="preserve">30.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6"/>
    <w:bookmarkStart w:id="67" w:name="ref-fu_variation_2014"/>
    <w:p>
      <w:pPr>
        <w:pStyle w:val="Bibliography"/>
      </w:pPr>
      <w:r>
        <w:t xml:space="preserve">31.</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67"/>
    <w:bookmarkStart w:id="68"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8"/>
    <w:bookmarkStart w:id="69" w:name="ref-vicente-serrano_multiscalar_2010"/>
    <w:p>
      <w:pPr>
        <w:pStyle w:val="Bibliography"/>
      </w:pPr>
      <w:r>
        <w:t xml:space="preserve">33.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9"/>
    <w:bookmarkStart w:id="70" w:name="ref-zohner_ongoing_2019"/>
    <w:p>
      <w:pPr>
        <w:pStyle w:val="Bibliography"/>
      </w:pPr>
      <w:r>
        <w:t xml:space="preserve">34.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0"/>
    <w:bookmarkStart w:id="71" w:name="ref-xie_predicting_2018"/>
    <w:p>
      <w:pPr>
        <w:pStyle w:val="Bibliography"/>
      </w:pPr>
      <w:r>
        <w:t xml:space="preserve">35.</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1"/>
    <w:bookmarkStart w:id="72"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2"/>
    <w:bookmarkStart w:id="73" w:name="ref-tardif_influence_2006"/>
    <w:p>
      <w:pPr>
        <w:pStyle w:val="Bibliography"/>
      </w:pPr>
      <w:r>
        <w:t xml:space="preserve">37.</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73"/>
    <w:bookmarkStart w:id="74" w:name="ref-roibu_climatic_2020"/>
    <w:p>
      <w:pPr>
        <w:pStyle w:val="Bibliography"/>
      </w:pPr>
      <w:r>
        <w:t xml:space="preserve">38.</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74"/>
    <w:bookmarkStart w:id="75" w:name="ref-kern_multiple_2013"/>
    <w:p>
      <w:pPr>
        <w:pStyle w:val="Bibliography"/>
      </w:pPr>
      <w:r>
        <w:t xml:space="preserve">39.</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75"/>
    <w:bookmarkStart w:id="76" w:name="ref-trumbore_quantifying_2002"/>
    <w:p>
      <w:pPr>
        <w:pStyle w:val="Bibliography"/>
      </w:pPr>
      <w:r>
        <w:t xml:space="preserve">40.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oishi_warmer_2018"/>
    <w:p>
      <w:pPr>
        <w:pStyle w:val="Bibliography"/>
      </w:pPr>
      <w:r>
        <w:t xml:space="preserve">42.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kannenberg_linking_2019"/>
    <w:p>
      <w:pPr>
        <w:pStyle w:val="Bibliography"/>
      </w:pPr>
      <w:r>
        <w:t xml:space="preserve">43.</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79"/>
    <w:bookmarkStart w:id="80" w:name="ref-gessler_way_2020"/>
    <w:p>
      <w:pPr>
        <w:pStyle w:val="Bibliography"/>
      </w:pPr>
      <w:r>
        <w:t xml:space="preserve">44.</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80"/>
    <w:bookmarkStart w:id="81" w:name="ref-fisichelli_temperate_2014"/>
    <w:p>
      <w:pPr>
        <w:pStyle w:val="Bibliography"/>
      </w:pPr>
      <w:r>
        <w:t xml:space="preserve">45.</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81"/>
    <w:bookmarkStart w:id="82" w:name="ref-anderson-teixeira_joint_2021"/>
    <w:p>
      <w:pPr>
        <w:pStyle w:val="Bibliography"/>
      </w:pPr>
      <w:r>
        <w:t xml:space="preserve">46.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2"/>
    <w:bookmarkStart w:id="84" w:name="ref-banburymorgan_global_2021"/>
    <w:p>
      <w:pPr>
        <w:pStyle w:val="Bibliography"/>
      </w:pPr>
      <w:r>
        <w:t xml:space="preserve">47.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3">
        <w:r>
          <w:rPr>
            <w:rStyle w:val="Hyperlink"/>
          </w:rPr>
          <w:t xml:space="preserve">10.1111/gcb.15574</w:t>
        </w:r>
      </w:hyperlink>
      <w:r>
        <w:t xml:space="preserve">.</w:t>
      </w:r>
    </w:p>
    <w:bookmarkEnd w:id="84"/>
    <w:bookmarkStart w:id="85" w:name="ref-churkina_spatial_2005"/>
    <w:p>
      <w:pPr>
        <w:pStyle w:val="Bibliography"/>
      </w:pPr>
      <w:r>
        <w:t xml:space="preserve">48.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85"/>
    <w:bookmarkStart w:id="86" w:name="ref-bourg_initial_2013"/>
    <w:p>
      <w:pPr>
        <w:pStyle w:val="Bibliography"/>
      </w:pPr>
      <w:r>
        <w:t xml:space="preserve">49.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6"/>
    <w:bookmarkStart w:id="87" w:name="ref-anderson-teixeira_ctfsforestgeo_2015"/>
    <w:p>
      <w:pPr>
        <w:pStyle w:val="Bibliography"/>
      </w:pPr>
      <w:r>
        <w:t xml:space="preserve">50.</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7"/>
    <w:bookmarkStart w:id="88" w:name="ref-davies_forestgeo_2021"/>
    <w:p>
      <w:pPr>
        <w:pStyle w:val="Bibliography"/>
      </w:pPr>
      <w:r>
        <w:t xml:space="preserve">51.</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8"/>
    <w:bookmarkStart w:id="90" w:name="ref-friedl_mcd12q2_2019"/>
    <w:p>
      <w:pPr>
        <w:pStyle w:val="Bibliography"/>
      </w:pPr>
      <w:r>
        <w:t xml:space="preserve">52.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9">
        <w:r>
          <w:rPr>
            <w:rStyle w:val="Hyperlink"/>
          </w:rPr>
          <w:t xml:space="preserve">10.5067/MODIS/MCD12Q2.006</w:t>
        </w:r>
      </w:hyperlink>
      <w:r>
        <w:t xml:space="preserve">.</w:t>
      </w:r>
    </w:p>
    <w:bookmarkEnd w:id="90"/>
    <w:bookmarkStart w:id="92" w:name="ref-anderson-teixeira_forestgeo_2020"/>
    <w:p>
      <w:pPr>
        <w:pStyle w:val="Bibliography"/>
      </w:pPr>
      <w:r>
        <w:t xml:space="preserve">53.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1">
        <w:r>
          <w:rPr>
            <w:rStyle w:val="Hyperlink"/>
          </w:rPr>
          <w:t xml:space="preserve">10.5281/ZENODO.4041609</w:t>
        </w:r>
      </w:hyperlink>
      <w:r>
        <w:t xml:space="preserve">.</w:t>
      </w:r>
    </w:p>
    <w:bookmarkEnd w:id="92"/>
    <w:bookmarkStart w:id="93" w:name="ref-benestad_empiricalstatistical_2008"/>
    <w:p>
      <w:pPr>
        <w:pStyle w:val="Bibliography"/>
      </w:pPr>
      <w:r>
        <w:t xml:space="preserve">54.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93"/>
    <w:bookmarkStart w:id="95" w:name="ref-boose_shaler_2021"/>
    <w:p>
      <w:pPr>
        <w:pStyle w:val="Bibliography"/>
      </w:pPr>
      <w:r>
        <w:t xml:space="preserve">55.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94">
        <w:r>
          <w:rPr>
            <w:rStyle w:val="Hyperlink"/>
          </w:rPr>
          <w:t xml:space="preserve">10.6073/PASTA/213335F5DAA17222A738C105B9FA60C4</w:t>
        </w:r>
      </w:hyperlink>
      <w:r>
        <w:t xml:space="preserve">.</w:t>
      </w:r>
    </w:p>
    <w:bookmarkEnd w:id="95"/>
    <w:bookmarkStart w:id="97" w:name="ref-boose_fisher_2021"/>
    <w:p>
      <w:pPr>
        <w:pStyle w:val="Bibliography"/>
      </w:pPr>
      <w:r>
        <w:t xml:space="preserve">56.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96">
        <w:r>
          <w:rPr>
            <w:rStyle w:val="Hyperlink"/>
          </w:rPr>
          <w:t xml:space="preserve">10.6073/PASTA/69E92642B512897032446CFE795CFFB8</w:t>
        </w:r>
      </w:hyperlink>
      <w:r>
        <w:t xml:space="preserve">.</w:t>
      </w:r>
    </w:p>
    <w:bookmarkEnd w:id="97"/>
    <w:bookmarkStart w:id="98" w:name="ref-vandepol_identifying_2016"/>
    <w:p>
      <w:pPr>
        <w:pStyle w:val="Bibliography"/>
      </w:pPr>
      <w:r>
        <w:t xml:space="preserve">57.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8"/>
    <w:bookmarkStart w:id="99" w:name="ref-gabry_rstanarm_2020"/>
    <w:p>
      <w:pPr>
        <w:pStyle w:val="Bibliography"/>
      </w:pPr>
      <w:r>
        <w:t xml:space="preserve">58.</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99"/>
    <w:bookmarkStart w:id="100" w:name="ref-stan_development_team_stan_2019"/>
    <w:p>
      <w:pPr>
        <w:pStyle w:val="Bibliography"/>
      </w:pPr>
      <w:r>
        <w:t xml:space="preserve">59.</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00"/>
    <w:bookmarkStart w:id="101" w:name="ref-stokes_introduction_1968"/>
    <w:p>
      <w:pPr>
        <w:pStyle w:val="Bibliography"/>
      </w:pPr>
      <w:r>
        <w:t xml:space="preserve">60.</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01"/>
    <w:bookmarkStart w:id="102" w:name="ref-alexander_potential_2019"/>
    <w:p>
      <w:pPr>
        <w:pStyle w:val="Bibliography"/>
      </w:pPr>
      <w:r>
        <w:t xml:space="preserve">61.</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02"/>
    <w:bookmarkStart w:id="103" w:name="ref-dye_comparing_2016"/>
    <w:p>
      <w:pPr>
        <w:pStyle w:val="Bibliography"/>
      </w:pPr>
      <w:r>
        <w:t xml:space="preserve">62.</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03"/>
    <w:bookmarkStart w:id="104" w:name="ref-maxwell_sampling_2020"/>
    <w:p>
      <w:pPr>
        <w:pStyle w:val="Bibliography"/>
      </w:pPr>
      <w:r>
        <w:t xml:space="preserve">63.</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04"/>
    <w:bookmarkStart w:id="106" w:name="ref-cook_methods_1990"/>
    <w:p>
      <w:pPr>
        <w:pStyle w:val="Bibliography"/>
      </w:pPr>
      <w:r>
        <w:t xml:space="preserve">64.</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5">
        <w:r>
          <w:rPr>
            <w:rStyle w:val="Hyperlink"/>
          </w:rPr>
          <w:t xml:space="preserve">10.1007/978-94-015-7879-0</w:t>
        </w:r>
      </w:hyperlink>
      <w:r>
        <w:t xml:space="preserve">.</w:t>
      </w:r>
    </w:p>
    <w:bookmarkEnd w:id="106"/>
    <w:bookmarkStart w:id="107" w:name="ref-cook_time_1985"/>
    <w:p>
      <w:pPr>
        <w:pStyle w:val="Bibliography"/>
      </w:pPr>
      <w:r>
        <w:t xml:space="preserve">65.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7"/>
    <w:bookmarkStart w:id="108" w:name="ref-cook_calculating_1997"/>
    <w:p>
      <w:pPr>
        <w:pStyle w:val="Bibliography"/>
      </w:pPr>
      <w:r>
        <w:t xml:space="preserve">66.</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08"/>
    <w:bookmarkStart w:id="109" w:name="ref-jones_estimating_1997"/>
    <w:p>
      <w:pPr>
        <w:pStyle w:val="Bibliography"/>
      </w:pPr>
      <w:r>
        <w:t xml:space="preserve">67.</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09"/>
    <w:bookmarkStart w:id="110" w:name="ref-harris_version_2020"/>
    <w:p>
      <w:pPr>
        <w:pStyle w:val="Bibliography"/>
      </w:pPr>
      <w:r>
        <w:t xml:space="preserve">68.</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10"/>
    <w:bookmarkStart w:id="111" w:name="ref-bunn_dendrochronology_2008"/>
    <w:p>
      <w:pPr>
        <w:pStyle w:val="Bibliography"/>
      </w:pPr>
      <w:r>
        <w:t xml:space="preserve">69.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11"/>
    <w:bookmarkStart w:id="112" w:name="ref-zang_dendroclimatic_2013"/>
    <w:p>
      <w:pPr>
        <w:pStyle w:val="Bibliography"/>
      </w:pPr>
      <w:r>
        <w:t xml:space="preserve">70.</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12"/>
    <w:bookmarkStart w:id="113" w:name="ref-biondi_dendroclim2002_2004"/>
    <w:p>
      <w:pPr>
        <w:pStyle w:val="Bibliography"/>
      </w:pPr>
      <w:r>
        <w:t xml:space="preserve">71.</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13"/>
    <w:bookmarkEnd w:id="114"/>
    <w:bookmarkEnd w:id="11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105"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5"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2021-11-16T18:03:30Z</dcterms:created>
  <dcterms:modified xsi:type="dcterms:W3CDTF">2021-11-16T18:03:30Z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