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3.png" ContentType="image/png"/>
  <Override PartName="/word/media/rId26.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~3116 words and 1 modest + 2 large display items. Articles typically have 30-50 references (currently ok there)</w:t>
      </w:r>
    </w:p>
    <w:bookmarkStart w:id="2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warming spring temperatures are unlikely to increase the woody productivity or strengthen the carbon sink of temperate deciduous forests.</w:t>
      </w:r>
    </w:p>
    <w:bookmarkEnd w:id="21"/>
    <w:bookmarkStart w:id="31" w:name="body"/>
    <w:p>
      <w:pPr>
        <w:pStyle w:val="Heading1"/>
      </w:pPr>
      <w:r>
        <w:rPr>
          <w:rStyle w:val="SectionNumber"/>
        </w:rPr>
        <w:t xml:space="preserve">2</w:t>
      </w:r>
      <w:r>
        <w:tab/>
      </w:r>
      <w:r>
        <w:t xml:space="preserve">(Body)</w:t>
      </w:r>
    </w:p>
    <w:p>
      <w:pPr>
        <w:pStyle w:val="FirstParagraph"/>
      </w:pPr>
      <w:r>
        <w:t xml:space="preserve">In recent decades,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15</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16</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17,18</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1,4–6</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will increase as well (</w:t>
      </w:r>
      <w:r>
        <w:rPr>
          <w:iCs/>
          <w:i/>
        </w:rPr>
        <w:t xml:space="preserve">i,e</w:t>
      </w:r>
      <w:r>
        <w:t xml:space="preserve">, net ecosystem exchange,</w:t>
      </w:r>
      <w:r>
        <w:t xml:space="preserve"> </w:t>
      </w:r>
      <w:r>
        <w:rPr>
          <w:iCs/>
          <w:i/>
        </w:rPr>
        <w:t xml:space="preserve">NEE</w:t>
      </w:r>
      <w:r>
        <w:t xml:space="preserve">)</w:t>
      </w:r>
      <w:r>
        <w:rPr>
          <w:vertAlign w:val="superscript"/>
        </w:rPr>
        <w:t xml:space="preserve">2,10,11,19</w:t>
      </w:r>
      <w:r>
        <w:t xml:space="preserve">, and</w:t>
      </w:r>
      <w:r>
        <w:t xml:space="preserve"> </w:t>
      </w:r>
      <w:hyperlink r:id="rId22">
        <w:r>
          <w:rPr>
            <w:rStyle w:val="Hyperlink"/>
          </w:rPr>
          <w:t xml:space="preserve">this expectation is represented in models</w:t>
        </w:r>
      </w:hyperlink>
      <w:r>
        <w:t xml:space="preserve">.</w:t>
      </w:r>
      <w:r>
        <w:rPr>
          <w:vertAlign w:val="superscript"/>
        </w:rPr>
        <w:t xml:space="preserve">3,20</w:t>
      </w:r>
      <w:r>
        <w:t xml:space="preserve"> </w:t>
      </w:r>
      <w:r>
        <w:t xml:space="preserve">However, recent findings that positive effects of warm springs are compensated by negative effects of accumulation of seasonal water deficits</w:t>
      </w:r>
      <w:r>
        <w:rPr>
          <w:vertAlign w:val="superscript"/>
        </w:rPr>
        <w:t xml:space="preserve">3</w:t>
      </w:r>
      <w:r>
        <w:t xml:space="preserve"> </w:t>
      </w:r>
      <w:r>
        <w:t xml:space="preserve">and that</w:t>
      </w:r>
      <w:r>
        <w:t xml:space="preserve"> </w:t>
      </w:r>
      <w:r>
        <w:t xml:space="preserve"> </w:t>
      </w:r>
      <w:r>
        <w:t xml:space="preserve">sink factors can limit annual growth</w:t>
      </w:r>
      <w:r>
        <w:rPr>
          <w:vertAlign w:val="superscript"/>
        </w:rPr>
        <w:t xml:space="preserve">20,21</w:t>
      </w:r>
      <w:r>
        <w:t xml:space="preserve"> </w:t>
      </w:r>
      <w:r>
        <w:t xml:space="preserve">suggest that warmer spring temperatures and earlier leaf-out may not have a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1–6</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w:t>
      </w:r>
      <w:r>
        <w:t xml:space="preserve"> </w:t>
      </w:r>
      <w:r>
        <w:rPr>
          <w:iCs/>
          <w:i/>
        </w:rPr>
        <w:t xml:space="preserve">multi-year records of growth phenology having been published for only one site</w:t>
      </w:r>
      <w:r>
        <w:rPr>
          <w:vertAlign w:val="superscript"/>
          <w:iCs/>
          <w:i/>
        </w:rPr>
        <w:t xml:space="preserve">22</w:t>
      </w:r>
      <w:r>
        <w:t xml:space="preserve">.</w:t>
      </w:r>
      <w:r>
        <w:t xml:space="preserve"> </w:t>
      </w:r>
      <w:r>
        <w:t xml:space="preserve"> </w:t>
      </w:r>
      <w:r>
        <w:t xml:space="preserve">To our knowledge, the climate sensitivity of woody growth phenology and its link to annual growth has never been studied</w:t>
      </w:r>
      <w:r>
        <w:t xml:space="preserve"> </w:t>
      </w:r>
      <w:r>
        <w:rPr>
          <w:iCs/>
          <w:i/>
        </w:rPr>
        <w:t xml:space="preserve">in-situ</w:t>
      </w:r>
      <w:r>
        <w:t xml:space="preserve"> </w:t>
      </w:r>
      <w:r>
        <w:t xml:space="preserve">(but see Ref.</w:t>
      </w:r>
      <w:r>
        <w:rPr>
          <w:vertAlign w:val="superscript"/>
        </w:rPr>
        <w:t xml:space="preserve">21</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23,24</w:t>
      </w:r>
      <w:r>
        <w:t xml:space="preserve">,</w:t>
      </w:r>
      <w:r>
        <w:t xml:space="preserve"> </w:t>
      </w:r>
      <w:r>
        <w:t xml:space="preserve"> </w:t>
      </w:r>
      <w:r>
        <w:t xml:space="preserve">with some hints that warmer springs may have a modest positive effect on growth</w:t>
      </w:r>
      <w:r>
        <w:rPr>
          <w:vertAlign w:val="superscript"/>
        </w:rPr>
        <w:t xml:space="preserve">24</w:t>
      </w:r>
      <w:r>
        <w:t xml:space="preserve">.</w:t>
      </w:r>
      <w:r>
        <w:t xml:space="preserve"> </w:t>
      </w:r>
      <w:r>
        <w:t xml:space="preserve"> </w:t>
      </w:r>
      <w:r>
        <w:t xml:space="preserve">Thus, tree-ring evidence does not necessarily align with the finding that warming spring temperatures increase annual CO</w:t>
      </w:r>
      <w:r>
        <w:rPr>
          <w:vertAlign w:val="subscript"/>
        </w:rPr>
        <w:t xml:space="preserve">2</w:t>
      </w:r>
      <w:r>
        <w:t xml:space="preserve"> </w:t>
      </w:r>
      <w:r>
        <w:t xml:space="preserve">sequestration, thereby providing a negative feedback to climate change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bookmarkStart w:id="25" w:name="Dendrometer"/>
    <w:p>
      <w:pPr>
        <w:pStyle w:val="Heading2"/>
      </w:pPr>
      <w:r>
        <w:t xml:space="preserve">Dendrometer band analysis</w:t>
      </w:r>
    </w:p>
    <w:p>
      <w:pPr>
        <w:pStyle w:val="FirstParagraph"/>
      </w:pPr>
      <w:r>
        <w:t xml:space="preserve">Using dendrometer band measurements taken throughout the growing season at the Smithsonian Conservation Biology Institute (SCBI; Virginia, USA; n =</w:t>
      </w:r>
      <w:r>
        <w:t xml:space="preserve"> </w:t>
      </w:r>
      <w:r>
        <w:rPr>
          <w:bCs/>
          <w:b/>
        </w:rPr>
        <w:t xml:space="preserve">146</w:t>
      </w:r>
      <w:r>
        <w:t xml:space="preserve"> </w:t>
      </w:r>
      <w:r>
        <w:t xml:space="preserve"> </w:t>
      </w:r>
      <w:r>
        <w:t xml:space="preserve">trees from 2011-2020) and Harvard Forest (Massachusetts, USA; n =</w:t>
      </w:r>
      <w:r>
        <w:t xml:space="preserve"> </w:t>
      </w:r>
      <w:r>
        <w:rPr>
          <w:bCs/>
          <w:b/>
        </w:rPr>
        <w:t xml:space="preserve">755</w:t>
      </w:r>
      <w:r>
        <w:t xml:space="preserve"> </w:t>
      </w:r>
      <w:r>
        <w:t xml:space="preserve"> </w:t>
      </w:r>
      <w:r>
        <w:t xml:space="preserve">trees from 1998-2003), we fit a growth model</w:t>
      </w:r>
      <w:r>
        <w:rPr>
          <w:vertAlign w:val="superscript"/>
        </w:rPr>
        <w:t xml:space="preserve">25</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22</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3"/>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22</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4"/>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3-6),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27</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(p=0.001).</w:t>
      </w:r>
      <w:r>
        <w:t xml:space="preserve"> </w:t>
      </w:r>
      <w:r>
        <w:t xml:space="preserve">Specifically, greenup DOY advanced 4.5 days/</w:t>
      </w:r>
      <m:oMath>
        <m:sSup>
          <m:e>
            <m:r>
              <m:t>​</m:t>
            </m:r>
          </m:e>
          <m:sup>
            <m:r>
              <m:rPr>
                <m:sty m:val="p"/>
              </m:rPr>
              <m:t>∘</m:t>
            </m:r>
          </m:sup>
        </m:sSup>
      </m:oMath>
      <w:r>
        <w:t xml:space="preserve">C at SCBI and 2.4 days/</w:t>
      </w:r>
      <w:r>
        <w:t xml:space="preserve"> </w:t>
      </w:r>
      <m:oMath>
        <m:sSup>
          <m:e>
            <m:r>
              <m:t>​</m:t>
            </m:r>
          </m:e>
          <m:sup>
            <m:r>
              <m:rPr>
                <m:sty m:val="p"/>
              </m:rPr>
              <m:t>∘</m:t>
            </m:r>
          </m:sup>
        </m:sSup>
      </m:oMath>
      <w:r>
        <w:t xml:space="preserve">C at Harvard Forest</w:t>
      </w:r>
      <w:r>
        <w:t xml:space="preserve"> </w:t>
      </w:r>
      <w:r>
        <w:rPr>
          <w:strike/>
        </w:rPr>
        <w:t xml:space="preserve">when comparing the years with the warmest and coldest mean</w:t>
      </w:r>
      <w:r>
        <w:rPr>
          <w:strike/>
        </w:rPr>
        <w:t xml:space="preserve"> </w:t>
      </w:r>
      <m:oMath>
        <m:sSub>
          <m:e>
            <m:r>
              <m:t>T</m:t>
            </m:r>
          </m:e>
          <m:sub>
            <m:r>
              <m:t>m</m:t>
            </m:r>
            <m:r>
              <m:t>a</m:t>
            </m:r>
            <m:r>
              <m:t>x</m:t>
            </m:r>
          </m:sub>
        </m:sSub>
      </m:oMath>
      <w:r>
        <w:rPr>
          <w:strike/>
        </w:rPr>
        <w:t xml:space="preserve"> </w:t>
      </w:r>
      <w:r>
        <w:rPr>
          <w:strike/>
        </w:rPr>
        <w:t xml:space="preserve">during the critical temperature window</w:t>
      </w:r>
      <w:r>
        <w:t xml:space="preserve">,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4-6).</w:t>
      </w:r>
      <w:r>
        <w:t xml:space="preserve"> </w:t>
      </w:r>
      <w:r>
        <w:t xml:space="preserve">Specifically, at SCBI, RP growth advanced 1.9, 1.5, and 1.1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rPr>
                <m:sty m:val="p"/>
              </m:rP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4-6).</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5"/>
    <w:bookmarkStart w:id="27"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 and 4 species at Harvard Forest (Extended Data Table 1), and an additional 192 chronologies from 106 sites (Fig. 3; Extended Data Figure 1)</w:t>
      </w:r>
      <w:r>
        <w:rPr>
          <w:vertAlign w:val="superscript"/>
        </w:rPr>
        <w:t xml:space="preserve">23</w:t>
      </w:r>
      <w:r>
        <w:t xml:space="preserve">.</w:t>
      </w:r>
      <w:r>
        <w:t xml:space="preserve"> </w:t>
      </w:r>
      <w:r>
        <w:t xml:space="preserve">In total, our analysis included 208 species at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7).</w:t>
      </w:r>
    </w:p>
    <w:p>
      <w:pPr>
        <w:pStyle w:val="CaptionedFigure"/>
      </w:pPr>
      <w:r>
        <w:drawing>
          <wp:inline>
            <wp:extent cx="5943600" cy="5953295"/>
            <wp:effectExtent b="0" l="0" r="0" t="0"/>
            <wp:docPr descr="Figure 3 | Sensitivity of annual growth, as derived from tree-rings, to monthly maximum temperatures, for 208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6"/>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208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bookmarkEnd w:id="27"/>
    <w:bookmarkStart w:id="30"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20</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rPr>
          <w:vertAlign w:val="superscript"/>
        </w:rPr>
        <w:t xml:space="preserve">3</w:t>
      </w:r>
      <w:r>
        <w:t xml:space="preserve">; ] or inducing the cessation of stem growth when a critical water deficit is reached</w:t>
      </w:r>
      <w:r>
        <w:rPr>
          <w:vertAlign w:val="superscript"/>
        </w:rPr>
        <w:t xml:space="preserve">28</w:t>
      </w:r>
      <w:r>
        <w:t xml:space="preserve">.</w:t>
      </w:r>
      <w:r>
        <w:t xml:space="preserve"> </w:t>
      </w:r>
    </w:p>
    <w:p>
      <w:pPr>
        <w:pStyle w:val="BodyText"/>
      </w:pPr>
      <w:r>
        <w:t xml:space="preserve">Spring warming at SCBI and Harvard Forest in the study years used here did not result in increased</w:t>
      </w:r>
      <w:r>
        <w:t xml:space="preserve"> </w:t>
      </w:r>
      <m:oMath>
        <m:r>
          <m:t>Δ</m:t>
        </m:r>
        <m:r>
          <m:t>D</m:t>
        </m:r>
        <m:r>
          <m:t>B</m:t>
        </m:r>
        <m:r>
          <m:t>H</m:t>
        </m:r>
      </m:oMath>
      <w:r>
        <w:t xml:space="preserve"> </w:t>
      </w:r>
      <w:r>
        <w:t xml:space="preserve">or summer water stress (SPEI; Supp(?) SPEI Figure). This suggests that even when warmer springs are not associated with greater seasonal water stress, the lack of increased stem growth still prevails at these sites. This could be because the woody growth at these sites are already limited by some mechanism.</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24,29</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23</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negligible increase of ring-width (supp (?) rw_drought_plot).</w:t>
      </w:r>
      <w:r>
        <w:br/>
      </w:r>
      <w:r>
        <w:rPr>
          <w:iCs/>
          <w:i/>
        </w:rPr>
        <w:t xml:space="preserve">It is possible that an earlier start to the growing season may provide some buffer against drought later in the growing season</w:t>
      </w:r>
      <w:r>
        <w:rPr>
          <w:vertAlign w:val="superscript"/>
          <w:iCs/>
          <w:i/>
        </w:rPr>
        <w:t xml:space="preserve">30</w:t>
      </w:r>
      <w:r>
        <w:rPr>
          <w:iCs/>
          <w:i/>
        </w:rPr>
        <w:t xml:space="preserve">, potentially contributing to observed trends of declining drought sensitivity in the region</w:t>
      </w:r>
      <w:r>
        <w:rPr>
          <w:vertAlign w:val="superscript"/>
          <w:iCs/>
          <w:i/>
        </w:rPr>
        <w:t xml:space="preserve">24,31,32</w:t>
      </w:r>
      <w:r>
        <w:rPr>
          <w:iCs/>
          <w:i/>
        </w:rPr>
        <w:t xml:space="preserve">. (Is this relevent?)</w:t>
      </w:r>
      <w:r>
        <w:t xml:space="preserve">(Neil suggested that the zhang paper would be good here but i’m not sure I see how…)</w:t>
      </w:r>
      <w:r>
        <w:t xml:space="preserve"> </w:t>
      </w:r>
      <w:r>
        <w:rPr>
          <w:iCs/>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p>
    <w:p>
      <w:pPr>
        <w:pStyle w:val="BodyText"/>
      </w:pP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In fact,</w:t>
      </w:r>
      <w:r>
        <w:t xml:space="preserve"> </w:t>
      </w:r>
      <w:hyperlink r:id="rId28">
        <w:r>
          <w:rPr>
            <w:rStyle w:val="Hyperlink"/>
          </w:rPr>
          <w:t xml:space="preserve">extension of our tree-ring analysis</w:t>
        </w:r>
      </w:hyperlink>
      <w:r>
        <w:t xml:space="preserve"> </w:t>
      </w:r>
      <w:r>
        <w:t xml:space="preserve">showed a generally positive, although often non-significant, correlation between ring-width and previous year growing season</w:t>
      </w:r>
      <w:r>
        <w:t xml:space="preserve"> </w:t>
      </w:r>
      <m:oMath>
        <m:sSub>
          <m:e>
            <m:r>
              <m:t>T</m:t>
            </m:r>
          </m:e>
          <m:sub>
            <m:r>
              <m:t>m</m:t>
            </m:r>
            <m:r>
              <m:t>a</m:t>
            </m:r>
            <m:r>
              <m:t>x</m:t>
            </m:r>
          </m:sub>
        </m:sSub>
      </m:oMath>
      <w:r>
        <w:t xml:space="preserve"> </w:t>
      </w:r>
      <w:r>
        <w:t xml:space="preserve">in RP trees, indicating this may be a possibility.</w:t>
      </w:r>
      <w:r>
        <w:t xml:space="preserve"> </w:t>
      </w:r>
      <w:r>
        <w:rPr>
          <w:iCs/>
          <w:i/>
        </w:rPr>
        <w:t xml:space="preserve">very little correlation between April</w:t>
      </w:r>
      <w:r>
        <w:rPr>
          <w:iCs/>
          <w:i/>
        </w:rPr>
        <w:t xml:space="preserve"> </w:t>
      </w:r>
      <m:oMath>
        <m:sSub>
          <m:e>
            <m:r>
              <m:t>T</m:t>
            </m:r>
          </m:e>
          <m:sub>
            <m:r>
              <m:t>m</m:t>
            </m:r>
            <m:r>
              <m:t>a</m:t>
            </m:r>
            <m:r>
              <m:t>x</m:t>
            </m:r>
          </m:sub>
        </m:sSub>
      </m:oMath>
      <w:r>
        <w:rPr>
          <w:iCs/>
          <w:i/>
        </w:rPr>
        <w:t xml:space="preserve"> </w:t>
      </w:r>
      <w:r>
        <w:rPr>
          <w:iCs/>
          <w:i/>
        </w:rPr>
        <w:t xml:space="preserve">and growth the following year (5 of 142 RP and 3 of 66 DP species-site combinations), refuting the latter possibility</w:t>
      </w:r>
      <w:r>
        <w:t xml:space="preserve">.</w:t>
      </w:r>
      <w:r>
        <w:t xml:space="preserve"> </w:t>
      </w:r>
      <w:r>
        <w:t xml:space="preserve">We also cannot rule out the possibility that warm springs promote formation of more carbon-dense cell walls in the current of following year (</w:t>
      </w:r>
      <w:r>
        <w:rPr>
          <w:bCs/>
          <w:b/>
        </w:rPr>
        <w:t xml:space="preserve">coauthors, do any of you know literature related to this?</w:t>
      </w:r>
      <w:r>
        <w:t xml:space="preserve">); however, our results suggest that little of the extra C that may be fixed in these years goes into wood formation.</w:t>
      </w:r>
    </w:p>
    <w:p>
      <w:pPr>
        <w:pStyle w:val="BodyText"/>
      </w:pPr>
      <w:r>
        <w:t xml:space="preserve">A second possibility is that any additional C fixed during years with warm springs that is not rapidly respired may be allocated, potentially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Stem growth is more sensitive to water deficit than is photosynthesis</w:t>
      </w:r>
      <w:r>
        <w:rPr>
          <w:bCs/>
          <w:b/>
          <w:vertAlign w:val="superscript"/>
        </w:rPr>
        <w:t xml:space="preserve">muller_water_2011?</w:t>
      </w:r>
      <w:r>
        <w:t xml:space="preserve">.</w:t>
      </w:r>
      <w:r>
        <w:t xml:space="preserve"> </w:t>
      </w:r>
      <w:hyperlink r:id="rId29">
        <w:r>
          <w:rPr>
            <w:rStyle w:val="Hyperlink"/>
          </w:rPr>
          <w:t xml:space="preserve">This seems to promote the investment of sequestered carbon into root growth in times of drought stress. Zoehner et al 2021</w:t>
        </w:r>
        <w:r>
          <w:rPr>
            <w:rStyle w:val="Hyperlink"/>
            <w:vertAlign w:val="superscript"/>
          </w:rPr>
          <w:t xml:space="preserve">21</w:t>
        </w:r>
        <w:r>
          <w:rPr>
            <w:rStyle w:val="Hyperlink"/>
          </w:rPr>
          <w:t xml:space="preserve"> </w:t>
        </w:r>
        <w:r>
          <w:rPr>
            <w:rStyle w:val="Hyperlink"/>
          </w:rPr>
          <w:t xml:space="preserve">found that the proportion of root-to-stem growth increased under spring warming, suggesting that increased ecosystem sequestration resulting from spring warming may be promoting the growth of below-ground biomass.</w:t>
        </w:r>
        <w:r>
          <w:rPr>
            <w:rStyle w:val="Hyperlink"/>
          </w:rPr>
          <w:t xml:space="preserve"> </w:t>
        </w:r>
        <w:r>
          <w:rPr>
            <w:rStyle w:val="Hyperlink"/>
            <w:strike/>
          </w:rPr>
          <w:t xml:space="preserve">However, this study was done under tightly controlled conditions within potted plants and does not represent the environmental conditions of forests.</w:t>
        </w:r>
      </w:hyperlink>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turnover of extra C fixed during years with warm springs would often occur with sufficient temporal lag that it would not be captured in interannual variation in NEE, implying that the long-term effect of lengthened growing season on NEE may not be captured in studies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w:t>
      </w:r>
      <w:r>
        <w:t xml:space="preserve"> </w:t>
      </w:r>
      <w:r>
        <w:rPr>
          <w:iCs/>
          <w:i/>
        </w:rPr>
        <w:t xml:space="preserve">fairly long</w:t>
      </w:r>
      <w:r>
        <w:t xml:space="preserve"> </w:t>
      </w:r>
      <w:r>
        <w:t xml:space="preserve">residence time within the ecosystem; however, the amount and fate of this carbon remains unknown.</w:t>
      </w:r>
      <w:r>
        <w:t xml:space="preserve"> </w:t>
      </w:r>
      <w:r>
        <w:rPr>
          <w:iCs/>
          <w:i/>
        </w:rPr>
        <w:t xml:space="preserve">BUT SEE!!</w:t>
      </w:r>
      <w:r>
        <w:rPr>
          <w:vertAlign w:val="superscript"/>
          <w:iCs/>
          <w:i/>
        </w:rPr>
        <w:t xml:space="preserve">36</w:t>
      </w:r>
      <w:r>
        <w:rPr>
          <w:iCs/>
          <w:i/>
        </w:rPr>
        <w:t xml:space="preserve"> and</w:t>
      </w:r>
      <w:r>
        <w:rPr>
          <w:bCs/>
          <w:b/>
          <w:vertAlign w:val="superscript"/>
          <w:iCs/>
          <w:i/>
        </w:rPr>
        <w:t xml:space="preserve">barichivich_large-scale_2013?</w:t>
      </w:r>
      <w:r>
        <w:rPr>
          <w:iCs/>
          <w:i/>
        </w:rPr>
        <w:t xml:space="preserve"> </w:t>
      </w:r>
      <w:r>
        <w:rPr>
          <w:iCs/>
          <w:i/>
        </w:rPr>
        <w:t xml:space="preserve">- these are focused on higher latitudes, but shows greater release of C in the fall!</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Cs/>
          <w:i/>
        </w:rPr>
        <w:t xml:space="preserve">to some extent</w:t>
      </w:r>
      <w:r>
        <w:t xml:space="preserve"> </w:t>
      </w:r>
      <w:r>
        <w:t xml:space="preserve">to warming temperatures</w:t>
      </w:r>
      <w:r>
        <w:rPr>
          <w:vertAlign w:val="superscript"/>
        </w:rPr>
        <w:t xml:space="preserve">32,</w:t>
      </w:r>
      <w:r>
        <w:rPr>
          <w:bCs/>
          <w:b/>
          <w:vertAlign w:val="superscript"/>
        </w:rPr>
        <w:t xml:space="preserve">gessler_way_2020?</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37</w:t>
      </w:r>
      <w:r>
        <w:t xml:space="preserve">, and NEE.</w:t>
      </w:r>
      <w:r>
        <w:rPr>
          <w:vertAlign w:val="superscript"/>
        </w:rPr>
        <w:t xml:space="preserve">19</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consistently associated with a longer peak growing season or increased growth (Figs. 1, 3), presumably because stem diameter growth is curtailed by C sink limitation</w:t>
      </w:r>
      <w:r>
        <w:rPr>
          <w:vertAlign w:val="superscript"/>
        </w:rPr>
        <w:t xml:space="preserve">20</w:t>
      </w:r>
      <w:r>
        <w:t xml:space="preserve"> </w:t>
      </w:r>
      <w:r>
        <w:t xml:space="preserve">or drought</w:t>
      </w:r>
      <w:r>
        <w:rPr>
          <w:vertAlign w:val="superscript"/>
        </w:rPr>
        <w:t xml:space="preserve">23,24,32</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20</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22">
        <w:r>
          <w:rPr>
            <w:rStyle w:val="Hyperlink"/>
            <w:iCs/>
            <w:i/>
          </w:rPr>
          <w:t xml:space="preserve">GitHub issue 56 on representation in models</w:t>
        </w:r>
      </w:hyperlink>
      <w:r>
        <w:t xml:space="preserve">)</w:t>
      </w:r>
    </w:p>
    <w:bookmarkEnd w:id="30"/>
    <w:bookmarkEnd w:id="31"/>
    <w:bookmarkStart w:id="32" w:name="content-to-incorporate-or-delete"/>
    <w:p>
      <w:pPr>
        <w:pStyle w:val="Heading1"/>
      </w:pPr>
      <w:r>
        <w:rPr>
          <w:rStyle w:val="SectionNumber"/>
        </w:rPr>
        <w:t xml:space="preserve">3</w:t>
      </w:r>
      <w:r>
        <w:tab/>
      </w:r>
      <w:r>
        <w:t xml:space="preserve">content to incorporate or delete:</w:t>
      </w:r>
    </w:p>
    <w:p>
      <w:pPr>
        <w:pStyle w:val="FirstParagraph"/>
      </w:pPr>
      <w:r>
        <w:t xml:space="preserve">Warmer spring temperatures and earlier leaf-out are also linked to earlier leaf senescence</w:t>
      </w:r>
      <w:r>
        <w:rPr>
          <w:vertAlign w:val="superscript"/>
        </w:rPr>
        <w:t xml:space="preserve">38,39,</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20,28</w:t>
      </w:r>
      <w:r>
        <w:t xml:space="preserve">.</w:t>
      </w:r>
      <w:r>
        <w:t xml:space="preserve"> </w:t>
      </w:r>
      <w:r>
        <w:t xml:space="preserve"> </w:t>
      </w:r>
      <w:r>
        <w:t xml:space="preserve">Additionally, Warmer summer and autumn temperatures coupled with drought led to a delay of leaf senescence</w:t>
      </w:r>
      <w:r>
        <w:rPr>
          <w:vertAlign w:val="superscript"/>
        </w:rPr>
        <w:t xml:space="preserve">1,6,8,9,38,40,</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w:t>
      </w:r>
      <w:r>
        <w:t xml:space="preserve"> </w:t>
      </w:r>
      <w:r>
        <w:t xml:space="preserve">As a result, warming may advance or delay autumn senescence depending on timing of warming and water availability, with delays more common across eastern North America.</w:t>
      </w:r>
      <w:r>
        <w:rPr>
          <w:vertAlign w:val="superscript"/>
        </w:rPr>
        <w:t xml:space="preserve">3</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11,32</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20,38</w:t>
      </w:r>
      <w:r>
        <w:t xml:space="preserve"> </w:t>
      </w:r>
      <w:r>
        <w:t xml:space="preserve">They contrast, however, with the expectation</w:t>
      </w:r>
      <w:r>
        <w:t xml:space="preserve"> </w:t>
      </w:r>
      <w:r>
        <w:rPr>
          <w:iCs/>
          <w:i/>
        </w:rPr>
        <w:t xml:space="preserve">in most models</w:t>
      </w:r>
      <w:r>
        <w:rPr>
          <w:vertAlign w:val="superscript"/>
          <w:iCs/>
          <w:i/>
        </w:rPr>
        <w:t xml:space="preserve">20</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pPr>
        <w:pStyle w:val="BodyText"/>
      </w:pPr>
      <w:r>
        <w:t xml:space="preserve">Under controlled conditions, spring warming increases biomass accumulation in trees, with a larger proportion of root growth compared to shoot growth</w:t>
      </w:r>
      <w:r>
        <w:rPr>
          <w:vertAlign w:val="superscript"/>
        </w:rPr>
        <w:t xml:space="preserve">21</w:t>
      </w:r>
      <w:r>
        <w:t xml:space="preserve">.</w:t>
      </w:r>
    </w:p>
    <w:bookmarkEnd w:id="32"/>
    <w:bookmarkStart w:id="45"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3"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(Ref.</w:t>
      </w:r>
      <w:r>
        <w:rPr>
          <w:vertAlign w:val="superscript"/>
        </w:rPr>
        <w:t xml:space="preserve">24</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w:t>
      </w:r>
      <w:r>
        <w:rPr>
          <w:vertAlign w:val="superscript"/>
        </w:rPr>
        <w:t xml:space="preserve">22</w:t>
      </w:r>
      <w:r>
        <w:t xml:space="preserve"> </w:t>
      </w:r>
    </w:p>
    <w:bookmarkEnd w:id="33"/>
    <w:bookmarkStart w:id="41" w:name="Data"/>
    <w:p>
      <w:pPr>
        <w:pStyle w:val="Heading2"/>
      </w:pPr>
      <w:r>
        <w:t xml:space="preserve">Data collection and preparation</w:t>
      </w:r>
    </w:p>
    <w:bookmarkStart w:id="34"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rPr>
          <w:vertAlign w:val="superscript"/>
        </w:rPr>
        <w:t xml:space="preserve">25</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25</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4"/>
    <w:bookmarkStart w:id="36" w:name="leaf-phenology"/>
    <w:p>
      <w:pPr>
        <w:pStyle w:val="Heading3"/>
      </w:pPr>
      <w:r>
        <w:rPr>
          <w:rStyle w:val="SectionNumber"/>
        </w:rPr>
        <w:t xml:space="preserve">3.0.1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41</w:t>
      </w:r>
    </w:p>
    <w:p>
      <w:pPr>
        <w:pStyle w:val="BodyText"/>
      </w:pPr>
      <w:r>
        <w:t xml:space="preserve">description here:</w:t>
      </w:r>
      <w:r>
        <w:t xml:space="preserve"> </w:t>
      </w:r>
      <w:hyperlink r:id="rId35">
        <w:r>
          <w:rPr>
            <w:rStyle w:val="Hyperlink"/>
          </w:rPr>
          <w:t xml:space="preserve">https://developers.google.com/earth-engine/datasets/catalog/MODIS_006_MCD12Q2#description</w:t>
        </w:r>
      </w:hyperlink>
    </w:p>
    <w:bookmarkEnd w:id="36"/>
    <w:bookmarkStart w:id="37"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24</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42</w:t>
      </w:r>
      <w:r>
        <w:t xml:space="preserve"> and trees found newly dead in annual tree mortality in 2016 and 2017(</w:t>
      </w:r>
      <w:r>
        <w:rPr>
          <w:vertAlign w:val="superscript"/>
        </w:rPr>
        <w:t xml:space="preserve">24</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23,</w:t>
      </w:r>
      <w:r>
        <w:rPr>
          <w:bCs/>
          <w:b/>
          <w:vertAlign w:val="superscript"/>
        </w:rPr>
        <w:t xml:space="preserve">maxwell_sampling_2020?</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43,44</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45</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46</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43</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43</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7"/>
    <w:bookmarkStart w:id="40"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8">
        <w:r>
          <w:rPr>
            <w:rStyle w:val="Hyperlink"/>
          </w:rPr>
          <w:t xml:space="preserve">https://forestgeo.github.io/Climate/</w:t>
        </w:r>
      </w:hyperlink>
      <w:r>
        <w:t xml:space="preserve">;].</w:t>
      </w:r>
      <w:r>
        <w:rPr>
          <w:vertAlign w:val="superscript"/>
        </w:rPr>
        <w:t xml:space="preserve">47</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9">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48</w:t>
      </w:r>
      <w:r>
        <w:t xml:space="preserve"> again via the ForestGEO Climate Data Portal v1.0.</w:t>
      </w:r>
      <w:r>
        <w:rPr>
          <w:vertAlign w:val="superscript"/>
        </w:rPr>
        <w:t xml:space="preserve">47</w:t>
      </w:r>
    </w:p>
    <w:bookmarkEnd w:id="40"/>
    <w:bookmarkEnd w:id="41"/>
    <w:bookmarkStart w:id="44" w:name="analyses"/>
    <w:p>
      <w:pPr>
        <w:pStyle w:val="Heading2"/>
      </w:pPr>
      <w:r>
        <w:rPr>
          <w:rStyle w:val="SectionNumber"/>
        </w:rPr>
        <w:t xml:space="preserve">3.1</w:t>
      </w:r>
      <w:r>
        <w:tab/>
      </w:r>
      <w:r>
        <w:t xml:space="preserve">Analyses</w:t>
      </w:r>
    </w:p>
    <w:bookmarkStart w:id="42"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49</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24</w:t>
      </w:r>
      <w:r>
        <w:t xml:space="preserve"> Determining the climate variables that most strongly control all parameters is beyond the scope of this analysis.</w:t>
      </w:r>
    </w:p>
    <w:bookmarkEnd w:id="42"/>
    <w:bookmarkStart w:id="43"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50</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3"/>
    <w:bookmarkEnd w:id="44"/>
    <w:bookmarkEnd w:id="45"/>
    <w:bookmarkStart w:id="46"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6"/>
    <w:bookmarkStart w:id="47" w:name="Author"/>
    <w:p>
      <w:pPr>
        <w:pStyle w:val="Heading1"/>
      </w:pPr>
      <w:r>
        <w:t xml:space="preserve">Author Contributions</w:t>
      </w:r>
    </w:p>
    <w:bookmarkEnd w:id="47"/>
    <w:bookmarkStart w:id="48"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8"/>
    <w:bookmarkStart w:id="105" w:name="References"/>
    <w:p>
      <w:pPr>
        <w:pStyle w:val="Heading1"/>
      </w:pPr>
      <w:r>
        <w:t xml:space="preserve">References</w:t>
      </w:r>
    </w:p>
    <w:bookmarkStart w:id="104" w:name="refs"/>
    <w:bookmarkStart w:id="49"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9"/>
    <w:bookmarkStart w:id="50"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0"/>
    <w:bookmarkStart w:id="51"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1"/>
    <w:bookmarkStart w:id="52"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2"/>
    <w:bookmarkStart w:id="53"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3"/>
    <w:bookmarkStart w:id="54"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4"/>
    <w:bookmarkStart w:id="55"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0"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0"/>
    <w:bookmarkStart w:id="61"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1"/>
    <w:bookmarkStart w:id="62"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2"/>
    <w:bookmarkStart w:id="63" w:name="ref-pan_large_2011"/>
    <w:p>
      <w:pPr>
        <w:pStyle w:val="Bibliography"/>
      </w:pPr>
      <w:r>
        <w:t xml:space="preserve">15.</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63"/>
    <w:bookmarkStart w:id="64"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4"/>
    <w:bookmarkStart w:id="65" w:name="ref-arora_carbon_2020"/>
    <w:p>
      <w:pPr>
        <w:pStyle w:val="Bibliography"/>
      </w:pPr>
      <w:r>
        <w:t xml:space="preserve">17.</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5"/>
    <w:bookmarkStart w:id="66"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6"/>
    <w:bookmarkStart w:id="67" w:name="ref-churkina_spatial_2005"/>
    <w:p>
      <w:pPr>
        <w:pStyle w:val="Bibliography"/>
      </w:pPr>
      <w:r>
        <w:t xml:space="preserve">19.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67"/>
    <w:bookmarkStart w:id="68" w:name="ref-zani_increased_2020"/>
    <w:p>
      <w:pPr>
        <w:pStyle w:val="Bibliography"/>
      </w:pPr>
      <w:r>
        <w:t xml:space="preserve">20.</w:t>
      </w:r>
      <w:r>
        <w:t xml:space="preserve"> </w:t>
      </w:r>
      <w:r>
        <w:t xml:space="preserve">	</w:t>
      </w:r>
      <w:r>
        <w:t xml:space="preserve">Zani, D., Crowther, T. W., Mo, L., Renner, S. S. &amp; Zohner, C. M. Increased growing-season productivity drives earlier autumn leaf senescence in temperate trees. 7 (2020).</w:t>
      </w:r>
    </w:p>
    <w:bookmarkEnd w:id="68"/>
    <w:bookmarkStart w:id="69" w:name="ref-zohner_how_2021"/>
    <w:p>
      <w:pPr>
        <w:pStyle w:val="Bibliography"/>
      </w:pPr>
      <w:r>
        <w:t xml:space="preserve">21.</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69"/>
    <w:bookmarkStart w:id="71" w:name="ref-dorangeville_peak_2021"/>
    <w:p>
      <w:pPr>
        <w:pStyle w:val="Bibliography"/>
      </w:pPr>
      <w:r>
        <w:t xml:space="preserve">22.</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70">
        <w:r>
          <w:rPr>
            <w:rStyle w:val="Hyperlink"/>
          </w:rPr>
          <w:t xml:space="preserve">10.1093/treephys/tpab101</w:t>
        </w:r>
      </w:hyperlink>
      <w:r>
        <w:t xml:space="preserve">.</w:t>
      </w:r>
    </w:p>
    <w:bookmarkEnd w:id="71"/>
    <w:bookmarkStart w:id="72" w:name="ref-dorangeville_drought_2018"/>
    <w:p>
      <w:pPr>
        <w:pStyle w:val="Bibliography"/>
      </w:pPr>
      <w:r>
        <w:t xml:space="preserve">23.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2"/>
    <w:bookmarkStart w:id="73" w:name="ref-helcoski_growing_2019"/>
    <w:p>
      <w:pPr>
        <w:pStyle w:val="Bibliography"/>
      </w:pPr>
      <w:r>
        <w:t xml:space="preserve">24.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3"/>
    <w:bookmarkStart w:id="74" w:name="ref-mcmahon_general_2015"/>
    <w:p>
      <w:pPr>
        <w:pStyle w:val="Bibliography"/>
      </w:pPr>
      <w:r>
        <w:t xml:space="preserve">25.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4"/>
    <w:bookmarkStart w:id="75" w:name="ref-parmesan_globally_2003"/>
    <w:p>
      <w:pPr>
        <w:pStyle w:val="Bibliography"/>
      </w:pPr>
      <w:r>
        <w:t xml:space="preserve">26.</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75"/>
    <w:bookmarkStart w:id="76" w:name="ref-friedl_tale_2014"/>
    <w:p>
      <w:pPr>
        <w:pStyle w:val="Bibliography"/>
      </w:pPr>
      <w:r>
        <w:t xml:space="preserve">27.</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76"/>
    <w:bookmarkStart w:id="77" w:name="ref-lempereur_growth_2015"/>
    <w:p>
      <w:pPr>
        <w:pStyle w:val="Bibliography"/>
      </w:pPr>
      <w:r>
        <w:t xml:space="preserve">28.</w:t>
      </w:r>
      <w:r>
        <w:t xml:space="preserve"> </w:t>
      </w:r>
      <w:r>
        <w:t xml:space="preserve">	</w:t>
      </w:r>
      <w:r>
        <w:t xml:space="preserve">Lempereur, M.</w:t>
      </w:r>
      <w:r>
        <w:t xml:space="preserve"> </w:t>
      </w:r>
      <w:r>
        <w:rPr>
          <w:iCs/>
          <w:i/>
        </w:rPr>
        <w:t xml:space="preserve">et al.</w:t>
      </w:r>
      <w:r>
        <w:t xml:space="preserve"> Growth duration is a better predictor of stem increment than carbon supply in a</w:t>
      </w:r>
      <w:r>
        <w:t xml:space="preserve"> </w:t>
      </w:r>
      <w:r>
        <w:t xml:space="preserve">Mediterranean</w:t>
      </w:r>
      <w:r>
        <w:t xml:space="preserve"> </w:t>
      </w:r>
      <w:r>
        <w:t xml:space="preserve">oak forest: Implications for assessing forest productivity under climate change.</w:t>
      </w:r>
      <w:r>
        <w:t xml:space="preserve"> </w:t>
      </w:r>
      <w:r>
        <w:rPr>
          <w:iCs/>
          <w:i/>
        </w:rPr>
        <w:t xml:space="preserve">New Phytologist</w:t>
      </w:r>
      <w:r>
        <w:t xml:space="preserve"> </w:t>
      </w:r>
      <w:r>
        <w:rPr>
          <w:bCs/>
          <w:b/>
        </w:rPr>
        <w:t xml:space="preserve">207</w:t>
      </w:r>
      <w:r>
        <w:t xml:space="preserve">, 579–590 (2015).</w:t>
      </w:r>
    </w:p>
    <w:bookmarkEnd w:id="77"/>
    <w:bookmarkStart w:id="78" w:name="ref-alexander_potential_2019"/>
    <w:p>
      <w:pPr>
        <w:pStyle w:val="Bibliography"/>
      </w:pPr>
      <w:r>
        <w:t xml:space="preserve">29.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8"/>
    <w:bookmarkStart w:id="79" w:name="ref-wolf_warm_2016"/>
    <w:p>
      <w:pPr>
        <w:pStyle w:val="Bibliography"/>
      </w:pPr>
      <w:r>
        <w:t xml:space="preserve">30.</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79"/>
    <w:bookmarkStart w:id="80" w:name="ref-maxwell_declining_2016"/>
    <w:p>
      <w:pPr>
        <w:pStyle w:val="Bibliography"/>
      </w:pPr>
      <w:r>
        <w:t xml:space="preserve">31.</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80"/>
    <w:bookmarkStart w:id="81"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81"/>
    <w:bookmarkStart w:id="82"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2"/>
    <w:bookmarkStart w:id="83"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3"/>
    <w:bookmarkStart w:id="84"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4"/>
    <w:bookmarkStart w:id="85" w:name="ref-piao_net_2008"/>
    <w:p>
      <w:pPr>
        <w:pStyle w:val="Bibliography"/>
      </w:pPr>
      <w:r>
        <w:t xml:space="preserve">36.</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85"/>
    <w:bookmarkStart w:id="87" w:name="ref-banburymorgan_global_2021"/>
    <w:p>
      <w:pPr>
        <w:pStyle w:val="Bibliography"/>
      </w:pPr>
      <w:r>
        <w:t xml:space="preserve">37.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6">
        <w:r>
          <w:rPr>
            <w:rStyle w:val="Hyperlink"/>
          </w:rPr>
          <w:t xml:space="preserve">10.1111/gcb.15574</w:t>
        </w:r>
      </w:hyperlink>
      <w:r>
        <w:t xml:space="preserve">.</w:t>
      </w:r>
    </w:p>
    <w:bookmarkEnd w:id="87"/>
    <w:bookmarkStart w:id="88" w:name="ref-zohner_ongoing_2019"/>
    <w:p>
      <w:pPr>
        <w:pStyle w:val="Bibliography"/>
      </w:pPr>
      <w:r>
        <w:t xml:space="preserve">38.</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88"/>
    <w:bookmarkStart w:id="89" w:name="ref-keenan_timing_2015"/>
    <w:p>
      <w:pPr>
        <w:pStyle w:val="Bibliography"/>
      </w:pPr>
      <w:r>
        <w:t xml:space="preserve">39.</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89"/>
    <w:bookmarkStart w:id="90" w:name="ref-vitasse_responses_2009"/>
    <w:p>
      <w:pPr>
        <w:pStyle w:val="Bibliography"/>
      </w:pPr>
      <w:r>
        <w:t xml:space="preserve">40.</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90"/>
    <w:bookmarkStart w:id="92" w:name="ref-friedl_mcd12q2_2019"/>
    <w:p>
      <w:pPr>
        <w:pStyle w:val="Bibliography"/>
      </w:pPr>
      <w:r>
        <w:t xml:space="preserve">41.</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91">
        <w:r>
          <w:rPr>
            <w:rStyle w:val="Hyperlink"/>
          </w:rPr>
          <w:t xml:space="preserve">10.5067/MODIS/MCD12Q2.006</w:t>
        </w:r>
      </w:hyperlink>
      <w:r>
        <w:t xml:space="preserve">.</w:t>
      </w:r>
    </w:p>
    <w:bookmarkEnd w:id="92"/>
    <w:bookmarkStart w:id="93" w:name="ref-bourg_initial_2013"/>
    <w:p>
      <w:pPr>
        <w:pStyle w:val="Bibliography"/>
      </w:pPr>
      <w:r>
        <w:t xml:space="preserve">42.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93"/>
    <w:bookmarkStart w:id="94" w:name="ref-cook_time_1985"/>
    <w:p>
      <w:pPr>
        <w:pStyle w:val="Bibliography"/>
      </w:pPr>
      <w:r>
        <w:t xml:space="preserve">43.</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94"/>
    <w:bookmarkStart w:id="96" w:name="ref-cook_methods_1990"/>
    <w:p>
      <w:pPr>
        <w:pStyle w:val="Bibliography"/>
      </w:pPr>
      <w:r>
        <w:t xml:space="preserve">44.</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95">
        <w:r>
          <w:rPr>
            <w:rStyle w:val="Hyperlink"/>
          </w:rPr>
          <w:t xml:space="preserve">10.1007/978-94-015-7879-0</w:t>
        </w:r>
      </w:hyperlink>
      <w:r>
        <w:t xml:space="preserve">.</w:t>
      </w:r>
    </w:p>
    <w:bookmarkEnd w:id="96"/>
    <w:bookmarkStart w:id="97" w:name="ref-cook_calculating_1997"/>
    <w:p>
      <w:pPr>
        <w:pStyle w:val="Bibliography"/>
      </w:pPr>
      <w:r>
        <w:t xml:space="preserve">45.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7"/>
    <w:bookmarkStart w:id="98" w:name="ref-jones_estimating_1997"/>
    <w:p>
      <w:pPr>
        <w:pStyle w:val="Bibliography"/>
      </w:pPr>
      <w:r>
        <w:t xml:space="preserve">46.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8"/>
    <w:bookmarkStart w:id="100" w:name="ref-anderson-teixeira_forestgeo_2020"/>
    <w:p>
      <w:pPr>
        <w:pStyle w:val="Bibliography"/>
      </w:pPr>
      <w:r>
        <w:t xml:space="preserve">47.</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9">
        <w:r>
          <w:rPr>
            <w:rStyle w:val="Hyperlink"/>
          </w:rPr>
          <w:t xml:space="preserve">10.5281/ZENODO.4041609</w:t>
        </w:r>
      </w:hyperlink>
      <w:r>
        <w:t xml:space="preserve">.</w:t>
      </w:r>
    </w:p>
    <w:bookmarkEnd w:id="100"/>
    <w:bookmarkStart w:id="101" w:name="ref-harris_version_2020"/>
    <w:p>
      <w:pPr>
        <w:pStyle w:val="Bibliography"/>
      </w:pPr>
      <w:r>
        <w:t xml:space="preserve">48.</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1"/>
    <w:bookmarkStart w:id="102" w:name="ref-vandepol_identifying_2016"/>
    <w:p>
      <w:pPr>
        <w:pStyle w:val="Bibliography"/>
      </w:pPr>
      <w:r>
        <w:t xml:space="preserve">49.</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02"/>
    <w:bookmarkStart w:id="103" w:name="ref-bates_fitting_2015"/>
    <w:p>
      <w:pPr>
        <w:pStyle w:val="Bibliography"/>
      </w:pPr>
      <w:r>
        <w:t xml:space="preserve">50.</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103"/>
    <w:bookmarkEnd w:id="104"/>
    <w:bookmarkEnd w:id="105"/>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5" Target="https://doi.org/10.1007/978-94-015-7879-0" TargetMode="External" /><Relationship Type="http://schemas.openxmlformats.org/officeDocument/2006/relationships/hyperlink" Id="rId70" Target="https://doi.org/10.1093/treephys/tpab101" TargetMode="External" /><Relationship Type="http://schemas.openxmlformats.org/officeDocument/2006/relationships/hyperlink" Id="rId86" Target="https://doi.org/10.1111/gcb.15574" TargetMode="External" /><Relationship Type="http://schemas.openxmlformats.org/officeDocument/2006/relationships/hyperlink" Id="rId91" Target="https://doi.org/10.5067/MODIS/MCD12Q2.006" TargetMode="External" /><Relationship Type="http://schemas.openxmlformats.org/officeDocument/2006/relationships/hyperlink" Id="rId99"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2" Target="https://github.com/EcoClimLab/growth_phenology/issues/56" TargetMode="External" /><Relationship Type="http://schemas.openxmlformats.org/officeDocument/2006/relationships/hyperlink" Id="rId28" Target="https://github.com/EcoClimLab/growth_phenology/issues/57" TargetMode="External" /><Relationship Type="http://schemas.openxmlformats.org/officeDocument/2006/relationships/hyperlink" Id="rId29" Target="https://github.com/EcoClimLab/growth_phenology/issues/72"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5" Target="https://doi.org/10.1007/978-94-015-7879-0" TargetMode="External" /><Relationship Type="http://schemas.openxmlformats.org/officeDocument/2006/relationships/hyperlink" Id="rId70" Target="https://doi.org/10.1093/treephys/tpab101" TargetMode="External" /><Relationship Type="http://schemas.openxmlformats.org/officeDocument/2006/relationships/hyperlink" Id="rId86" Target="https://doi.org/10.1111/gcb.15574" TargetMode="External" /><Relationship Type="http://schemas.openxmlformats.org/officeDocument/2006/relationships/hyperlink" Id="rId91" Target="https://doi.org/10.5067/MODIS/MCD12Q2.006" TargetMode="External" /><Relationship Type="http://schemas.openxmlformats.org/officeDocument/2006/relationships/hyperlink" Id="rId99"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2" Target="https://github.com/EcoClimLab/growth_phenology/issues/56" TargetMode="External" /><Relationship Type="http://schemas.openxmlformats.org/officeDocument/2006/relationships/hyperlink" Id="rId28" Target="https://github.com/EcoClimLab/growth_phenology/issues/57" TargetMode="External" /><Relationship Type="http://schemas.openxmlformats.org/officeDocument/2006/relationships/hyperlink" Id="rId29" Target="https://github.com/EcoClimLab/growth_phenology/issues/72"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2021-10-06T11:54:32Z</dcterms:created>
  <dcterms:modified xsi:type="dcterms:W3CDTF">2021-10-06T11:54:32Z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