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~2922 words (1613 intro + results, discussion 1319–too long!)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2,3,15</w:t>
      </w:r>
      <w:r>
        <w:t xml:space="preserve">, warming spring temperatures are unlikely to increase the woody productivity or strengthen the carbon sink of temperate deciduous forests.</w:t>
      </w:r>
    </w:p>
    <w:bookmarkEnd w:id="21"/>
    <w:bookmarkStart w:id="31" w:name="body"/>
    <w:p>
      <w:pPr>
        <w:pStyle w:val="Heading1"/>
      </w:pPr>
      <w:r>
        <w:rPr>
          <w:rStyle w:val="SectionNumber"/>
        </w:rPr>
        <w:t xml:space="preserve">2</w:t>
      </w:r>
      <w:r>
        <w:tab/>
      </w:r>
      <w:r>
        <w:t xml:space="preserve">(Body)</w:t>
      </w:r>
    </w:p>
    <w:p>
      <w:pPr>
        <w:pStyle w:val="FirstParagraph"/>
      </w:pPr>
      <w:r>
        <w:t xml:space="preserve">In recent decades,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16</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17</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w:r>
        <w:rPr>
          <w:iCs/>
          <w:i/>
        </w:rPr>
        <w:t xml:space="preserve">NEE</w:t>
      </w:r>
      <w:r>
        <w:t xml:space="preserve">)</w:t>
      </w:r>
      <w:r>
        <w:rPr>
          <w:vertAlign w:val="superscript"/>
        </w:rPr>
        <w:t xml:space="preserve">2,10,11,20</w:t>
      </w:r>
      <w:r>
        <w:t xml:space="preserve">, and this expectation is represented in models</w:t>
      </w:r>
      <w:r>
        <w:rPr>
          <w:vertAlign w:val="superscript"/>
        </w:rPr>
        <w:t xml:space="preserve">2,3,15</w:t>
      </w:r>
      <w:r>
        <w:t xml:space="preserve">.</w:t>
      </w:r>
      <w:r>
        <w:t xml:space="preserve"> </w:t>
      </w:r>
      <w:r>
        <w:t xml:space="preserve">However, recent findings that positive effects of warm springs are compensated by negative effects of accumulation of seasonal water deficits</w:t>
      </w:r>
      <w:r>
        <w:rPr>
          <w:vertAlign w:val="superscript"/>
        </w:rPr>
        <w:t xml:space="preserve">3</w:t>
      </w:r>
      <w:r>
        <w:t xml:space="preserve"> </w:t>
      </w:r>
      <w:r>
        <w:t xml:space="preserve">and that</w:t>
      </w:r>
      <w:r>
        <w:t xml:space="preserve"> </w:t>
      </w:r>
      <w:r>
        <w:t xml:space="preserve"> </w:t>
      </w:r>
      <w:r>
        <w:t xml:space="preserve">sink factors can limit annual growth</w:t>
      </w:r>
      <w:r>
        <w:rPr>
          <w:vertAlign w:val="superscript"/>
        </w:rPr>
        <w:t xml:space="preserve">15,21</w:t>
      </w:r>
      <w:r>
        <w:t xml:space="preserve"> </w:t>
      </w:r>
      <w:r>
        <w:t xml:space="preserve">suggest that warmer spring temperatures and earlier leaf-out may not have a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w:t>
      </w:r>
      <w:r>
        <w:t xml:space="preserve"> </w:t>
      </w:r>
      <w:r>
        <w:rPr>
          <w:iCs/>
          <w:i/>
        </w:rPr>
        <w:t xml:space="preserve">multi-year records of growth phenology having been published for only one site</w:t>
      </w:r>
      <w:r>
        <w:rPr>
          <w:vertAlign w:val="superscript"/>
          <w:iCs/>
          <w:i/>
        </w:rPr>
        <w:t xml:space="preserve">22</w:t>
      </w:r>
      <w:r>
        <w:t xml:space="preserve">.</w:t>
      </w:r>
      <w:r>
        <w:t xml:space="preserve"> </w:t>
      </w:r>
      <w:r>
        <w:t xml:space="preserve"> </w:t>
      </w:r>
      <w:r>
        <w:t xml:space="preserve">To our knowledge, 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CO</w:t>
      </w:r>
      <w:r>
        <w:rPr>
          <w:vertAlign w:val="subscript"/>
        </w:rPr>
        <w:t xml:space="preserve">2</w:t>
      </w:r>
      <w:r>
        <w:t xml:space="preserve"> </w:t>
      </w:r>
      <w:r>
        <w:t xml:space="preserve">sequestration, thereby providing a negative feedback to climate change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146</w:t>
      </w:r>
      <w:r>
        <w:t xml:space="preserve"> </w:t>
      </w:r>
      <w:r>
        <w:t xml:space="preserve"> </w:t>
      </w:r>
      <w:r>
        <w:t xml:space="preserve">trees from 2011-2020) and Harvard Forest (Massachusetts, USA; n =</w:t>
      </w:r>
      <w:r>
        <w:t xml:space="preserve"> </w:t>
      </w:r>
      <w:r>
        <w:rPr>
          <w:bCs/>
          <w:b/>
        </w:rPr>
        <w:t xml:space="preserve">755</w:t>
      </w:r>
      <w:r>
        <w:t xml:space="preserve"> </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w:t>
      </w:r>
      <w:r>
        <w:t xml:space="preserve"> </w:t>
      </w:r>
      <w:r>
        <w:rPr>
          <w:strike/>
        </w:rPr>
        <w:t xml:space="preserve">when comparing the years with the warmest and coldest mean</w:t>
      </w:r>
      <w:r>
        <w:rPr>
          <w:strike/>
        </w:rPr>
        <w:t xml:space="preserve"> </w:t>
      </w:r>
      <m:oMath>
        <m:sSub>
          <m:e>
            <m:r>
              <m:t>T</m:t>
            </m:r>
          </m:e>
          <m:sub>
            <m:r>
              <m:t>m</m:t>
            </m:r>
            <m:r>
              <m:t>a</m:t>
            </m:r>
            <m:r>
              <m:t>x</m:t>
            </m:r>
          </m:sub>
        </m:sSub>
      </m:oMath>
      <w:r>
        <w:rPr>
          <w:strike/>
        </w:rPr>
        <w:t xml:space="preserve"> </w:t>
      </w:r>
      <w:r>
        <w:rPr>
          <w:strike/>
        </w:rPr>
        <w:t xml:space="preserve">during the critical temperature window</w:t>
      </w:r>
      <w:r>
        <w:t xml:space="preserve">,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 and 4 species at Harvard Forest (Extended Data Table 1), and an additional 192 chronologies from 106 sites (Fig. 3; Extended Data Figure 1; Extended Data Table 3)</w:t>
      </w:r>
      <w:r>
        <w:rPr>
          <w:vertAlign w:val="superscript"/>
        </w:rPr>
        <w:t xml:space="preserve">23</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7).</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p>
    <w:p>
      <w:pPr>
        <w:pStyle w:val="BodyText"/>
      </w:pPr>
      <w:r>
        <w:t xml:space="preserve">The observed advance in the timing of stem growth milestones under warmer springs parallels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15</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 Extended Data Table 3)</w:t>
      </w:r>
      <w:r>
        <w:rPr>
          <w:vertAlign w:val="superscript"/>
        </w:rPr>
        <w:t xml:space="preserve">24,28</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23</w:t>
      </w:r>
      <w:r>
        <w:t xml:space="preserve">.</w:t>
      </w:r>
      <w:r>
        <w:t xml:space="preserve"> </w:t>
      </w:r>
      <w:r>
        <w:rPr>
          <w:iCs/>
          <w:i/>
        </w:rPr>
        <w:t xml:space="preserve">It is possible that an earlier start to the growing season may provide some buffer against drought later in the growing season</w:t>
      </w:r>
      <w:r>
        <w:rPr>
          <w:vertAlign w:val="superscript"/>
          <w:iCs/>
          <w:i/>
        </w:rPr>
        <w:t xml:space="preserve">29</w:t>
      </w:r>
      <w:r>
        <w:rPr>
          <w:iCs/>
          <w:i/>
        </w:rPr>
        <w:t xml:space="preserve">, potentially contributing to observed trends of declining drought sensitivity in the region</w:t>
      </w:r>
      <w:r>
        <w:rPr>
          <w:vertAlign w:val="superscript"/>
          <w:iCs/>
          <w:i/>
        </w:rPr>
        <w:t xml:space="preserve">24,30,31</w:t>
      </w:r>
      <w:r>
        <w:rPr>
          <w:iCs/>
          <w:i/>
        </w:rPr>
        <w:t xml:space="preserve">. (Is this relevent?)</w:t>
      </w:r>
      <w:r>
        <w:t xml:space="preserve"> </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32</w:t>
      </w:r>
      <w:r>
        <w:t xml:space="preserve">, or saved within trees as non-structural carbohydrates and used towards growth the following year</w:t>
      </w:r>
      <w:r>
        <w:rPr>
          <w:vertAlign w:val="superscript"/>
        </w:rPr>
        <w:t xml:space="preserve">33,34</w:t>
      </w:r>
      <w:r>
        <w:t xml:space="preserve">.</w:t>
      </w:r>
      <w:r>
        <w:t xml:space="preserve"> </w:t>
      </w:r>
      <w:r>
        <w:t xml:space="preserve">In fact,</w:t>
      </w:r>
      <w:r>
        <w:t xml:space="preserve"> </w:t>
      </w:r>
      <w:hyperlink r:id="rId27">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rPr>
          <w:iCs/>
          <w:i/>
        </w:rPr>
        <w:t xml:space="preserve">There may be a shift towards greater belowground allocation</w:t>
      </w:r>
      <w:r>
        <w:rPr>
          <w:vertAlign w:val="superscript"/>
          <w:iCs/>
          <w:i/>
        </w:rPr>
        <w:t xml:space="preserve">21</w:t>
      </w:r>
      <w:r>
        <w:rPr>
          <w:iCs/>
          <w:i/>
        </w:rPr>
        <w:t xml:space="preserve">.</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33</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8">
        <w:r>
          <w:rPr>
            <w:rStyle w:val="Hyperlink"/>
          </w:rPr>
          <w:t xml:space="preserve">This seems to promote the investment of sequestered carbon into root growth in times of drought stress. Zoehner et al 2021</w:t>
        </w:r>
        <w:r>
          <w:rPr>
            <w:rStyle w:val="Hyperlink"/>
            <w:vertAlign w:val="superscript"/>
          </w:rPr>
          <w:t xml:space="preserve">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33</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r>
        <w:t xml:space="preserve"> </w:t>
      </w:r>
      <w:r>
        <w:rPr>
          <w:iCs/>
          <w:i/>
        </w:rPr>
        <w:t xml:space="preserve">BUT SEE!!</w:t>
      </w:r>
      <w:r>
        <w:rPr>
          <w:vertAlign w:val="superscript"/>
          <w:iCs/>
          <w:i/>
        </w:rPr>
        <w:t xml:space="preserve">35</w:t>
      </w:r>
      <w:r>
        <w:rPr>
          <w:iCs/>
          <w:i/>
        </w:rPr>
        <w:t xml:space="preserve"> and</w:t>
      </w:r>
      <w:r>
        <w:rPr>
          <w:bCs/>
          <w:b/>
          <w:vertAlign w:val="superscript"/>
          <w:iCs/>
          <w:i/>
        </w:rPr>
        <w:t xml:space="preserve">barichivich_large-scale_2013?</w:t>
      </w:r>
      <w:r>
        <w:rPr>
          <w:iCs/>
          <w:i/>
        </w:rPr>
        <w:t xml:space="preserve"> </w:t>
      </w:r>
      <w:r>
        <w:rPr>
          <w:iCs/>
          <w:i/>
        </w:rPr>
        <w:t xml:space="preserve">- these are focused on higher latitudes, but shows greater release of C in the fall!</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33</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31,</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20</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15</w:t>
      </w:r>
      <w:r>
        <w:t xml:space="preserve"> </w:t>
      </w:r>
      <w:r>
        <w:t xml:space="preserve">or drought</w:t>
      </w:r>
      <w:r>
        <w:rPr>
          <w:vertAlign w:val="superscript"/>
        </w:rPr>
        <w:t xml:space="preserve">23,24,31</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15</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9">
        <w:r>
          <w:rPr>
            <w:rStyle w:val="Hyperlink"/>
            <w:iCs/>
            <w:i/>
          </w:rPr>
          <w:t xml:space="preserve">GitHub issue 56 on representation in models</w:t>
        </w:r>
      </w:hyperlink>
      <w:r>
        <w:t xml:space="preserve">)</w:t>
      </w:r>
    </w:p>
    <w:bookmarkEnd w:id="30"/>
    <w:bookmarkEnd w:id="31"/>
    <w:bookmarkStart w:id="32"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37,38,</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15,39</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1,6,8,9,37,40,</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11,31</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15,37</w:t>
      </w:r>
      <w:r>
        <w:t xml:space="preserve"> </w:t>
      </w:r>
      <w:r>
        <w:t xml:space="preserve">They contrast, however, with model expectations</w:t>
      </w:r>
      <w:r>
        <w:rPr>
          <w:vertAlign w:val="superscript"/>
        </w:rPr>
        <w:t xml:space="preserve">2,3,15</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41</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960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45</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46</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43</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43</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47</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48</w:t>
      </w:r>
      <w:r>
        <w:t xml:space="preserve"> again via the ForestGEO Climate Data Portal v1.0.</w:t>
      </w:r>
      <w:r>
        <w:rPr>
          <w:vertAlign w:val="superscript"/>
        </w:rPr>
        <w:t xml:space="preserve">47</w:t>
      </w:r>
    </w:p>
    <w:bookmarkEnd w:id="40"/>
    <w:bookmarkEnd w:id="41"/>
    <w:bookmarkStart w:id="44" w:name="analyses"/>
    <w:p>
      <w:pPr>
        <w:pStyle w:val="Heading2"/>
      </w:pPr>
      <w:r>
        <w:rPr>
          <w:rStyle w:val="SectionNumber"/>
        </w:rPr>
        <w:t xml:space="preserve">3.1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49</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5" w:name="References"/>
    <w:p>
      <w:pPr>
        <w:pStyle w:val="Heading1"/>
      </w:pPr>
      <w:r>
        <w:t xml:space="preserve">References</w:t>
      </w:r>
    </w:p>
    <w:bookmarkStart w:id="104"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1"/>
    <w:bookmarkStart w:id="62"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2"/>
    <w:bookmarkStart w:id="63" w:name="ref-zani_increased_2020"/>
    <w:p>
      <w:pPr>
        <w:pStyle w:val="Bibliography"/>
      </w:pPr>
      <w:r>
        <w:t xml:space="preserve">15.</w:t>
      </w:r>
      <w:r>
        <w:t xml:space="preserve"> </w:t>
      </w:r>
      <w:r>
        <w:t xml:space="preserve">	</w:t>
      </w:r>
      <w:r>
        <w:t xml:space="preserve">Zani, D., Crowther, T. W., Mo, L., Renner, S. S. &amp; Zohner, C. M. Increased growing-season productivity drives earlier autumn leaf senescence in temperate trees. 7 (2020).</w:t>
      </w:r>
    </w:p>
    <w:bookmarkEnd w:id="63"/>
    <w:bookmarkStart w:id="64" w:name="ref-pan_large_2011"/>
    <w:p>
      <w:pPr>
        <w:pStyle w:val="Bibliography"/>
      </w:pPr>
      <w:r>
        <w:t xml:space="preserve">16.</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4"/>
    <w:bookmarkStart w:id="65"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5"/>
    <w:bookmarkStart w:id="66"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6"/>
    <w:bookmarkStart w:id="67"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7"/>
    <w:bookmarkStart w:id="68" w:name="ref-churkina_spatial_2005"/>
    <w:p>
      <w:pPr>
        <w:pStyle w:val="Bibliography"/>
      </w:pPr>
      <w:r>
        <w:t xml:space="preserve">20.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8"/>
    <w:bookmarkStart w:id="69"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9"/>
    <w:bookmarkStart w:id="71"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0">
        <w:r>
          <w:rPr>
            <w:rStyle w:val="Hyperlink"/>
          </w:rPr>
          <w:t xml:space="preserve">10.1093/treephys/tpab101</w:t>
        </w:r>
      </w:hyperlink>
      <w:r>
        <w:t xml:space="preserve">.</w:t>
      </w:r>
    </w:p>
    <w:bookmarkEnd w:id="71"/>
    <w:bookmarkStart w:id="72"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2"/>
    <w:bookmarkStart w:id="73"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3"/>
    <w:bookmarkStart w:id="74"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4"/>
    <w:bookmarkStart w:id="75"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5"/>
    <w:bookmarkStart w:id="76"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6"/>
    <w:bookmarkStart w:id="77" w:name="ref-alexander_potential_2019"/>
    <w:p>
      <w:pPr>
        <w:pStyle w:val="Bibliography"/>
      </w:pPr>
      <w:r>
        <w:t xml:space="preserve">28.</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7"/>
    <w:bookmarkStart w:id="78" w:name="ref-wolf_warm_2016"/>
    <w:p>
      <w:pPr>
        <w:pStyle w:val="Bibliography"/>
      </w:pPr>
      <w:r>
        <w:t xml:space="preserve">29.</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8"/>
    <w:bookmarkStart w:id="79" w:name="ref-maxwell_declining_2016"/>
    <w:p>
      <w:pPr>
        <w:pStyle w:val="Bibliography"/>
      </w:pPr>
      <w:r>
        <w:t xml:space="preserve">30.</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79"/>
    <w:bookmarkStart w:id="80" w:name="ref-zhang_drought_2021"/>
    <w:p>
      <w:pPr>
        <w:pStyle w:val="Bibliography"/>
      </w:pPr>
      <w:r>
        <w:t xml:space="preserve">31.</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0"/>
    <w:bookmarkStart w:id="81" w:name="ref-cuny_woody_2015"/>
    <w:p>
      <w:pPr>
        <w:pStyle w:val="Bibliography"/>
      </w:pPr>
      <w:r>
        <w:t xml:space="preserve">32.</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4" w:name="ref-piao_net_2008"/>
    <w:p>
      <w:pPr>
        <w:pStyle w:val="Bibliography"/>
      </w:pPr>
      <w:r>
        <w:t xml:space="preserve">35.</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84"/>
    <w:bookmarkStart w:id="86"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7" w:name="ref-zohner_ongoing_2019"/>
    <w:p>
      <w:pPr>
        <w:pStyle w:val="Bibliography"/>
      </w:pPr>
      <w:r>
        <w:t xml:space="preserve">37.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7"/>
    <w:bookmarkStart w:id="88"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8"/>
    <w:bookmarkStart w:id="89" w:name="ref-lempereur_growth_2015"/>
    <w:p>
      <w:pPr>
        <w:pStyle w:val="Bibliography"/>
      </w:pPr>
      <w:r>
        <w:t xml:space="preserve">39.</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9"/>
    <w:bookmarkStart w:id="90" w:name="ref-vitasse_responses_2009"/>
    <w:p>
      <w:pPr>
        <w:pStyle w:val="Bibliography"/>
      </w:pPr>
      <w:r>
        <w:t xml:space="preserve">40.</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90"/>
    <w:bookmarkStart w:id="9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1">
        <w:r>
          <w:rPr>
            <w:rStyle w:val="Hyperlink"/>
          </w:rPr>
          <w:t xml:space="preserve">10.5067/MODIS/MCD12Q2.006</w:t>
        </w:r>
      </w:hyperlink>
      <w:r>
        <w:t xml:space="preserve">.</w:t>
      </w:r>
    </w:p>
    <w:bookmarkEnd w:id="92"/>
    <w:bookmarkStart w:id="93"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3"/>
    <w:bookmarkStart w:id="94"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4"/>
    <w:bookmarkStart w:id="96"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5">
        <w:r>
          <w:rPr>
            <w:rStyle w:val="Hyperlink"/>
          </w:rPr>
          <w:t xml:space="preserve">10.1007/978-94-015-7879-0</w:t>
        </w:r>
      </w:hyperlink>
      <w:r>
        <w:t xml:space="preserve">.</w:t>
      </w:r>
    </w:p>
    <w:bookmarkEnd w:id="96"/>
    <w:bookmarkStart w:id="97" w:name="ref-cook_calculating_1997"/>
    <w:p>
      <w:pPr>
        <w:pStyle w:val="Bibliography"/>
      </w:pPr>
      <w:r>
        <w:t xml:space="preserve">45.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7"/>
    <w:bookmarkStart w:id="98" w:name="ref-jones_estimating_1997"/>
    <w:p>
      <w:pPr>
        <w:pStyle w:val="Bibliography"/>
      </w:pPr>
      <w:r>
        <w:t xml:space="preserve">46.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8"/>
    <w:bookmarkStart w:id="100"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9">
        <w:r>
          <w:rPr>
            <w:rStyle w:val="Hyperlink"/>
          </w:rPr>
          <w:t xml:space="preserve">10.5281/ZENODO.4041609</w:t>
        </w:r>
      </w:hyperlink>
      <w:r>
        <w:t xml:space="preserve">.</w:t>
      </w:r>
    </w:p>
    <w:bookmarkEnd w:id="100"/>
    <w:bookmarkStart w:id="101" w:name="ref-harris_version_2020"/>
    <w:p>
      <w:pPr>
        <w:pStyle w:val="Bibliography"/>
      </w:pPr>
      <w:r>
        <w:t xml:space="preserve">48.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1"/>
    <w:bookmarkStart w:id="102"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2"/>
    <w:bookmarkStart w:id="103"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3"/>
    <w:bookmarkEnd w:id="104"/>
    <w:bookmarkEnd w:id="105"/>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9" Target="https://github.com/EcoClimLab/growth_phenology/issues/56"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9" Target="https://github.com/EcoClimLab/growth_phenology/issues/56"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2021-10-12T11:51:53Z</dcterms:created>
  <dcterms:modified xsi:type="dcterms:W3CDTF">2021-10-12T11:51:53Z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