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7,</w:t>
      </w:r>
      <w:r>
        <w:rPr>
          <w:vertAlign w:val="superscript"/>
          <w:bCs/>
          <w:b/>
        </w:rPr>
        <w:t xml:space="preserve"> </w:t>
      </w:r>
      <w:r>
        <w:rPr>
          <w:vertAlign w:val="superscript"/>
          <w:bCs/>
          <w:b/>
        </w:rPr>
        <w:t xml:space="preserve">1,4,5</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2,4,8–12</w:t>
      </w:r>
      <w:r>
        <w:rPr>
          <w:bCs/>
          <w:b/>
        </w:rPr>
        <w:t xml:space="preserve">.</w:t>
      </w:r>
      <w:r>
        <w:t xml:space="preserve"> </w:t>
      </w:r>
      <w:r>
        <w:rPr>
          <w:bCs/>
          <w:b/>
        </w:rPr>
        <w:t xml:space="preserve">However, less is known about how spring temperatures affect tree stem growth</w:t>
      </w:r>
      <w:r>
        <w:rPr>
          <w:vertAlign w:val="superscript"/>
          <w:bCs/>
          <w:b/>
        </w:rPr>
        <w:t xml:space="preserve">13,14</w:t>
      </w:r>
      <w:r>
        <w:rPr>
          <w:bCs/>
          <w:b/>
        </w:rPr>
        <w:t xml:space="preserve">, which sequesters carbon (C)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440 trees across two forests, we show that warmer spring temperatures shifted stem growth of deciduous trees earlier but had no consistent effect on peak growing season length, maximum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8–10</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2,3,17,18</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19</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19</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20</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21–23</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7,</w:t>
      </w:r>
      <w:r>
        <w:rPr>
          <w:vertAlign w:val="superscript"/>
        </w:rPr>
        <w:t xml:space="preserve"> </w:t>
      </w:r>
      <w:r>
        <w:rPr>
          <w:vertAlign w:val="superscript"/>
        </w:rPr>
        <w:t xml:space="preserve">24</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2,24</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 NEE)</w:t>
      </w:r>
      <w:r>
        <w:rPr>
          <w:vertAlign w:val="superscript"/>
        </w:rPr>
        <w:t xml:space="preserve">2,3,17,18</w:t>
      </w:r>
      <w:r>
        <w:t xml:space="preserve">, as occurs when additional C is allocated to woody growth and therefore resides in the ecosystem for decades to centuries</w:t>
      </w:r>
      <w:r>
        <w:rPr>
          <w:vertAlign w:val="superscript"/>
        </w:rPr>
        <w:t xml:space="preserve">15,16</w:t>
      </w:r>
      <w:r>
        <w:t xml:space="preserve">.</w:t>
      </w:r>
      <w:r>
        <w:t xml:space="preserve"> </w:t>
      </w:r>
      <w:r>
        <w:t xml:space="preserve">However, model representation of C allocation to stem growth is overly simplistic and does not capture known decoupling of stem growth from photosynthate production</w:t>
      </w:r>
      <w:r>
        <w:rPr>
          <w:vertAlign w:val="superscript"/>
        </w:rPr>
        <w:t xml:space="preserve">14,23,25</w:t>
      </w:r>
      <w:r>
        <w:t xml:space="preserve">.</w:t>
      </w:r>
      <w:r>
        <w:t xml:space="preserve"> </w:t>
      </w:r>
      <w:r>
        <w:t xml:space="preserve">As a result, the consequences of rising spring temperatures on stem growth – or woody aboveground net primary productivity (</w:t>
      </w:r>
      <m:oMath>
        <m:r>
          <m:t>A</m:t>
        </m:r>
        <m:r>
          <m:t>N</m:t>
        </m:r>
        <m:r>
          <m:t>P</m:t>
        </m:r>
        <m:sSub>
          <m:e>
            <m:r>
              <m:t>P</m:t>
            </m:r>
          </m:e>
          <m:sub>
            <m:r>
              <m:t>w</m:t>
            </m:r>
            <m:r>
              <m:t>o</m:t>
            </m:r>
            <m:r>
              <m:t>o</m:t>
            </m:r>
            <m:r>
              <m:t>d</m:t>
            </m:r>
            <m:r>
              <m:t>y</m:t>
            </m:r>
          </m:sub>
        </m:sSub>
      </m:oMath>
      <w:r>
        <w:t xml:space="preserve">) on the ecosystem level – may not be accurately represented in models</w:t>
      </w:r>
      <w:r>
        <w:rPr>
          <w:vertAlign w:val="superscript"/>
        </w:rPr>
        <w:t xml:space="preserve">14,23</w:t>
      </w:r>
      <w:r>
        <w:t xml:space="preserve">.</w:t>
      </w:r>
      <w:r>
        <w:t xml:space="preserve"> </w:t>
      </w:r>
      <w:r>
        <w:t xml:space="preserve">Understanding the sensitivity of</w:t>
      </w:r>
      <w:r>
        <w:t xml:space="preserve"> </w:t>
      </w:r>
      <m:oMath>
        <m:r>
          <m:t>A</m:t>
        </m:r>
        <m:r>
          <m:t>N</m:t>
        </m:r>
        <m:r>
          <m:t>P</m:t>
        </m:r>
        <m:sSub>
          <m:e>
            <m:r>
              <m:t>P</m:t>
            </m:r>
          </m:e>
          <m:sub>
            <m:r>
              <m:t>w</m:t>
            </m:r>
            <m:r>
              <m:t>o</m:t>
            </m:r>
            <m:r>
              <m:t>o</m:t>
            </m:r>
            <m:r>
              <m:t>d</m:t>
            </m:r>
            <m:r>
              <m:t>y</m:t>
            </m:r>
          </m:sub>
        </m:sSub>
      </m:oMath>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26,</w:t>
      </w:r>
      <w:r>
        <w:rPr>
          <w:vertAlign w:val="superscript"/>
        </w:rPr>
        <w:t xml:space="preserve"> </w:t>
      </w:r>
      <w:r>
        <w:rPr>
          <w:vertAlign w:val="superscript"/>
        </w:rPr>
        <w:t xml:space="preserve">27</w:t>
      </w:r>
      <w:r>
        <w:t xml:space="preserve"> </w:t>
      </w:r>
      <w:r>
        <w:t xml:space="preserve">and increased annual growth in mesic climates</w:t>
      </w:r>
      <w:r>
        <w:rPr>
          <w:vertAlign w:val="superscript"/>
        </w:rPr>
        <w:t xml:space="preserve">28–31</w:t>
      </w:r>
      <w:r>
        <w:t xml:space="preserve">.</w:t>
      </w:r>
      <w:r>
        <w:t xml:space="preserve"> </w:t>
      </w:r>
      <w:r>
        <w:t xml:space="preserve"> </w:t>
      </w:r>
      <w:r>
        <w:t xml:space="preserve">In contrast, we have little evidence as to how stem growth and</w:t>
      </w:r>
      <w:r>
        <w:t xml:space="preserve"> </w:t>
      </w:r>
      <m:oMath>
        <m:r>
          <m:t>A</m:t>
        </m:r>
        <m:r>
          <m:t>N</m:t>
        </m:r>
        <m:r>
          <m:t>P</m:t>
        </m:r>
        <m:sSub>
          <m:e>
            <m:r>
              <m:t>P</m:t>
            </m:r>
          </m:e>
          <m:sub>
            <m:r>
              <m:t>w</m:t>
            </m:r>
            <m:r>
              <m:t>o</m:t>
            </m:r>
            <m:r>
              <m:t>o</m:t>
            </m:r>
            <m:r>
              <m:t>d</m:t>
            </m:r>
            <m:r>
              <m:t>y</m:t>
            </m:r>
          </m:sub>
        </m:sSub>
      </m:oMath>
      <w:r>
        <w:t xml:space="preserve"> </w:t>
      </w:r>
      <w:r>
        <w:t xml:space="preserve">respond to warmer spring temperatures in deciduous forests</w:t>
      </w:r>
      <w:r>
        <w:rPr>
          <w:vertAlign w:val="superscript"/>
        </w:rPr>
        <w:t xml:space="preserve">13,14</w:t>
      </w:r>
      <w:r>
        <w:t xml:space="preserve">.</w:t>
      </w:r>
      <w:r>
        <w:t xml:space="preserve"> </w:t>
      </w:r>
      <w:r>
        <w:t xml:space="preserve">Close coordination of budburst and initiation of xylogenesis</w:t>
      </w:r>
      <w:r>
        <w:rPr>
          <w:vertAlign w:val="superscript"/>
        </w:rPr>
        <w:t xml:space="preserve">14</w:t>
      </w:r>
      <w:r>
        <w:t xml:space="preserve"> </w:t>
      </w:r>
      <w:r>
        <w:t xml:space="preserve">suggests that warm springs should shift the onset of growth earlier alongside observed advances in leaf phenology</w:t>
      </w:r>
      <w:r>
        <w:rPr>
          <w:vertAlign w:val="superscript"/>
        </w:rPr>
        <w:t xml:space="preserve">1–6</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32,33</w:t>
      </w:r>
      <w:r>
        <w:t xml:space="preserve">, and annual growth is more closely linked to conditions within the growing season than to growing season length</w:t>
      </w:r>
      <w:r>
        <w:rPr>
          <w:vertAlign w:val="superscript"/>
        </w:rPr>
        <w:t xml:space="preserve">34</w:t>
      </w:r>
      <w:r>
        <w:t xml:space="preserve">, gross primary productivity (GPP)</w:t>
      </w:r>
      <w:r>
        <w:rPr>
          <w:vertAlign w:val="superscript"/>
        </w:rPr>
        <w:t xml:space="preserve">25</w:t>
      </w:r>
      <w:r>
        <w:t xml:space="preserve">, or NEE</w:t>
      </w:r>
      <w:r>
        <w:rPr>
          <w:vertAlign w:val="superscript"/>
        </w:rPr>
        <w:t xml:space="preserve">25</w:t>
      </w:r>
      <w:r>
        <w:t xml:space="preserve">.</w:t>
      </w:r>
      <w:r>
        <w:t xml:space="preserve"> </w:t>
      </w:r>
      <w:r>
        <w:t xml:space="preserve">Furthermore, growth of broadleaf deciduous trees may be sink-saturated</w:t>
      </w:r>
      <w:r>
        <w:rPr>
          <w:vertAlign w:val="superscript"/>
        </w:rPr>
        <w:t xml:space="preserve">23</w:t>
      </w:r>
      <w:r>
        <w:t xml:space="preserve">, such that longer growing seasons with more C fixation do not necessarily augment growth</w:t>
      </w:r>
      <w:r>
        <w:rPr>
          <w:vertAlign w:val="superscript"/>
        </w:rPr>
        <w:t xml:space="preserve">17,25,35</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36,37</w:t>
      </w:r>
      <w:r>
        <w:t xml:space="preserve">, with some evidence that warmer springs may have a modest, but usually insignificant, positive effect on growth</w:t>
      </w:r>
      <w:r>
        <w:rPr>
          <w:vertAlign w:val="superscript"/>
        </w:rPr>
        <w:t xml:space="preserve">31,37</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2,24</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advance the timing and extend the duration of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38</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growth rate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growth(Extended Data Table 2)</w:t>
      </w:r>
      <w:r>
        <w:rPr>
          <w:vertAlign w:val="superscript"/>
        </w:rPr>
        <w:t xml:space="preserve">33,39</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751032"/>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751032"/>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for all combinations of consecutive weeks 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m:oMath>
        <m:sSub>
          <m:e>
            <m:r>
              <m:t>T</m:t>
            </m:r>
          </m:e>
          <m:sub>
            <m:r>
              <m:t>m</m:t>
            </m:r>
            <m:r>
              <m:t>a</m:t>
            </m:r>
            <m:r>
              <m:t>x</m:t>
            </m:r>
          </m:sub>
        </m:sSub>
      </m:oMath>
      <w:r>
        <w:t xml:space="preserve"> </w:t>
      </w:r>
      <w:r>
        <w:t xml:space="preserve">during this period (CTW</w:t>
      </w:r>
      <w:r>
        <w:t xml:space="preserve"> </w:t>
      </w:r>
      <m:oMath>
        <m:sSub>
          <m:e>
            <m:r>
              <m:t>T</m:t>
            </m:r>
          </m:e>
          <m:sub>
            <m:r>
              <m:t>m</m:t>
            </m:r>
            <m:r>
              <m:t>a</m:t>
            </m:r>
            <m:r>
              <m:t>x</m:t>
            </m:r>
          </m:sub>
        </m:sSub>
      </m:oMath>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maximum temperature (T_{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_{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maximum temperature (</w:t>
      </w:r>
      <m:oMath>
        <m:sSub>
          <m:e>
            <m:r>
              <m:t>T</m:t>
            </m:r>
          </m:e>
          <m:sub>
            <m:r>
              <m:t>m</m:t>
            </m:r>
            <m:r>
              <m:t>a</m:t>
            </m:r>
            <m:r>
              <m:t>x</m:t>
            </m:r>
          </m:sub>
        </m:sSub>
      </m:oMath>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m:oMath>
        <m:sSub>
          <m:e>
            <m:r>
              <m:t>T</m:t>
            </m:r>
          </m:e>
          <m:sub>
            <m:r>
              <m:t>m</m:t>
            </m:r>
            <m:r>
              <m:t>a</m:t>
            </m:r>
            <m:r>
              <m:t>x</m:t>
            </m:r>
          </m:sub>
        </m:sSub>
      </m:oMath>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m:oMath>
        <m:sSub>
          <m:e>
            <m:r>
              <m:t>T</m:t>
            </m:r>
          </m:e>
          <m:sub>
            <m:r>
              <m:t>m</m:t>
            </m:r>
            <m:r>
              <m:t>a</m:t>
            </m:r>
            <m:r>
              <m:t>x</m:t>
            </m:r>
          </m:sub>
        </m:sSub>
      </m:oMath>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CTW</w:t>
      </w:r>
      <w:r>
        <w:t xml:space="preserve"> </w:t>
      </w:r>
      <m:oMath>
        <m:sSub>
          <m:e>
            <m:r>
              <m:t>T</m:t>
            </m:r>
          </m:e>
          <m:sub>
            <m:r>
              <m:t>m</m:t>
            </m:r>
            <m:r>
              <m:t>a</m:t>
            </m:r>
            <m:r>
              <m:t>x</m:t>
            </m:r>
          </m:sub>
        </m:sSub>
      </m:oMath>
      <w:r>
        <w:t xml:space="preserve"> </w:t>
      </w:r>
      <w:r>
        <w:t xml:space="preserve">(Figs.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m:oMath>
        <m:sSub>
          <m:e>
            <m:r>
              <m:t>T</m:t>
            </m:r>
          </m:e>
          <m:sub>
            <m:r>
              <m:t>m</m:t>
            </m:r>
            <m:r>
              <m:t>a</m:t>
            </m:r>
            <m:r>
              <m:t>x</m:t>
            </m:r>
          </m:sub>
        </m:sSub>
      </m:oMath>
      <w:r>
        <w:t xml:space="preserve"> </w:t>
      </w:r>
      <w:r>
        <w:t xml:space="preserve">of the porosity group containing the dominant canopy species at each site (diffuse porous at SCBI, ring porous at Harvard Forest;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 CTW</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(Harvard Forest) or changes in opposite directions (SCBI) in relationship to CTW</w:t>
      </w:r>
      <w:r>
        <w:t xml:space="preserve"> </w:t>
      </w:r>
      <m:oMath>
        <m:sSub>
          <m:e>
            <m:r>
              <m:t>T</m:t>
            </m:r>
          </m:e>
          <m:sub>
            <m:r>
              <m:t>m</m:t>
            </m:r>
            <m:r>
              <m:t>a</m:t>
            </m:r>
            <m:r>
              <m:t>x</m:t>
            </m:r>
          </m:sub>
        </m:sSub>
      </m:oMath>
      <w:r>
        <w:t xml:space="preserve"> </w:t>
      </w:r>
      <w:r>
        <w:t xml:space="preserve">for ring- and diffuse- porous species.</w:t>
      </w:r>
      <w:r>
        <w:t xml:space="preserve"> </w:t>
      </w:r>
      <m:oMath>
        <m:r>
          <m:t>Δ</m:t>
        </m:r>
        <m:r>
          <m:t>D</m:t>
        </m:r>
        <m:r>
          <m:t>B</m:t>
        </m:r>
        <m:r>
          <m:t>H</m:t>
        </m:r>
      </m:oMath>
      <w:r>
        <w:t xml:space="preserve"> </w:t>
      </w:r>
      <w:r>
        <w:t xml:space="preserve">displayed a weak positive relationship (+0.0029-0.008 cm/</w:t>
      </w:r>
      <w:r>
        <w:t xml:space="preserve"> </w:t>
      </w:r>
      <m:oMath>
        <m:sSup>
          <m:e>
            <m:r>
              <m:t>​</m:t>
            </m:r>
          </m:e>
          <m:sup>
            <m:r>
              <m:rPr>
                <m:sty m:val="p"/>
              </m:rPr>
              <m:t>∘</m:t>
            </m:r>
          </m:sup>
        </m:sSup>
      </m:oMath>
      <w:r>
        <w:t xml:space="preserve">C) with CTW</w:t>
      </w:r>
      <w:r>
        <w:t xml:space="preserve"> </w:t>
      </w:r>
      <m:oMath>
        <m:sSub>
          <m:e>
            <m:r>
              <m:t>T</m:t>
            </m:r>
          </m:e>
          <m:sub>
            <m:r>
              <m:t>m</m:t>
            </m:r>
            <m:r>
              <m:t>a</m:t>
            </m:r>
            <m:r>
              <m:t>x</m:t>
            </m:r>
          </m:sub>
        </m:sSub>
      </m:oMath>
      <w:r>
        <w:t xml:space="preserve"> </w:t>
      </w:r>
      <w:r>
        <w:t xml:space="preserve">at SCBI and a weak negative relationship (-0.02-0.003 cm/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37</w:t>
      </w:r>
      <w:r>
        <w:t xml:space="preserve"> </w:t>
      </w:r>
      <w:r>
        <w:t xml:space="preserve">and 4 species at Harvard Forest (Extended Data Table 1), plus an additional 191 chronologies from 106 sites (Fig. 3; Extended Data Figure 1; Extended Data Table 3)</w:t>
      </w:r>
      <w:r>
        <w:rPr>
          <w:vertAlign w:val="superscript"/>
        </w:rPr>
        <w:t xml:space="preserve">36</w:t>
      </w:r>
      <w:r>
        <w:t xml:space="preserve">.</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m:oMath>
        <m:sSub>
          <m:e>
            <m:r>
              <m:t>T</m:t>
            </m:r>
          </m:e>
          <m:sub>
            <m:r>
              <m:t>m</m:t>
            </m:r>
            <m:r>
              <m:t>a</m:t>
            </m:r>
            <m:r>
              <m:t>x</m:t>
            </m:r>
          </m:sub>
        </m:sSub>
      </m:oMath>
      <w:r>
        <w:t xml:space="preserve">: 0% and 1%, respectively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exhibited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40</w:t>
      </w:r>
      <w:r>
        <w:t xml:space="preserve">, we extended the analysis to examine correlations between RWI and</w:t>
      </w:r>
      <w:r>
        <w:t xml:space="preserve"> </w:t>
      </w:r>
      <m:oMath>
        <m:sSub>
          <m:e>
            <m:r>
              <m:t>T</m:t>
            </m:r>
          </m:e>
          <m:sub>
            <m:r>
              <m:t>m</m:t>
            </m:r>
            <m:r>
              <m:t>a</m:t>
            </m:r>
            <m:r>
              <m:t>x</m:t>
            </m:r>
          </m:sub>
        </m:sSub>
      </m:oMath>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m:oMath>
        <m:sSub>
          <m:e>
            <m:r>
              <m:t>T</m:t>
            </m:r>
          </m:e>
          <m:sub>
            <m:r>
              <m:t>m</m:t>
            </m:r>
            <m:r>
              <m:t>a</m:t>
            </m:r>
            <m:r>
              <m:t>x</m:t>
            </m:r>
          </m:sub>
        </m:sSub>
      </m:oMath>
      <w:r>
        <w:t xml:space="preserve"> </w:t>
      </w:r>
      <w:r>
        <w:t xml:space="preserve">for 5/142 ring porous chronologies and to previous April or May</w:t>
      </w:r>
      <w:r>
        <w:t xml:space="preserve"> </w:t>
      </w:r>
      <m:oMath>
        <m:sSub>
          <m:e>
            <m:r>
              <m:t>T</m:t>
            </m:r>
          </m:e>
          <m:sub>
            <m:r>
              <m:t>m</m:t>
            </m:r>
            <m:r>
              <m:t>a</m:t>
            </m:r>
            <m:r>
              <m:t>x</m:t>
            </m:r>
          </m:sub>
        </m:sSub>
      </m:oMath>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advances observed for canopy foliage phenology (Fig. 2a-b)</w:t>
      </w:r>
      <w:r>
        <w:rPr>
          <w:vertAlign w:val="superscript"/>
        </w:rPr>
        <w:t xml:space="preserve">2,4,5</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w:t>
      </w:r>
      <w:r>
        <w:t xml:space="preserve"> </w:t>
      </w:r>
      <m:oMath>
        <m:r>
          <m:t>A</m:t>
        </m:r>
        <m:r>
          <m:t>N</m:t>
        </m:r>
        <m:r>
          <m:t>P</m:t>
        </m:r>
        <m:sSub>
          <m:e>
            <m:r>
              <m:t>P</m:t>
            </m:r>
          </m:e>
          <m:sub>
            <m:r>
              <m:t>w</m:t>
            </m:r>
            <m:r>
              <m:t>o</m:t>
            </m:r>
            <m:r>
              <m:t>o</m:t>
            </m:r>
            <m:r>
              <m:t>d</m:t>
            </m:r>
            <m:r>
              <m:t>y</m:t>
            </m:r>
          </m:sub>
        </m:sSub>
      </m:oMath>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4,34</w:t>
      </w:r>
      <w:r>
        <w:t xml:space="preserve">, is driven by cues other than photosynthate limitation, such as water stress, daylength, or sink limitation</w:t>
      </w:r>
      <w:r>
        <w:rPr>
          <w:vertAlign w:val="superscript"/>
        </w:rPr>
        <w:t xml:space="preserve">17,32,34,41,14,</w:t>
      </w:r>
      <w:r>
        <w:rPr>
          <w:vertAlign w:val="superscript"/>
        </w:rPr>
        <w:t xml:space="preserve"> </w:t>
      </w:r>
      <w:r>
        <w:rPr>
          <w:vertAlign w:val="superscript"/>
        </w:rPr>
        <w:t xml:space="preserve">25</w:t>
      </w:r>
      <w:r>
        <w:t xml:space="preserve">.</w:t>
      </w:r>
      <w:r>
        <w:t xml:space="preserve"> </w:t>
      </w:r>
      <w:r>
        <w:t xml:space="preserve">This adds to a growing body of evidence for a sink limitation of stem growth</w:t>
      </w:r>
      <w:r>
        <w:rPr>
          <w:vertAlign w:val="superscript"/>
        </w:rPr>
        <w:t xml:space="preserve">25,</w:t>
      </w:r>
      <w:r>
        <w:rPr>
          <w:bCs/>
          <w:b/>
          <w:vertAlign w:val="superscript"/>
        </w:rPr>
        <w:t xml:space="preserve">refs?</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42,</w:t>
      </w:r>
      <w:r>
        <w:rPr>
          <w:bCs/>
          <w:b/>
          <w:vertAlign w:val="superscript"/>
        </w:rPr>
        <w:t xml:space="preserve">refs?</w:t>
      </w:r>
      <w:r>
        <w:t xml:space="preserve">.</w:t>
      </w:r>
      <w:r>
        <w:t xml:space="preserve"> </w:t>
      </w:r>
    </w:p>
    <w:p>
      <w:pPr>
        <w:pStyle w:val="BodyText"/>
      </w:pPr>
      <w:r>
        <w:t xml:space="preserve">Combined with widespread observations that warming springs tend to lengthen the season of C sequestration</w:t>
      </w:r>
      <w:r>
        <w:rPr>
          <w:vertAlign w:val="superscript"/>
        </w:rPr>
        <w:t xml:space="preserve">4,24</w:t>
      </w:r>
      <w:r>
        <w:t xml:space="preserve"> </w:t>
      </w:r>
      <w:r>
        <w:t xml:space="preserve">and increase net C sequestration</w:t>
      </w:r>
      <w:r>
        <w:rPr>
          <w:vertAlign w:val="superscript"/>
        </w:rPr>
        <w:t xml:space="preserve">2,4,8–12</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 (Extended Data Figure 7).</w:t>
      </w:r>
      <w:r>
        <w:t xml:space="preserve"> </w:t>
      </w:r>
      <w:r>
        <w:t xml:space="preserve">It remains theoretically possible that warm springs could augment</w:t>
      </w:r>
      <w:r>
        <w:t xml:space="preserve"> </w:t>
      </w:r>
      <m:oMath>
        <m:r>
          <m:t>A</m:t>
        </m:r>
        <m:r>
          <m:t>N</m:t>
        </m:r>
        <m:r>
          <m:t>P</m:t>
        </m:r>
        <m:sSub>
          <m:e>
            <m:r>
              <m:t>P</m:t>
            </m:r>
          </m:e>
          <m:sub>
            <m:r>
              <m:t>w</m:t>
            </m:r>
            <m:r>
              <m:t>o</m:t>
            </m:r>
            <m:r>
              <m:t>o</m:t>
            </m:r>
            <m:r>
              <m:t>d</m:t>
            </m:r>
            <m:r>
              <m:t>y</m:t>
            </m:r>
          </m:sub>
        </m:sSub>
      </m:oMath>
      <w:r>
        <w:t xml:space="preserve">, which, although routinely calculated based on stem growth, can be partially decoupled from it through differences in wood density or C content</w:t>
      </w:r>
      <w:r>
        <w:rPr>
          <w:vertAlign w:val="superscript"/>
        </w:rPr>
        <w:t xml:space="preserve">25</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43</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44–46</w:t>
      </w:r>
      <w:r>
        <w:t xml:space="preserve">.</w:t>
      </w:r>
      <w:r>
        <w:t xml:space="preserve"> </w:t>
      </w:r>
      <w:r>
        <w:t xml:space="preserve">Thus, it is unlikely that warm springs have a positive effect on total C content of annual rings or</w:t>
      </w:r>
      <w:r>
        <w:t xml:space="preserve"> </w:t>
      </w:r>
      <m:oMath>
        <m:r>
          <m:t>A</m:t>
        </m:r>
        <m:r>
          <m:t>N</m:t>
        </m:r>
        <m:r>
          <m:t>P</m:t>
        </m:r>
        <m:sSub>
          <m:e>
            <m:r>
              <m:t>P</m:t>
            </m:r>
          </m:e>
          <m:sub>
            <m:r>
              <m:t>w</m:t>
            </m:r>
            <m:r>
              <m:t>o</m:t>
            </m:r>
            <m:r>
              <m:t>o</m:t>
            </m:r>
            <m:r>
              <m:t>d</m:t>
            </m:r>
            <m:r>
              <m:t>y</m:t>
            </m:r>
          </m:sub>
        </m:sSub>
      </m:oMath>
      <w:r>
        <w:t xml:space="preserve">.</w:t>
      </w:r>
      <w:r>
        <w:t xml:space="preserve"> </w:t>
      </w: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35</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w:t>
      </w:r>
      <w:r>
        <w:t xml:space="preserve"> </w:t>
      </w:r>
      <m:oMath>
        <m:r>
          <m:t>A</m:t>
        </m:r>
        <m:r>
          <m:t>N</m:t>
        </m:r>
        <m:r>
          <m:t>P</m:t>
        </m:r>
        <m:sSub>
          <m:e>
            <m:r>
              <m:t>P</m:t>
            </m:r>
          </m:e>
          <m:sub>
            <m:r>
              <m:t>w</m:t>
            </m:r>
            <m:r>
              <m:t>o</m:t>
            </m:r>
            <m:r>
              <m:t>o</m:t>
            </m:r>
            <m:r>
              <m:t>d</m:t>
            </m:r>
            <m:r>
              <m:t>y</m:t>
            </m:r>
          </m:sub>
        </m:sSub>
      </m:oMath>
      <w:r>
        <w:t xml:space="preserve"> </w:t>
      </w:r>
      <w:r>
        <w:t xml:space="preserve">remained unchanged, while additional C was released back to the atmosphere on relatively short time scales through enhanced respiration</w:t>
      </w:r>
      <w:r>
        <w:rPr>
          <w:vertAlign w:val="superscript"/>
        </w:rPr>
        <w:t xml:space="preserve">42</w:t>
      </w:r>
      <w:r>
        <w:t xml:space="preserve">.</w:t>
      </w:r>
      <w:r>
        <w:t xml:space="preserve"> </w:t>
      </w:r>
      <w:r>
        <w:t xml:space="preserve">Consistent with this, it has been observed that C gains from an earlier spring can be offset through fall or winter respiration</w:t>
      </w:r>
      <w:r>
        <w:rPr>
          <w:vertAlign w:val="superscript"/>
        </w:rPr>
        <w:t xml:space="preserve">3,47</w:t>
      </w:r>
      <w:r>
        <w:t xml:space="preserve">, although even the C in shorter-lived pools would often be carried over into the following year</w:t>
      </w:r>
      <w:r>
        <w:rPr>
          <w:vertAlign w:val="superscript"/>
        </w:rPr>
        <w:t xml:space="preserve">48</w:t>
      </w:r>
      <w:r>
        <w:t xml:space="preserve">.</w:t>
      </w:r>
      <w:r>
        <w:t xml:space="preserve"> </w:t>
      </w:r>
      <w:r>
        <w:t xml:space="preserve">Thus, observed augmentation of NEE by warm springs</w:t>
      </w:r>
      <w:r>
        <w:rPr>
          <w:vertAlign w:val="superscript"/>
        </w:rPr>
        <w:t xml:space="preserve">2,11,12</w:t>
      </w:r>
      <w:r>
        <w:t xml:space="preserve"> </w:t>
      </w:r>
      <w:r>
        <w:t xml:space="preserve">is likely to be compensated by increased respiration in subsequent years.</w:t>
      </w:r>
    </w:p>
    <w:p>
      <w:pPr>
        <w:pStyle w:val="BodyText"/>
      </w:pPr>
      <w:r>
        <w:t xml:space="preserve">It is possible that as spring warming continues, forests will adjust to directional changes in growing season length with an enhancement of</w:t>
      </w:r>
      <w:r>
        <w:t xml:space="preserve"> </w:t>
      </w:r>
      <m:oMath>
        <m:r>
          <m:t>A</m:t>
        </m:r>
        <m:r>
          <m:t>N</m:t>
        </m:r>
        <m:r>
          <m:t>P</m:t>
        </m:r>
        <m:sSub>
          <m:e>
            <m:r>
              <m:t>P</m:t>
            </m:r>
          </m:e>
          <m:sub>
            <m:r>
              <m:t>w</m:t>
            </m:r>
            <m:r>
              <m:t>o</m:t>
            </m:r>
            <m:r>
              <m:t>o</m:t>
            </m:r>
            <m:r>
              <m:t>d</m:t>
            </m:r>
            <m:r>
              <m:t>y</m:t>
            </m:r>
          </m:sub>
        </m:sSub>
      </m:oMath>
      <w:r>
        <w:t xml:space="preserve">.</w:t>
      </w:r>
      <w:r>
        <w:t xml:space="preserve"> </w:t>
      </w:r>
      <w:r>
        <w:t xml:space="preserve">Across latitudinal gradients,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30</w:t>
      </w:r>
      <w:r>
        <w:t xml:space="preserve">, woody productivity</w:t>
      </w:r>
      <w:r>
        <w:rPr>
          <w:vertAlign w:val="superscript"/>
        </w:rPr>
        <w:t xml:space="preserve">49</w:t>
      </w:r>
      <w:r>
        <w:t xml:space="preserve">, and NEE</w:t>
      </w:r>
      <w:r>
        <w:rPr>
          <w:vertAlign w:val="superscript"/>
        </w:rPr>
        <w:t xml:space="preserve">50</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w:t>
      </w:r>
      <w:r>
        <w:t xml:space="preserve"> </w:t>
      </w:r>
      <m:oMath>
        <m:r>
          <m:t>A</m:t>
        </m:r>
        <m:r>
          <m:t>N</m:t>
        </m:r>
        <m:r>
          <m:t>P</m:t>
        </m:r>
        <m:sSub>
          <m:e>
            <m:r>
              <m:t>P</m:t>
            </m:r>
          </m:e>
          <m:sub>
            <m:r>
              <m:t>w</m:t>
            </m:r>
            <m:r>
              <m:t>o</m:t>
            </m:r>
            <m:r>
              <m:t>o</m:t>
            </m:r>
            <m:r>
              <m:t>d</m:t>
            </m:r>
            <m:r>
              <m:t>y</m:t>
            </m:r>
          </m:sub>
        </m:sSub>
      </m:oMath>
      <w:r>
        <w:t xml:space="preserve"> </w:t>
      </w:r>
      <w:r>
        <w:t xml:space="preserve">is allocated to functions that relieve limitations on woody growth – for example, by enhancing nutrient and water acquisition through enhanced allocation to roots</w:t>
      </w:r>
      <w:r>
        <w:rPr>
          <w:vertAlign w:val="superscript"/>
        </w:rPr>
        <w:t xml:space="preserve">35,51</w:t>
      </w:r>
      <w:r>
        <w:t xml:space="preserve"> </w:t>
      </w:r>
      <w:r>
        <w:t xml:space="preserve">– it is possible that warming spring temperatures could ultimately increase</w:t>
      </w:r>
      <w:r>
        <w:t xml:space="preserve"> </w:t>
      </w:r>
      <m:oMath>
        <m:r>
          <m:t>A</m:t>
        </m:r>
        <m:r>
          <m:t>N</m:t>
        </m:r>
        <m:r>
          <m:t>P</m:t>
        </m:r>
        <m:sSub>
          <m:e>
            <m:r>
              <m:t>P</m:t>
            </m:r>
          </m:e>
          <m:sub>
            <m:r>
              <m:t>w</m:t>
            </m:r>
            <m:r>
              <m:t>o</m:t>
            </m:r>
            <m:r>
              <m:t>o</m:t>
            </m:r>
            <m:r>
              <m:t>d</m:t>
            </m:r>
            <m:r>
              <m:t>y</m:t>
            </m:r>
          </m:sub>
        </m:sSub>
      </m:oMath>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of the current or sometimes previous year (Fig.3, Extended Data Figure 7), when increased atmospheric demand associated with high temperatures can limit both leaf-level gas exchange and stem growth</w:t>
      </w:r>
      <w:r>
        <w:rPr>
          <w:vertAlign w:val="superscript"/>
        </w:rPr>
        <w:t xml:space="preserve">25,32,34,52</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m:oMath>
        <m:sSub>
          <m:e>
            <m:r>
              <m:t>T</m:t>
            </m:r>
          </m:e>
          <m:sub>
            <m:r>
              <m:t>m</m:t>
            </m:r>
            <m:r>
              <m:t>a</m:t>
            </m:r>
            <m:r>
              <m:t>x</m:t>
            </m:r>
          </m:sub>
        </m:sSub>
      </m:oMath>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29,30,36,37</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3,53,54</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31</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55</w:t>
      </w:r>
      <w:r>
        <w:t xml:space="preserve"> </w:t>
      </w:r>
      <w:r>
        <w:t xml:space="preserve">and Harvard Forest</w:t>
      </w:r>
      <w:r>
        <w:rPr>
          <w:vertAlign w:val="superscript"/>
        </w:rPr>
        <w:t xml:space="preserve">4,39</w:t>
      </w:r>
      <w:r>
        <w:t xml:space="preserve">, both part of the Forest Global Earth Observatory (ForestGEO)</w:t>
      </w:r>
      <w:r>
        <w:rPr>
          <w:vertAlign w:val="superscript"/>
        </w:rPr>
        <w:t xml:space="preserve">56,57</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55</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37</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30</w:t>
      </w:r>
      <w:r>
        <w:t xml:space="preserve">.</w:t>
      </w:r>
      <w:r>
        <w:t xml:space="preserve"> </w:t>
      </w:r>
      <w:r>
        <w:t xml:space="preserve">Within the study period for the dendrometer band analysis (2011-2020), spring temperatures (March and April</w:t>
      </w:r>
      <w:r>
        <w:t xml:space="preserve"> </w:t>
      </w:r>
      <m:oMath>
        <m:sSub>
          <m:e>
            <m:r>
              <m:t>T</m:t>
            </m:r>
          </m:e>
          <m:sub>
            <m:r>
              <m:t>m</m:t>
            </m:r>
            <m:r>
              <m:t>a</m:t>
            </m:r>
            <m:r>
              <m:t>x</m:t>
            </m:r>
          </m:sub>
        </m:sSub>
      </m:oMath>
      <w:r>
        <w:t xml:space="preserve">; source:</w:t>
      </w:r>
      <w:r>
        <w:t xml:space="preserve"> </w:t>
      </w:r>
      <w:r>
        <w:rPr>
          <w:bCs/>
          <w:b/>
        </w:rPr>
        <w:t xml:space="preserve">local weather stations or CRU</w:t>
      </w:r>
      <w:r>
        <w:t xml:space="preserve">, as described below) and summer Standardized Precipitation Evapotranspiration Index (SPEI)</w:t>
      </w:r>
      <w:r>
        <w:rPr>
          <w:vertAlign w:val="superscript"/>
        </w:rPr>
        <w:t xml:space="preserve">58</w:t>
      </w:r>
      <w:r>
        <w:t xml:space="preserve"> </w:t>
      </w:r>
      <w:r>
        <w:t xml:space="preserve">values (4-month value of August) were similar to the average climate prior to the study period (1970-2010).</w:t>
      </w:r>
      <w:r>
        <w:t xml:space="preserve"> </w:t>
      </w:r>
      <w:r>
        <w:t xml:space="preserve">Specifically, average spring</w:t>
      </w:r>
      <w:r>
        <w:t xml:space="preserve"> </w:t>
      </w:r>
      <m:oMath>
        <m:sSub>
          <m:e>
            <m:r>
              <m:t>T</m:t>
            </m:r>
          </m:e>
          <m:sub>
            <m:r>
              <m:t>m</m:t>
            </m:r>
            <m:r>
              <m:t>a</m:t>
            </m:r>
            <m:r>
              <m:t>x</m:t>
            </m:r>
          </m:sub>
        </m:sSub>
      </m:oMath>
      <w:r>
        <w:t xml:space="preserve"> </w:t>
      </w:r>
      <w:r>
        <w:t xml:space="preserve">was 16.9</w:t>
      </w:r>
      <m:oMath>
        <m:r>
          <m:rPr>
            <m:sty m:val="p"/>
          </m:rPr>
          <m:t>±</m:t>
        </m:r>
      </m:oMath>
      <w:r>
        <w:rPr>
          <w:bCs/>
          <w:b/>
        </w:rPr>
        <w:t xml:space="preserve">##</w:t>
      </w:r>
      <w:r>
        <w:t xml:space="preserve">°C (mean</w:t>
      </w:r>
      <w:r>
        <w:t xml:space="preserve"> </w:t>
      </w:r>
      <m:oMath>
        <m:r>
          <m:rPr>
            <m:sty m:val="p"/>
          </m:rPr>
          <m:t>±</m:t>
        </m:r>
      </m:oMath>
      <w:r>
        <w:t xml:space="preserve"> </w:t>
      </w:r>
      <w:r>
        <w:t xml:space="preserve">1SD) prior to the study period (range:</w:t>
      </w:r>
      <w:r>
        <w:t xml:space="preserve"> </w:t>
      </w:r>
      <w:r>
        <w:rPr>
          <w:bCs/>
          <w:b/>
        </w:rPr>
        <w:t xml:space="preserve">##-##</w:t>
      </w:r>
      <w:r>
        <w:t xml:space="preserve">) and 17.6</w:t>
      </w:r>
      <m:oMath>
        <m:r>
          <m:rPr>
            <m:sty m:val="p"/>
          </m:rPr>
          <m:t>±</m:t>
        </m:r>
      </m:oMath>
      <w:r>
        <w:rPr>
          <w:bCs/>
          <w:b/>
        </w:rPr>
        <w:t xml:space="preserve">##</w:t>
      </w:r>
      <w:r>
        <w:t xml:space="preserve">°C (range:</w:t>
      </w:r>
      <w:r>
        <w:t xml:space="preserve"> </w:t>
      </w:r>
      <w:r>
        <w:rPr>
          <w:bCs/>
          <w:b/>
        </w:rPr>
        <w:t xml:space="preserve">##-##</w:t>
      </w:r>
      <w:r>
        <w:t xml:space="preserve">) during the study period, while summer SPEI was -0.06</w:t>
      </w:r>
      <m:oMath>
        <m:r>
          <m:rPr>
            <m:sty m:val="p"/>
          </m:rPr>
          <m:t>±</m:t>
        </m:r>
      </m:oMath>
      <w:r>
        <w:rPr>
          <w:bCs/>
          <w:b/>
        </w:rPr>
        <w:t xml:space="preserve">##</w:t>
      </w:r>
      <w:r>
        <w:t xml:space="preserve"> </w:t>
      </w:r>
      <w:r>
        <w:t xml:space="preserve">(range:</w:t>
      </w:r>
      <w:r>
        <w:t xml:space="preserve"> </w:t>
      </w:r>
      <w:r>
        <w:rPr>
          <w:bCs/>
          <w:b/>
        </w:rPr>
        <w:t xml:space="preserve">##-##</w:t>
      </w:r>
      <w:r>
        <w:t xml:space="preserve">) prior to the study period and 0.51</w:t>
      </w:r>
      <m:oMath>
        <m:r>
          <m:rPr>
            <m:sty m:val="p"/>
          </m:rPr>
          <m:t>±</m:t>
        </m:r>
      </m:oMath>
      <w:r>
        <w:rPr>
          <w:bCs/>
          <w:b/>
        </w:rPr>
        <w:t xml:space="preserve">##</w:t>
      </w:r>
      <w:r>
        <w:t xml:space="preserve"> </w:t>
      </w:r>
      <w:r>
        <w:t xml:space="preserve">(range:</w:t>
      </w:r>
      <w:r>
        <w:t xml:space="preserve"> </w:t>
      </w:r>
      <w:r>
        <w:rPr>
          <w:bCs/>
          <w:b/>
        </w:rPr>
        <w:t xml:space="preserve">##-##</w:t>
      </w:r>
      <w:r>
        <w:t xml:space="preserve">) during.</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-5°C in January and 22°C in July</w:t>
      </w:r>
      <w:r>
        <w:rPr>
          <w:vertAlign w:val="superscript"/>
        </w:rPr>
        <w:t xml:space="preserve">30</w:t>
      </w:r>
      <w:r>
        <w:t xml:space="preserve">.</w:t>
      </w:r>
      <w:r>
        <w:t xml:space="preserve"> </w:t>
      </w:r>
      <w:r>
        <w:t xml:space="preserve">Within the study period for the dendrometer band analysis (1999-2003), spring temperatures (March and April</w:t>
      </w:r>
      <w:r>
        <w:t xml:space="preserve"> </w:t>
      </w:r>
      <m:oMath>
        <m:sSub>
          <m:e>
            <m:r>
              <m:t>T</m:t>
            </m:r>
          </m:e>
          <m:sub>
            <m:r>
              <m:t>m</m:t>
            </m:r>
            <m:r>
              <m:t>a</m:t>
            </m:r>
            <m:r>
              <m:t>x</m:t>
            </m:r>
          </m:sub>
        </m:sSub>
      </m:oMath>
      <w:r>
        <w:t xml:space="preserve">; source:</w:t>
      </w:r>
      <w:r>
        <w:t xml:space="preserve"> </w:t>
      </w:r>
      <w:r>
        <w:rPr>
          <w:bCs/>
          <w:b/>
        </w:rPr>
        <w:t xml:space="preserve">local weather stations or CRU</w:t>
      </w:r>
      <w:r>
        <w:t xml:space="preserve">, as described below) and summer SPEI values (4-month value of August) were similar to the average climate prior to the study period (1970-1998).</w:t>
      </w:r>
      <w:r>
        <w:t xml:space="preserve"> </w:t>
      </w:r>
      <w:r>
        <w:t xml:space="preserve">Specifically, average spring</w:t>
      </w:r>
      <w:r>
        <w:t xml:space="preserve"> </w:t>
      </w:r>
      <m:oMath>
        <m:sSub>
          <m:e>
            <m:r>
              <m:t>T</m:t>
            </m:r>
          </m:e>
          <m:sub>
            <m:r>
              <m:t>m</m:t>
            </m:r>
            <m:r>
              <m:t>a</m:t>
            </m:r>
            <m:r>
              <m:t>x</m:t>
            </m:r>
          </m:sub>
        </m:sSub>
      </m:oMath>
      <w:r>
        <w:t xml:space="preserve"> </w:t>
      </w:r>
      <w:r>
        <w:t xml:space="preserve">was 10.9</w:t>
      </w:r>
      <m:oMath>
        <m:r>
          <m:rPr>
            <m:sty m:val="p"/>
          </m:rPr>
          <m:t>±</m:t>
        </m:r>
      </m:oMath>
      <w:r>
        <w:rPr>
          <w:bCs/>
          <w:b/>
        </w:rPr>
        <w:t xml:space="preserve">##</w:t>
      </w:r>
      <w:r>
        <w:t xml:space="preserve">°C prior to the study period (range:</w:t>
      </w:r>
      <w:r>
        <w:t xml:space="preserve"> </w:t>
      </w:r>
      <w:r>
        <w:rPr>
          <w:bCs/>
          <w:b/>
        </w:rPr>
        <w:t xml:space="preserve">##-##</w:t>
      </w:r>
      <w:r>
        <w:t xml:space="preserve">) and 11.2</w:t>
      </w:r>
      <m:oMath>
        <m:r>
          <m:rPr>
            <m:sty m:val="p"/>
          </m:rPr>
          <m:t>±</m:t>
        </m:r>
      </m:oMath>
      <w:r>
        <w:rPr>
          <w:bCs/>
          <w:b/>
        </w:rPr>
        <w:t xml:space="preserve">##</w:t>
      </w:r>
      <w:r>
        <w:t xml:space="preserve">°C (range:</w:t>
      </w:r>
      <w:r>
        <w:t xml:space="preserve"> </w:t>
      </w:r>
      <w:r>
        <w:rPr>
          <w:bCs/>
          <w:b/>
        </w:rPr>
        <w:t xml:space="preserve">##-##</w:t>
      </w:r>
      <w:r>
        <w:t xml:space="preserve">) during the study period, while summer SPEI was 0.13</w:t>
      </w:r>
      <m:oMath>
        <m:r>
          <m:rPr>
            <m:sty m:val="p"/>
          </m:rPr>
          <m:t>±</m:t>
        </m:r>
      </m:oMath>
      <w:r>
        <w:rPr>
          <w:bCs/>
          <w:b/>
        </w:rPr>
        <w:t xml:space="preserve">##</w:t>
      </w:r>
      <w:r>
        <w:t xml:space="preserve"> </w:t>
      </w:r>
      <w:r>
        <w:t xml:space="preserve">(range:</w:t>
      </w:r>
      <w:r>
        <w:t xml:space="preserve"> </w:t>
      </w:r>
      <w:r>
        <w:rPr>
          <w:bCs/>
          <w:b/>
        </w:rPr>
        <w:t xml:space="preserve">##-##</w:t>
      </w:r>
      <w:r>
        <w:t xml:space="preserve">) prior to the study period and 0.20</w:t>
      </w:r>
      <m:oMath>
        <m:r>
          <m:rPr>
            <m:sty m:val="p"/>
          </m:rPr>
          <m:t>±</m:t>
        </m:r>
      </m:oMath>
      <w:r>
        <w:rPr>
          <w:bCs/>
          <w:b/>
        </w:rPr>
        <w:t xml:space="preserve">##</w:t>
      </w:r>
      <w:r>
        <w:t xml:space="preserve"> </w:t>
      </w:r>
      <w:r>
        <w:t xml:space="preserve">(range:</w:t>
      </w:r>
      <w:r>
        <w:t xml:space="preserve"> </w:t>
      </w:r>
      <w:r>
        <w:rPr>
          <w:bCs/>
          <w:b/>
        </w:rPr>
        <w:t xml:space="preserve">##-##</w:t>
      </w:r>
      <w:r>
        <w:t xml:space="preserve">) during.</w:t>
      </w:r>
      <w:r>
        <w:t xml:space="preserve"> </w:t>
      </w:r>
      <w:r>
        <w:t xml:space="preserve">The summer of 1999 was abnormally dry, with precipitation of only 52 mm mo</w:t>
      </w:r>
      <w:r>
        <w:rPr>
          <w:vertAlign w:val="superscript"/>
        </w:rPr>
        <w:t xml:space="preserve">-1</w:t>
      </w:r>
      <w:r>
        <w:t xml:space="preserve"> </w:t>
      </w:r>
      <w:r>
        <w:t xml:space="preserve">in June-August compared to average monthly precipitation of 100+ mm</w:t>
      </w:r>
      <w:r>
        <w:rPr>
          <w:vertAlign w:val="superscript"/>
        </w:rPr>
        <w:t xml:space="preserve">39</w:t>
      </w:r>
      <w:r>
        <w:t xml:space="preserve">.</w:t>
      </w:r>
      <w:r>
        <w:t xml:space="preserve"> </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At Harvard Forest, all measurements from 1998 were dropped because of a late start date (May 26).</w:t>
      </w:r>
      <w:r>
        <w:t xml:space="preserve"> </w:t>
      </w:r>
      <w:r>
        <w:t xml:space="preserve">Among the remaining years,the median start date was April 21 and median end date of October 27.</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screened before analysis to remove records or entire tree-years that were either unreliable or inappropriate for our analysis.</w:t>
      </w:r>
      <w:r>
        <w:t xml:space="preserve"> </w:t>
      </w:r>
      <w:r>
        <w:t xml:space="preserve">First, we manually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0.005</m:t>
        </m:r>
      </m:oMath>
      <w:r>
        <w:t xml:space="preserve"> </w:t>
      </w:r>
      <w:r>
        <w:t xml:space="preserve">cm; SCBI = 26, Harvard Forest = 253), and tree-years where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38</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38</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38,59</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 that passed the initial screening (described above).</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t xml:space="preserve"> </w:t>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60</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61</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62</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63,64</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r>
        <w:t xml:space="preserve"> </w:t>
      </w:r>
      <w:r>
        <w:t xml:space="preserve">Standardized Precipitation Evapotranspiration Index (SPEI)</w:t>
      </w:r>
      <w:r>
        <w:rPr>
          <w:vertAlign w:val="superscript"/>
        </w:rPr>
        <w:t xml:space="preserve">58</w:t>
      </w:r>
      <w:r>
        <w:t xml:space="preserve"> </w:t>
      </w:r>
      <w:r>
        <w:t xml:space="preserve">values were obtained from the ForestGEO Climate Data Portal v1.0 (</w:t>
      </w:r>
      <w:hyperlink r:id="rId27">
        <w:r>
          <w:rPr>
            <w:rStyle w:val="Hyperlink"/>
          </w:rPr>
          <w:t xml:space="preserve">https://forestgeo.github.io/Climate/</w:t>
        </w:r>
      </w:hyperlink>
      <w:r>
        <w:t xml:space="preserve">)</w:t>
      </w:r>
      <w:r>
        <w:rPr>
          <w:vertAlign w:val="superscript"/>
        </w:rPr>
        <w:t xml:space="preserve">61,65,66</w:t>
      </w:r>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67</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CTW</w:t>
      </w:r>
      <w:r>
        <w:t xml:space="preserve"> </w:t>
      </w:r>
      <m:oMath>
        <m:sSub>
          <m:e>
            <m:r>
              <m:t>T</m:t>
            </m:r>
          </m:e>
          <m:sub>
            <m:r>
              <m:t>m</m:t>
            </m:r>
            <m:r>
              <m:t>a</m:t>
            </m:r>
            <m:r>
              <m:t>x</m:t>
            </m:r>
          </m:sub>
        </m:sSub>
      </m:oMath>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68,69</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SPEI indeces.</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70</w:t>
      </w:r>
      <w:r>
        <w:t xml:space="preserve">.</w:t>
      </w:r>
    </w:p>
    <w:p>
      <w:pPr>
        <w:pStyle w:val="BodyText"/>
      </w:pPr>
      <w:r>
        <w:t xml:space="preserve">Dominant tree species were cored at both SCBI</w:t>
      </w:r>
      <w:r>
        <w:rPr>
          <w:vertAlign w:val="superscript"/>
        </w:rPr>
        <w:t xml:space="preserve">37,55</w:t>
      </w:r>
      <w:r>
        <w:t xml:space="preserve"> </w:t>
      </w:r>
      <w:r>
        <w:t xml:space="preserve">and Harvard Forest</w:t>
      </w:r>
      <w:r>
        <w:rPr>
          <w:vertAlign w:val="superscript"/>
        </w:rPr>
        <w:t xml:space="preserve">4,71,72</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36,73</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74</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74,75</w:t>
      </w:r>
      <w:r>
        <w:t xml:space="preserve">.</w:t>
      </w:r>
      <w:r>
        <w:t xml:space="preserve"> </w:t>
      </w:r>
      <w:r>
        <w:t xml:space="preserve">An adaptive power transformation, a process that also stabilises the variance over time</w:t>
      </w:r>
      <w:r>
        <w:rPr>
          <w:vertAlign w:val="superscript"/>
        </w:rPr>
        <w:t xml:space="preserve">76</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77</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75</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78</w:t>
      </w:r>
      <w:r>
        <w:t xml:space="preserve"> </w:t>
      </w:r>
      <w:r>
        <w:t xml:space="preserve">Correlations between monthly climate and RWI were assessed in R</w:t>
      </w:r>
      <w:r>
        <w:t xml:space="preserve"> </w:t>
      </w:r>
      <w:r>
        <w:rPr>
          <w:bCs/>
          <w:b/>
        </w:rPr>
        <w:t xml:space="preserve">v 4.0</w:t>
      </w:r>
      <w:r>
        <w:rPr>
          <w:vertAlign w:val="superscript"/>
        </w:rPr>
        <w:t xml:space="preserve">79</w:t>
      </w:r>
      <w:r>
        <w:t xml:space="preserve"> </w:t>
      </w:r>
      <w:r>
        <w:t xml:space="preserve">using the packages</w:t>
      </w:r>
      <w:r>
        <w:t xml:space="preserve"> </w:t>
      </w:r>
      <w:r>
        <w:rPr>
          <w:iCs/>
          <w:i/>
        </w:rPr>
        <w:t xml:space="preserve">dplR</w:t>
      </w:r>
      <w:r>
        <w:rPr>
          <w:vertAlign w:val="superscript"/>
        </w:rPr>
        <w:t xml:space="preserve">80</w:t>
      </w:r>
      <w:r>
        <w:t xml:space="preserve"> </w:t>
      </w:r>
      <w:r>
        <w:t xml:space="preserve"> </w:t>
      </w:r>
      <w:r>
        <w:t xml:space="preserve">and</w:t>
      </w:r>
      <w:r>
        <w:t xml:space="preserve"> </w:t>
      </w:r>
      <w:r>
        <w:rPr>
          <w:iCs/>
          <w:i/>
        </w:rPr>
        <w:t xml:space="preserve">bootRes</w:t>
      </w:r>
      <w:r>
        <w:rPr>
          <w:vertAlign w:val="superscript"/>
        </w:rPr>
        <w:t xml:space="preserve">81</w:t>
      </w:r>
      <w:r>
        <w:t xml:space="preserve"> </w:t>
      </w:r>
      <w:r>
        <w:t xml:space="preserve">to assess correlations, provide bootstrapped confidence intervals for these relationships, and create summary figures (Fig. 3, Extended Data Figures 6-7) following the methods of Ref.</w:t>
      </w:r>
      <w:r>
        <w:rPr>
          <w:vertAlign w:val="superscript"/>
        </w:rPr>
        <w:t xml:space="preserve">82</w:t>
      </w:r>
      <w:r>
        <w:t xml:space="preserve">.</w:t>
      </w:r>
      <w:r>
        <w:t xml:space="preserve"> </w:t>
      </w:r>
      <w:r>
        <w:t xml:space="preserve">Our analysis focused on assessing correlations of RWI to months spanning from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members of the ForestGEO Ecosystems &amp; Climate Lab at SCBI, and four anonymous reviewers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39" w:name="References"/>
    <w:p>
      <w:pPr>
        <w:pStyle w:val="Heading1"/>
      </w:pPr>
      <w:r>
        <w:t xml:space="preserve">References</w:t>
      </w:r>
    </w:p>
    <w:bookmarkStart w:id="138"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european_2006"/>
    <w:p>
      <w:pPr>
        <w:pStyle w:val="Bibliography"/>
      </w:pPr>
      <w:r>
        <w:t xml:space="preserve">7.</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5"/>
    <w:bookmarkStart w:id="56"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6"/>
    <w:bookmarkStart w:id="57"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7"/>
    <w:bookmarkStart w:id="58"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8"/>
    <w:bookmarkStart w:id="59" w:name="ref-zhou_explaining_2016"/>
    <w:p>
      <w:pPr>
        <w:pStyle w:val="Bibliography"/>
      </w:pPr>
      <w:r>
        <w:t xml:space="preserve">11.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9"/>
    <w:bookmarkStart w:id="60"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0"/>
    <w:bookmarkStart w:id="61" w:name="ref-savage_coordination_2021"/>
    <w:p>
      <w:pPr>
        <w:pStyle w:val="Bibliography"/>
      </w:pPr>
      <w:r>
        <w:t xml:space="preserve">13.</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1"/>
    <w:bookmarkStart w:id="62" w:name="ref-delpierre_temperate_2016"/>
    <w:p>
      <w:pPr>
        <w:pStyle w:val="Bibliography"/>
      </w:pPr>
      <w:r>
        <w:t xml:space="preserve">14.</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2"/>
    <w:bookmarkStart w:id="63"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3"/>
    <w:bookmarkStart w:id="64"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 times and decay rates of downed woody debris biomass/carbon in eastern</w:t>
      </w:r>
      <w:r>
        <w:t xml:space="preserve"> </w:t>
      </w:r>
      <w:r>
        <w:t xml:space="preserve">US</w:t>
      </w:r>
      <w:r>
        <w:t xml:space="preserve"> </w:t>
      </w:r>
      <w:r>
        <w:t xml:space="preserve">forests.</w:t>
      </w:r>
      <w:r>
        <w:t xml:space="preserve"> </w:t>
      </w:r>
      <w:r>
        <w:rPr>
          <w:iCs/>
          <w:i/>
        </w:rPr>
        <w:t xml:space="preserve">Ecosystems</w:t>
      </w:r>
      <w:r>
        <w:t xml:space="preserve"> </w:t>
      </w:r>
      <w:r>
        <w:rPr>
          <w:bCs/>
          <w:b/>
        </w:rPr>
        <w:t xml:space="preserve">17</w:t>
      </w:r>
      <w:r>
        <w:t xml:space="preserve">, 765–777 (2014).</w:t>
      </w:r>
    </w:p>
    <w:bookmarkEnd w:id="64"/>
    <w:bookmarkStart w:id="65"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w:t>
      </w:r>
      <w:r>
        <w:t xml:space="preserve"> </w:t>
      </w:r>
      <w:r>
        <w:rPr>
          <w:iCs/>
          <w:i/>
        </w:rPr>
        <w:t xml:space="preserve">Science</w:t>
      </w:r>
      <w:r>
        <w:t xml:space="preserve"> </w:t>
      </w:r>
      <w:r>
        <w:rPr>
          <w:bCs/>
          <w:b/>
        </w:rPr>
        <w:t xml:space="preserve">370</w:t>
      </w:r>
      <w:r>
        <w:t xml:space="preserve">, 1066–1071 (2020).</w:t>
      </w:r>
    </w:p>
    <w:bookmarkEnd w:id="65"/>
    <w:bookmarkStart w:id="66"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6"/>
    <w:bookmarkStart w:id="68" w:name="ref-harris_global_2021"/>
    <w:p>
      <w:pPr>
        <w:pStyle w:val="Bibliography"/>
      </w:pPr>
      <w:r>
        <w:t xml:space="preserve">19.</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7">
        <w:r>
          <w:rPr>
            <w:rStyle w:val="Hyperlink"/>
          </w:rPr>
          <w:t xml:space="preserve">10.1038/s41558-020-00976-6</w:t>
        </w:r>
      </w:hyperlink>
      <w:r>
        <w:t xml:space="preserve">.</w:t>
      </w:r>
    </w:p>
    <w:bookmarkEnd w:id="68"/>
    <w:bookmarkStart w:id="69" w:name="ref-pugh_role_2019"/>
    <w:p>
      <w:pPr>
        <w:pStyle w:val="Bibliography"/>
      </w:pPr>
      <w:r>
        <w:t xml:space="preserve">20.</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9"/>
    <w:bookmarkStart w:id="70" w:name="ref-arora_carbon_2020"/>
    <w:p>
      <w:pPr>
        <w:pStyle w:val="Bibliography"/>
      </w:pPr>
      <w:r>
        <w:t xml:space="preserve">21.</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0"/>
    <w:bookmarkStart w:id="71" w:name="ref-friedlingstein_global_2020"/>
    <w:p>
      <w:pPr>
        <w:pStyle w:val="Bibliography"/>
      </w:pPr>
      <w:r>
        <w:t xml:space="preserve">22.</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1"/>
    <w:bookmarkStart w:id="72" w:name="ref-fatichi_moving_2014"/>
    <w:p>
      <w:pPr>
        <w:pStyle w:val="Bibliography"/>
      </w:pPr>
      <w:r>
        <w:t xml:space="preserve">23.</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2"/>
    <w:bookmarkStart w:id="73" w:name="ref-lu_no_2022"/>
    <w:p>
      <w:pPr>
        <w:pStyle w:val="Bibliography"/>
      </w:pPr>
      <w:r>
        <w:t xml:space="preserve">24.</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3"/>
    <w:bookmarkStart w:id="74" w:name="ref-delpierre_wood_2016"/>
    <w:p>
      <w:pPr>
        <w:pStyle w:val="Bibliography"/>
      </w:pPr>
      <w:r>
        <w:t xml:space="preserve">25.</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4"/>
    <w:bookmarkStart w:id="75" w:name="ref-huang_photoperiod_2020"/>
    <w:p>
      <w:pPr>
        <w:pStyle w:val="Bibliography"/>
      </w:pPr>
      <w:r>
        <w:t xml:space="preserve">26.</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5"/>
    <w:bookmarkStart w:id="76" w:name="ref-rossi_critical_2008"/>
    <w:p>
      <w:pPr>
        <w:pStyle w:val="Bibliography"/>
      </w:pPr>
      <w:r>
        <w:t xml:space="preserve">27.</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6"/>
    <w:bookmarkStart w:id="77" w:name="ref-cook_predicting_1991"/>
    <w:p>
      <w:pPr>
        <w:pStyle w:val="Bibliography"/>
      </w:pPr>
      <w:r>
        <w:t xml:space="preserve">28.</w:t>
      </w:r>
      <w:r>
        <w:t xml:space="preserve"> </w:t>
      </w:r>
      <w:r>
        <w:t xml:space="preserve">	</w:t>
      </w:r>
      <w:r>
        <w:t xml:space="preserve">Cook, E. R. &amp; Cole, J. On predicting the response of forests in eastern</w:t>
      </w:r>
      <w:r>
        <w:t xml:space="preserve"> </w:t>
      </w:r>
      <w:r>
        <w:t xml:space="preserve">North America</w:t>
      </w:r>
      <w:r>
        <w:t xml:space="preserve"> </w:t>
      </w:r>
      <w:r>
        <w:t xml:space="preserve">to future climatic change.</w:t>
      </w:r>
      <w:r>
        <w:t xml:space="preserve"> </w:t>
      </w:r>
      <w:r>
        <w:rPr>
          <w:iCs/>
          <w:i/>
        </w:rPr>
        <w:t xml:space="preserve">Climatic Change</w:t>
      </w:r>
      <w:r>
        <w:t xml:space="preserve"> </w:t>
      </w:r>
      <w:r>
        <w:rPr>
          <w:bCs/>
          <w:b/>
        </w:rPr>
        <w:t xml:space="preserve">19</w:t>
      </w:r>
      <w:r>
        <w:t xml:space="preserve">, 271–282 (1991).</w:t>
      </w:r>
    </w:p>
    <w:bookmarkEnd w:id="77"/>
    <w:bookmarkStart w:id="78" w:name="ref-babst_twentieth_2019"/>
    <w:p>
      <w:pPr>
        <w:pStyle w:val="Bibliography"/>
      </w:pPr>
      <w:r>
        <w:t xml:space="preserve">29.</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8"/>
    <w:bookmarkStart w:id="79" w:name="ref-anderson-teixeira_joint_2022"/>
    <w:p>
      <w:pPr>
        <w:pStyle w:val="Bibliography"/>
      </w:pPr>
      <w:r>
        <w:t xml:space="preserve">30.</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28</w:t>
      </w:r>
      <w:r>
        <w:t xml:space="preserve">, 245–266 (2022).</w:t>
      </w:r>
    </w:p>
    <w:bookmarkEnd w:id="79"/>
    <w:bookmarkStart w:id="81" w:name="ref-gao_earlier_2022"/>
    <w:p>
      <w:pPr>
        <w:pStyle w:val="Bibliography"/>
      </w:pPr>
      <w:r>
        <w:t xml:space="preserve">31.</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0">
        <w:r>
          <w:rPr>
            <w:rStyle w:val="Hyperlink"/>
          </w:rPr>
          <w:t xml:space="preserve">10.1038/s41559-022-01668-4</w:t>
        </w:r>
      </w:hyperlink>
      <w:r>
        <w:t xml:space="preserve">.</w:t>
      </w:r>
    </w:p>
    <w:bookmarkEnd w:id="81"/>
    <w:bookmarkStart w:id="82" w:name="ref-zweifel_why_2021"/>
    <w:p>
      <w:pPr>
        <w:pStyle w:val="Bibliography"/>
      </w:pPr>
      <w:r>
        <w:t xml:space="preserve">32.</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2"/>
    <w:bookmarkStart w:id="83" w:name="ref-tumajer_limitation_2022"/>
    <w:p>
      <w:pPr>
        <w:pStyle w:val="Bibliography"/>
      </w:pPr>
      <w:r>
        <w:t xml:space="preserve">33.</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233</w:t>
      </w:r>
      <w:r>
        <w:t xml:space="preserve">, 2429–2441 (2022).</w:t>
      </w:r>
    </w:p>
    <w:bookmarkEnd w:id="83"/>
    <w:bookmarkStart w:id="84" w:name="ref-etzold_number_2022"/>
    <w:p>
      <w:pPr>
        <w:pStyle w:val="Bibliography"/>
      </w:pPr>
      <w:r>
        <w:t xml:space="preserve">34.</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 (2022).</w:t>
      </w:r>
    </w:p>
    <w:bookmarkEnd w:id="84"/>
    <w:bookmarkStart w:id="85" w:name="ref-zohner_how_2021"/>
    <w:p>
      <w:pPr>
        <w:pStyle w:val="Bibliography"/>
      </w:pPr>
      <w:r>
        <w:t xml:space="preserve">35.</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5"/>
    <w:bookmarkStart w:id="86" w:name="ref-dorangeville_drought_2018"/>
    <w:p>
      <w:pPr>
        <w:pStyle w:val="Bibliography"/>
      </w:pPr>
      <w:r>
        <w:t xml:space="preserve">36.</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6"/>
    <w:bookmarkStart w:id="87" w:name="ref-helcoski_growing_2019"/>
    <w:p>
      <w:pPr>
        <w:pStyle w:val="Bibliography"/>
      </w:pPr>
      <w:r>
        <w:t xml:space="preserve">37.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7"/>
    <w:bookmarkStart w:id="88" w:name="ref-mcmahon_general_2015"/>
    <w:p>
      <w:pPr>
        <w:pStyle w:val="Bibliography"/>
      </w:pPr>
      <w:r>
        <w:t xml:space="preserve">38.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8"/>
    <w:bookmarkStart w:id="89" w:name="ref-dorangeville_peak_2022"/>
    <w:p>
      <w:pPr>
        <w:pStyle w:val="Bibliography"/>
      </w:pPr>
      <w:r>
        <w:t xml:space="preserve">39.</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rPr>
          <w:bCs/>
          <w:b/>
        </w:rPr>
        <w:t xml:space="preserve">42</w:t>
      </w:r>
      <w:r>
        <w:t xml:space="preserve">, 304–316 (2022).</w:t>
      </w:r>
    </w:p>
    <w:bookmarkEnd w:id="89"/>
    <w:bookmarkStart w:id="90" w:name="ref-richardson_seasonal_2013"/>
    <w:p>
      <w:pPr>
        <w:pStyle w:val="Bibliography"/>
      </w:pPr>
      <w:r>
        <w:t xml:space="preserve">40.</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90"/>
    <w:bookmarkStart w:id="91" w:name="ref-keenan_timing_2015"/>
    <w:p>
      <w:pPr>
        <w:pStyle w:val="Bibliography"/>
      </w:pPr>
      <w:r>
        <w:t xml:space="preserve">41.</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1"/>
    <w:bookmarkStart w:id="92" w:name="ref-jiang_fate_2020"/>
    <w:p>
      <w:pPr>
        <w:pStyle w:val="Bibliography"/>
      </w:pPr>
      <w:r>
        <w:t xml:space="preserve">42.</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92"/>
    <w:bookmarkStart w:id="93" w:name="ref-cuny_woody_2015"/>
    <w:p>
      <w:pPr>
        <w:pStyle w:val="Bibliography"/>
      </w:pPr>
      <w:r>
        <w:t xml:space="preserve">43.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3"/>
    <w:bookmarkStart w:id="94" w:name="ref-tardif_influence_2006"/>
    <w:p>
      <w:pPr>
        <w:pStyle w:val="Bibliography"/>
      </w:pPr>
      <w:r>
        <w:t xml:space="preserve">44.</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4"/>
    <w:bookmarkStart w:id="95" w:name="ref-roibu_climatic_2020"/>
    <w:p>
      <w:pPr>
        <w:pStyle w:val="Bibliography"/>
      </w:pPr>
      <w:r>
        <w:t xml:space="preserve">45.</w:t>
      </w:r>
      <w:r>
        <w:t xml:space="preserve"> </w:t>
      </w:r>
      <w:r>
        <w:t xml:space="preserve">	</w:t>
      </w:r>
      <w:r>
        <w:t xml:space="preserve">Roibu, C.-C.</w:t>
      </w:r>
      <w:r>
        <w:t xml:space="preserve"> </w:t>
      </w:r>
      <w:r>
        <w:rPr>
          <w:iCs/>
          <w:i/>
        </w:rPr>
        <w:t xml:space="preserve">et al.</w:t>
      </w:r>
      <w:r>
        <w:t xml:space="preserve"> The climatic response of tree ring width components of ash (</w:t>
      </w:r>
      <w:r>
        <w:t xml:space="preserve">Fraxinus</w:t>
      </w:r>
      <w:r>
        <w:t xml:space="preserve"> </w:t>
      </w:r>
      <w:r>
        <w:t xml:space="preserve">excelsior</w:t>
      </w:r>
      <w:r>
        <w:t xml:space="preserve"> </w:t>
      </w:r>
      <w:r>
        <w:t xml:space="preserve">L</w:t>
      </w:r>
      <w:r>
        <w:t xml:space="preserve">.) And common oak (</w:t>
      </w:r>
      <w:r>
        <w:t xml:space="preserve">Quercus</w:t>
      </w:r>
      <w:r>
        <w:t xml:space="preserve"> </w:t>
      </w:r>
      <w:r>
        <w:t xml:space="preserve">robur</w:t>
      </w:r>
      <w:r>
        <w:t xml:space="preserve"> </w:t>
      </w:r>
      <w:r>
        <w:t xml:space="preserve">L</w:t>
      </w:r>
      <w:r>
        <w:t xml:space="preserve">.) From eastern</w:t>
      </w:r>
      <w:r>
        <w:t xml:space="preserve"> </w:t>
      </w:r>
      <w:r>
        <w:t xml:space="preserve">Europe</w:t>
      </w:r>
      <w:r>
        <w:t xml:space="preserve">.</w:t>
      </w:r>
      <w:r>
        <w:t xml:space="preserve"> </w:t>
      </w:r>
      <w:r>
        <w:rPr>
          <w:iCs/>
          <w:i/>
        </w:rPr>
        <w:t xml:space="preserve">Forests</w:t>
      </w:r>
      <w:r>
        <w:t xml:space="preserve"> </w:t>
      </w:r>
      <w:r>
        <w:rPr>
          <w:bCs/>
          <w:b/>
        </w:rPr>
        <w:t xml:space="preserve">11</w:t>
      </w:r>
      <w:r>
        <w:t xml:space="preserve">, 600 (2020).</w:t>
      </w:r>
    </w:p>
    <w:bookmarkEnd w:id="95"/>
    <w:bookmarkStart w:id="96" w:name="ref-kern_multiple_2013"/>
    <w:p>
      <w:pPr>
        <w:pStyle w:val="Bibliography"/>
      </w:pPr>
      <w:r>
        <w:t xml:space="preserve">46.</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6"/>
    <w:bookmarkStart w:id="97" w:name="ref-oishi_warmer_2018"/>
    <w:p>
      <w:pPr>
        <w:pStyle w:val="Bibliography"/>
      </w:pPr>
      <w:r>
        <w:t xml:space="preserve">47.</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97"/>
    <w:bookmarkStart w:id="98" w:name="ref-trumbore_quantifying_2002"/>
    <w:p>
      <w:pPr>
        <w:pStyle w:val="Bibliography"/>
      </w:pPr>
      <w:r>
        <w:t xml:space="preserve">48.</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8"/>
    <w:bookmarkStart w:id="99" w:name="ref-banburymorgan_global_2021"/>
    <w:p>
      <w:pPr>
        <w:pStyle w:val="Bibliography"/>
      </w:pPr>
      <w:r>
        <w:t xml:space="preserve">49.</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 (2021).</w:t>
      </w:r>
    </w:p>
    <w:bookmarkEnd w:id="99"/>
    <w:bookmarkStart w:id="100" w:name="ref-churkina_spatial_2005"/>
    <w:p>
      <w:pPr>
        <w:pStyle w:val="Bibliography"/>
      </w:pPr>
      <w:r>
        <w:t xml:space="preserve">50.</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0"/>
    <w:bookmarkStart w:id="101" w:name="ref-liu_phenological_2022"/>
    <w:p>
      <w:pPr>
        <w:pStyle w:val="Bibliography"/>
      </w:pPr>
      <w:r>
        <w:t xml:space="preserve">51.</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1"/>
    <w:bookmarkStart w:id="102" w:name="ref-novick_increasing_2016"/>
    <w:p>
      <w:pPr>
        <w:pStyle w:val="Bibliography"/>
      </w:pPr>
      <w:r>
        <w:t xml:space="preserve">52.</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2"/>
    <w:bookmarkStart w:id="103" w:name="ref-zhang_drought_2021"/>
    <w:p>
      <w:pPr>
        <w:pStyle w:val="Bibliography"/>
      </w:pPr>
      <w:r>
        <w:t xml:space="preserve">53.</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3"/>
    <w:bookmarkStart w:id="104" w:name="ref-lian_summer_2022"/>
    <w:p>
      <w:pPr>
        <w:pStyle w:val="Bibliography"/>
      </w:pPr>
      <w:r>
        <w:t xml:space="preserve">54.</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4"/>
    <w:bookmarkStart w:id="105" w:name="ref-bourg_initial_2013"/>
    <w:p>
      <w:pPr>
        <w:pStyle w:val="Bibliography"/>
      </w:pPr>
      <w:r>
        <w:t xml:space="preserve">55.</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5"/>
    <w:bookmarkStart w:id="106" w:name="ref-anderson-teixeira_ctfsforestgeo_2015"/>
    <w:p>
      <w:pPr>
        <w:pStyle w:val="Bibliography"/>
      </w:pPr>
      <w:r>
        <w:t xml:space="preserve">56.</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6"/>
    <w:bookmarkStart w:id="107" w:name="ref-davies_forestgeo_2021"/>
    <w:p>
      <w:pPr>
        <w:pStyle w:val="Bibliography"/>
      </w:pPr>
      <w:r>
        <w:t xml:space="preserve">57.</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7"/>
    <w:bookmarkStart w:id="108" w:name="ref-vicente-serrano_multiscalar_2010"/>
    <w:p>
      <w:pPr>
        <w:pStyle w:val="Bibliography"/>
      </w:pPr>
      <w:r>
        <w:t xml:space="preserve">58.</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08"/>
    <w:bookmarkStart w:id="109" w:name="ref-herrmann_tree_2016"/>
    <w:p>
      <w:pPr>
        <w:pStyle w:val="Bibliography"/>
      </w:pPr>
      <w:r>
        <w:t xml:space="preserve">59.</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09"/>
    <w:bookmarkStart w:id="111" w:name="ref-friedl_mcd12q2_2019"/>
    <w:p>
      <w:pPr>
        <w:pStyle w:val="Bibliography"/>
      </w:pPr>
      <w:r>
        <w:t xml:space="preserve">60.</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0">
        <w:r>
          <w:rPr>
            <w:rStyle w:val="Hyperlink"/>
          </w:rPr>
          <w:t xml:space="preserve">10.5067/MODIS/MCD12Q2.006</w:t>
        </w:r>
      </w:hyperlink>
      <w:r>
        <w:t xml:space="preserve">.</w:t>
      </w:r>
    </w:p>
    <w:bookmarkEnd w:id="111"/>
    <w:bookmarkStart w:id="113" w:name="ref-anderson-teixeira_forestgeo_2020"/>
    <w:p>
      <w:pPr>
        <w:pStyle w:val="Bibliography"/>
      </w:pPr>
      <w:r>
        <w:t xml:space="preserve">61.</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2">
        <w:r>
          <w:rPr>
            <w:rStyle w:val="Hyperlink"/>
          </w:rPr>
          <w:t xml:space="preserve">10.5281/ZENODO.4041609</w:t>
        </w:r>
      </w:hyperlink>
      <w:r>
        <w:t xml:space="preserve">.</w:t>
      </w:r>
    </w:p>
    <w:bookmarkEnd w:id="113"/>
    <w:bookmarkStart w:id="114" w:name="ref-benestad_empiricalstatistical_2008"/>
    <w:p>
      <w:pPr>
        <w:pStyle w:val="Bibliography"/>
      </w:pPr>
      <w:r>
        <w:t xml:space="preserve">62.</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4"/>
    <w:bookmarkStart w:id="116" w:name="ref-boose_shaler_2021"/>
    <w:p>
      <w:pPr>
        <w:pStyle w:val="Bibliography"/>
      </w:pPr>
      <w:r>
        <w:t xml:space="preserve">63.</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5">
        <w:r>
          <w:rPr>
            <w:rStyle w:val="Hyperlink"/>
          </w:rPr>
          <w:t xml:space="preserve">10.6073/PASTA/213335F5DAA17222A738C105B9FA60C4</w:t>
        </w:r>
      </w:hyperlink>
      <w:r>
        <w:t xml:space="preserve">.</w:t>
      </w:r>
    </w:p>
    <w:bookmarkEnd w:id="116"/>
    <w:bookmarkStart w:id="118" w:name="ref-boose_fisher_2021"/>
    <w:p>
      <w:pPr>
        <w:pStyle w:val="Bibliography"/>
      </w:pPr>
      <w:r>
        <w:t xml:space="preserve">64.</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7">
        <w:r>
          <w:rPr>
            <w:rStyle w:val="Hyperlink"/>
          </w:rPr>
          <w:t xml:space="preserve">10.6073/PASTA/69E92642B512897032446CFE795CFFB8</w:t>
        </w:r>
      </w:hyperlink>
      <w:r>
        <w:t xml:space="preserve">.</w:t>
      </w:r>
    </w:p>
    <w:bookmarkEnd w:id="118"/>
    <w:bookmarkStart w:id="119" w:name="ref-begueria_standardized_2014"/>
    <w:p>
      <w:pPr>
        <w:pStyle w:val="Bibliography"/>
      </w:pPr>
      <w:r>
        <w:t xml:space="preserve">65.</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19"/>
    <w:bookmarkStart w:id="120" w:name="ref-vicente-serrano_multiscalar_2010a"/>
    <w:p>
      <w:pPr>
        <w:pStyle w:val="Bibliography"/>
      </w:pPr>
      <w:r>
        <w:t xml:space="preserve">66.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0"/>
    <w:bookmarkStart w:id="121" w:name="ref-vandepol_identifying_2016"/>
    <w:p>
      <w:pPr>
        <w:pStyle w:val="Bibliography"/>
      </w:pPr>
      <w:r>
        <w:t xml:space="preserve">67.</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1"/>
    <w:bookmarkStart w:id="122" w:name="ref-gabry_rstanarm_2020"/>
    <w:p>
      <w:pPr>
        <w:pStyle w:val="Bibliography"/>
      </w:pPr>
      <w:r>
        <w:t xml:space="preserve">68.</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2"/>
    <w:bookmarkStart w:id="123" w:name="ref-standevelopmentteam_stan_2019"/>
    <w:p>
      <w:pPr>
        <w:pStyle w:val="Bibliography"/>
      </w:pPr>
      <w:r>
        <w:t xml:space="preserve">69.</w:t>
      </w:r>
      <w:r>
        <w:t xml:space="preserve"> </w:t>
      </w:r>
      <w:r>
        <w:t xml:space="preserve">	</w:t>
      </w:r>
      <w:r>
        <w:t xml:space="preserve">Stan Development 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3"/>
    <w:bookmarkStart w:id="124" w:name="ref-stokes_introduction_1968"/>
    <w:p>
      <w:pPr>
        <w:pStyle w:val="Bibliography"/>
      </w:pPr>
      <w:r>
        <w:t xml:space="preserve">70.</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4"/>
    <w:bookmarkStart w:id="125" w:name="ref-alexander_potential_2019"/>
    <w:p>
      <w:pPr>
        <w:pStyle w:val="Bibliography"/>
      </w:pPr>
      <w:r>
        <w:t xml:space="preserve">71.</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5"/>
    <w:bookmarkStart w:id="126" w:name="ref-dye_comparing_2016"/>
    <w:p>
      <w:pPr>
        <w:pStyle w:val="Bibliography"/>
      </w:pPr>
      <w:r>
        <w:t xml:space="preserve">72.</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6"/>
    <w:bookmarkStart w:id="127" w:name="ref-maxwell_sampling_2020"/>
    <w:p>
      <w:pPr>
        <w:pStyle w:val="Bibliography"/>
      </w:pPr>
      <w:r>
        <w:t xml:space="preserve">73.</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7"/>
    <w:bookmarkStart w:id="129" w:name="ref-cook_methods_1990"/>
    <w:p>
      <w:pPr>
        <w:pStyle w:val="Bibliography"/>
      </w:pPr>
      <w:r>
        <w:t xml:space="preserve">74.</w:t>
      </w:r>
      <w:r>
        <w:t xml:space="preserve"> </w:t>
      </w:r>
      <w:r>
        <w:t xml:space="preserve">	</w:t>
      </w:r>
      <w:r>
        <w:t xml:space="preserve">Cook, E. R. &amp; Kairiukstis, L. A.</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28">
        <w:r>
          <w:rPr>
            <w:rStyle w:val="Hyperlink"/>
          </w:rPr>
          <w:t xml:space="preserve">10.1007/978-94-015-7879-0</w:t>
        </w:r>
      </w:hyperlink>
      <w:r>
        <w:t xml:space="preserve">.</w:t>
      </w:r>
    </w:p>
    <w:bookmarkEnd w:id="129"/>
    <w:bookmarkStart w:id="130" w:name="ref-cook_time_1985"/>
    <w:p>
      <w:pPr>
        <w:pStyle w:val="Bibliography"/>
      </w:pPr>
      <w:r>
        <w:t xml:space="preserve">75.</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(University of Arizona, 1985).</w:t>
      </w:r>
    </w:p>
    <w:bookmarkEnd w:id="130"/>
    <w:bookmarkStart w:id="131" w:name="ref-cook_calculating_1997"/>
    <w:p>
      <w:pPr>
        <w:pStyle w:val="Bibliography"/>
      </w:pPr>
      <w:r>
        <w:t xml:space="preserve">76.</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1"/>
    <w:bookmarkStart w:id="132" w:name="ref-jones_estimating_1997"/>
    <w:p>
      <w:pPr>
        <w:pStyle w:val="Bibliography"/>
      </w:pPr>
      <w:r>
        <w:t xml:space="preserve">77.</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2"/>
    <w:bookmarkStart w:id="133" w:name="ref-harris_version_2020"/>
    <w:p>
      <w:pPr>
        <w:pStyle w:val="Bibliography"/>
      </w:pPr>
      <w:r>
        <w:t xml:space="preserve">78.</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33"/>
    <w:bookmarkStart w:id="134" w:name="ref-rcoreteam_language_2020"/>
    <w:p>
      <w:pPr>
        <w:pStyle w:val="Bibliography"/>
      </w:pPr>
      <w:r>
        <w:t xml:space="preserve">79.</w:t>
      </w:r>
      <w:r>
        <w:t xml:space="preserve"> </w:t>
      </w:r>
      <w:r>
        <w:t xml:space="preserve">	</w:t>
      </w:r>
      <w:r>
        <w:t xml:space="preserve">R Core Team.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r>
        <w:t xml:space="preserve"> (2020).</w:t>
      </w:r>
    </w:p>
    <w:bookmarkEnd w:id="134"/>
    <w:bookmarkStart w:id="135" w:name="ref-bunn_dendrochronology_2008"/>
    <w:p>
      <w:pPr>
        <w:pStyle w:val="Bibliography"/>
      </w:pPr>
      <w:r>
        <w:t xml:space="preserve">80.</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5"/>
    <w:bookmarkStart w:id="136" w:name="ref-zang_dendroclimatic_2013"/>
    <w:p>
      <w:pPr>
        <w:pStyle w:val="Bibliography"/>
      </w:pPr>
      <w:r>
        <w:t xml:space="preserve">81.</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6"/>
    <w:bookmarkStart w:id="137" w:name="ref-biondi_dendroclim2002_2004"/>
    <w:p>
      <w:pPr>
        <w:pStyle w:val="Bibliography"/>
      </w:pPr>
      <w:r>
        <w:t xml:space="preserve">82.</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37"/>
    <w:bookmarkEnd w:id="138"/>
    <w:bookmarkEnd w:id="139"/>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8"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0"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110" Target="https://doi.org/10.5067/MODIS/MCD12Q2.006" TargetMode="External" /><Relationship Type="http://schemas.openxmlformats.org/officeDocument/2006/relationships/hyperlink" Id="rId112" Target="https://doi.org/10.5281/ZENODO.4041609" TargetMode="External" /><Relationship Type="http://schemas.openxmlformats.org/officeDocument/2006/relationships/hyperlink" Id="rId115" Target="https://doi.org/10.6073/PASTA/213335F5DAA17222A738C105B9FA60C4" TargetMode="External" /><Relationship Type="http://schemas.openxmlformats.org/officeDocument/2006/relationships/hyperlink" Id="rId11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8"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0"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110" Target="https://doi.org/10.5067/MODIS/MCD12Q2.006" TargetMode="External" /><Relationship Type="http://schemas.openxmlformats.org/officeDocument/2006/relationships/hyperlink" Id="rId112" Target="https://doi.org/10.5281/ZENODO.4041609" TargetMode="External" /><Relationship Type="http://schemas.openxmlformats.org/officeDocument/2006/relationships/hyperlink" Id="rId115" Target="https://doi.org/10.6073/PASTA/213335F5DAA17222A738C105B9FA60C4" TargetMode="External" /><Relationship Type="http://schemas.openxmlformats.org/officeDocument/2006/relationships/hyperlink" Id="rId11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2022-03-21T19:54:47Z</dcterms:created>
  <dcterms:modified xsi:type="dcterms:W3CDTF">2022-03-21T19:54:47Z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