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31–33</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34,35</w:t>
      </w:r>
      <w:r>
        <w:t xml:space="preserve">, and annual growth is more closely linked to conditions within the growing season than to growing season length</w:t>
      </w:r>
      <w:r>
        <w:rPr>
          <w:vertAlign w:val="superscript"/>
        </w:rPr>
        <w:t xml:space="preserve">36</w:t>
      </w:r>
      <w:r>
        <w:t xml:space="preserve">, gross primary productivity</w:t>
      </w:r>
      <w:r>
        <w:rPr>
          <w:vertAlign w:val="superscript"/>
        </w:rPr>
        <w:t xml:space="preserve">27</w:t>
      </w:r>
      <w:r>
        <w:t xml:space="preserve">, or</w:t>
      </w:r>
      <w:r>
        <w:t xml:space="preserve"> </w:t>
      </w:r>
      <w:r>
        <w:rPr>
          <w:iCs/>
          <w:i/>
        </w:rPr>
        <w:t xml:space="preserve">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19,27,37</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evidence that warmer springs may have a modest, but usually insignificant, positive effect on growth</w:t>
      </w:r>
      <w:r>
        <w:rPr>
          <w:vertAlign w:val="superscript"/>
        </w:rPr>
        <w:t xml:space="preserve">33,39</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35,41</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41</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r tree_rings`).</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 peak canopy greenness (Extended Data Figure 2)</w:t>
      </w:r>
      <w:r>
        <w:rPr>
          <w:vertAlign w:val="superscript"/>
        </w:rPr>
        <w:t xml:space="preserve">4,36</w:t>
      </w:r>
      <w:r>
        <w:t xml:space="preserve">, is likely driven by cues other than photosynthate limitation, such as water stress, daylength, or sink limitation</w:t>
      </w:r>
      <w:r>
        <w:rPr>
          <w:vertAlign w:val="superscript"/>
        </w:rPr>
        <w:t xml:space="preserve">16,19,27,34,36,44,45</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3,46</w:t>
      </w:r>
      <w:r>
        <w:t xml:space="preserve">.</w:t>
      </w:r>
      <w:r>
        <w:t xml:space="preserve"> </w:t>
      </w:r>
      <w:r>
        <w:rPr>
          <w:iCs/>
          <w:i/>
        </w:rP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r>
        <w:t xml:space="preserve"> </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27,35,36</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12,47,48</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27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numPr>
          <w:ilvl w:val="0"/>
          <w:numId w:val="1002"/>
        </w:numPr>
        <w:pStyle w:val="Compact"/>
      </w:pPr>
      <w:r>
        <w:t xml:space="preserve">our study provides further evidence of sink limitation to growth</w:t>
      </w:r>
    </w:p>
    <w:p>
      <w:pPr>
        <w:numPr>
          <w:ilvl w:val="0"/>
          <w:numId w:val="1002"/>
        </w:numPr>
        <w:pStyle w:val="Compact"/>
      </w:pPr>
      <w:r>
        <w:t xml:space="preserve">we do not know where the extra C is going. If we look at instances where growth is more strongly limited than GPP, we see that NSCs can build up</w:t>
      </w:r>
      <w:r>
        <w:rPr>
          <w:bCs/>
          <w:b/>
          <w:vertAlign w:val="superscript"/>
        </w:rPr>
        <w:t xml:space="preserve">refs?</w:t>
      </w:r>
      <w:r>
        <w:t xml:space="preserve">, and this build up can feed back to reduce photosynthesis</w:t>
      </w:r>
      <w:r>
        <w:rPr>
          <w:bCs/>
          <w:b/>
          <w:vertAlign w:val="superscript"/>
        </w:rPr>
        <w:t xml:space="preserve">refs?</w:t>
      </w:r>
      <w:r>
        <w:t xml:space="preserve">. We can also look to studies documenting enhanced GPP with no enhancement of growth. In a mature eucalypt forest exposed to elevated CO2, enhanced GPP did not result in higher growth, but rather was released back to the atmosphere on relatively short time scales through enchanced respiration</w:t>
      </w:r>
      <w:r>
        <w:rPr>
          <w:vertAlign w:val="superscript"/>
        </w:rPr>
        <w:t xml:space="preserve">49</w:t>
      </w:r>
      <w:r>
        <w:t xml:space="preserve"> </w:t>
      </w:r>
      <w:r>
        <w:t xml:space="preserve">~~~</w:t>
      </w:r>
    </w:p>
    <w:p>
      <w:pPr>
        <w:pStyle w:val="FirstParagraph"/>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enhanced cell wall thickening, a process that lags behind stem expansion</w:t>
      </w:r>
      <w:r>
        <w:rPr>
          <w:vertAlign w:val="superscript"/>
        </w:rPr>
        <w:t xml:space="preserve">50</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51–53</w:t>
      </w:r>
      <w:r>
        <w:t xml:space="preserve">, which is more strongly controlled by summer drought stress</w:t>
      </w:r>
      <w:r>
        <w:rPr>
          <w:vertAlign w:val="superscript"/>
        </w:rPr>
        <w:t xml:space="preserve">51,52</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54,55</w:t>
      </w:r>
      <w:r>
        <w:t xml:space="preserve">, potentially including an earlier start to growth</w:t>
      </w:r>
      <w:r>
        <w:rPr>
          <w:vertAlign w:val="superscript"/>
        </w:rPr>
        <w:t xml:space="preserve">45</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3,56</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54</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57</w:t>
      </w:r>
      <w:r>
        <w:t xml:space="preserve">.</w:t>
      </w:r>
      <w:r>
        <w:t xml:space="preserve"> </w:t>
      </w:r>
      <w:r>
        <w:t xml:space="preserve">Moreover, acclimation of trees to warming temperatures</w:t>
      </w:r>
      <w:r>
        <w:rPr>
          <w:vertAlign w:val="superscript"/>
        </w:rPr>
        <w:t xml:space="preserve">58</w:t>
      </w:r>
      <w:r>
        <w:t xml:space="preserve"> </w:t>
      </w:r>
      <w:r>
        <w:t xml:space="preserve">and, on longer time scales, species adaptations and shifts in community composition</w:t>
      </w:r>
      <w:r>
        <w:rPr>
          <w:vertAlign w:val="superscript"/>
        </w:rPr>
        <w:t xml:space="preserve">59</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32</w:t>
      </w:r>
      <w:r>
        <w:t xml:space="preserve">, woody productivity</w:t>
      </w:r>
      <w:r>
        <w:rPr>
          <w:vertAlign w:val="superscript"/>
        </w:rPr>
        <w:t xml:space="preserve">60</w:t>
      </w:r>
      <w:r>
        <w:t xml:space="preserve">, and</w:t>
      </w:r>
      <w:r>
        <w:t xml:space="preserve"> </w:t>
      </w:r>
      <w:r>
        <w:rPr>
          <w:iCs/>
          <w:i/>
        </w:rPr>
        <w:t xml:space="preserve">NEE</w:t>
      </w:r>
      <w:r>
        <w:rPr>
          <w:vertAlign w:val="superscript"/>
        </w:rPr>
        <w:t xml:space="preserve">61</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62</w:t>
      </w:r>
      <w:r>
        <w:t xml:space="preserve"> </w:t>
      </w:r>
      <w:r>
        <w:t xml:space="preserve">and Harvard Forest</w:t>
      </w:r>
      <w:r>
        <w:rPr>
          <w:vertAlign w:val="superscript"/>
        </w:rPr>
        <w:t xml:space="preserve">4,41</w:t>
      </w:r>
      <w:r>
        <w:t xml:space="preserve">, both part of the Forest Global Earth Observatory (ForestGEO)</w:t>
      </w:r>
      <w:r>
        <w:rPr>
          <w:vertAlign w:val="superscript"/>
        </w:rPr>
        <w:t xml:space="preserve">63,64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32</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32</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41</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w:t>
      </w:r>
      <w:r>
        <w:rPr>
          <w:bCs/>
          <w:b/>
        </w:rPr>
        <w:t xml:space="preserve">DATE</w:t>
      </w:r>
      <w:r>
        <w:t xml:space="preserve">).</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40,65</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66</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67</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68</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69,70</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71</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72,73</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74</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67,75,76</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77</w:t>
      </w:r>
      <w:r>
        <w:t xml:space="preserve">.</w:t>
      </w:r>
    </w:p>
    <w:p>
      <w:pPr>
        <w:pStyle w:val="BodyText"/>
      </w:pPr>
      <w:r>
        <w:t xml:space="preserve">Dominant tree species were cored at both SCBI</w:t>
      </w:r>
      <w:r>
        <w:rPr>
          <w:vertAlign w:val="superscript"/>
        </w:rPr>
        <w:t xml:space="preserve">39,62</w:t>
      </w:r>
      <w:r>
        <w:t xml:space="preserve"> </w:t>
      </w:r>
      <w:r>
        <w:t xml:space="preserve">and Harvard Forest</w:t>
      </w:r>
      <w:r>
        <w:rPr>
          <w:vertAlign w:val="superscript"/>
        </w:rPr>
        <w:t xml:space="preserve">4,78,79</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38,80</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81</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81,82</w:t>
      </w:r>
      <w:r>
        <w:t xml:space="preserve">.</w:t>
      </w:r>
      <w:r>
        <w:t xml:space="preserve"> </w:t>
      </w:r>
      <w:r>
        <w:t xml:space="preserve">An adaptive power transformation, a process that also stabilises the variance over time</w:t>
      </w:r>
      <w:r>
        <w:rPr>
          <w:vertAlign w:val="superscript"/>
        </w:rPr>
        <w:t xml:space="preserve">83</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84</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82</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85</w:t>
      </w:r>
      <w:r>
        <w:t xml:space="preserve"> </w:t>
      </w:r>
      <w:r>
        <w:t xml:space="preserve">Correlations between monthly climate and RWI were assessed using</w:t>
      </w:r>
      <w:r>
        <w:t xml:space="preserve"> </w:t>
      </w:r>
      <w:r>
        <w:rPr>
          <w:iCs/>
          <w:i/>
        </w:rPr>
        <w:t xml:space="preserve">dplR</w:t>
      </w:r>
      <w:r>
        <w:rPr>
          <w:vertAlign w:val="superscript"/>
        </w:rPr>
        <w:t xml:space="preserve">86</w:t>
      </w:r>
      <w:r>
        <w:t xml:space="preserve"> </w:t>
      </w:r>
      <w:r>
        <w:t xml:space="preserve">and</w:t>
      </w:r>
      <w:r>
        <w:t xml:space="preserve"> </w:t>
      </w:r>
      <w:r>
        <w:rPr>
          <w:iCs/>
          <w:i/>
        </w:rPr>
        <w:t xml:space="preserve">bootRes</w:t>
      </w:r>
      <w:r>
        <w:rPr>
          <w:vertAlign w:val="superscript"/>
        </w:rPr>
        <w:t xml:space="preserve">87</w:t>
      </w:r>
      <w:r>
        <w:t xml:space="preserve"> </w:t>
      </w:r>
      <w:r>
        <w:t xml:space="preserve">in R v 4.0 (R Core Team, 2020), which correlated functions and bootstrapped confidence intervals for these relationships</w:t>
      </w:r>
      <w:r>
        <w:rPr>
          <w:vertAlign w:val="superscript"/>
        </w:rPr>
        <w:t xml:space="preserve">88</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7" w:name="References"/>
    <w:p>
      <w:pPr>
        <w:pStyle w:val="Heading1"/>
      </w:pPr>
      <w:r>
        <w:t xml:space="preserve">References</w:t>
      </w:r>
    </w:p>
    <w:bookmarkStart w:id="146"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babst_twentieth_2019"/>
    <w:p>
      <w:pPr>
        <w:pStyle w:val="Bibliography"/>
      </w:pPr>
      <w:r>
        <w:t xml:space="preserve">31.</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0"/>
    <w:bookmarkStart w:id="81" w:name="ref-anderson-teixeira_joint_2021"/>
    <w:p>
      <w:pPr>
        <w:pStyle w:val="Bibliography"/>
      </w:pPr>
      <w:r>
        <w:t xml:space="preserve">32.</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3" w:name="ref-gao_earlier_2022"/>
    <w:p>
      <w:pPr>
        <w:pStyle w:val="Bibliography"/>
      </w:pPr>
      <w:r>
        <w:t xml:space="preserve">33.</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4"/>
    <w:bookmarkStart w:id="85"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etzold_number_2022"/>
    <w:p>
      <w:pPr>
        <w:pStyle w:val="Bibliography"/>
      </w:pPr>
      <w:r>
        <w:t xml:space="preserve">36.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6"/>
    <w:bookmarkStart w:id="87" w:name="ref-zohner_how_2021"/>
    <w:p>
      <w:pPr>
        <w:pStyle w:val="Bibliography"/>
      </w:pPr>
      <w:r>
        <w:t xml:space="preserve">37.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7"/>
    <w:bookmarkStart w:id="88"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2" w:name="ref-dorangeville_peak_2021"/>
    <w:p>
      <w:pPr>
        <w:pStyle w:val="Bibliography"/>
      </w:pPr>
      <w:r>
        <w:t xml:space="preserve">41.</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keenan_timing_2015"/>
    <w:p>
      <w:pPr>
        <w:pStyle w:val="Bibliography"/>
      </w:pPr>
      <w:r>
        <w:t xml:space="preserve">44.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5"/>
    <w:bookmarkStart w:id="96" w:name="ref-fu_variation_2014"/>
    <w:p>
      <w:pPr>
        <w:pStyle w:val="Bibliography"/>
      </w:pPr>
      <w:r>
        <w:t xml:space="preserve">45.</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6"/>
    <w:bookmarkStart w:id="97" w:name="ref-zhang_drought_2021"/>
    <w:p>
      <w:pPr>
        <w:pStyle w:val="Bibliography"/>
      </w:pPr>
      <w:r>
        <w:t xml:space="preserve">46.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7"/>
    <w:bookmarkStart w:id="98" w:name="ref-zohner_ongoing_2019"/>
    <w:p>
      <w:pPr>
        <w:pStyle w:val="Bibliography"/>
      </w:pPr>
      <w:r>
        <w:t xml:space="preserve">47.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8"/>
    <w:bookmarkStart w:id="99" w:name="ref-xie_predicting_2018"/>
    <w:p>
      <w:pPr>
        <w:pStyle w:val="Bibliography"/>
      </w:pPr>
      <w:r>
        <w:t xml:space="preserve">48.</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9"/>
    <w:bookmarkStart w:id="100" w:name="ref-jiang_fate_2020"/>
    <w:p>
      <w:pPr>
        <w:pStyle w:val="Bibliography"/>
      </w:pPr>
      <w:r>
        <w:t xml:space="preserve">49.</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100"/>
    <w:bookmarkStart w:id="101" w:name="ref-cuny_woody_2015"/>
    <w:p>
      <w:pPr>
        <w:pStyle w:val="Bibliography"/>
      </w:pPr>
      <w:r>
        <w:t xml:space="preserve">50.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1"/>
    <w:bookmarkStart w:id="102" w:name="ref-tardif_influence_2006"/>
    <w:p>
      <w:pPr>
        <w:pStyle w:val="Bibliography"/>
      </w:pPr>
      <w:r>
        <w:t xml:space="preserve">51.</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2"/>
    <w:bookmarkStart w:id="103" w:name="ref-roibu_climatic_2020"/>
    <w:p>
      <w:pPr>
        <w:pStyle w:val="Bibliography"/>
      </w:pPr>
      <w:r>
        <w:t xml:space="preserve">52.</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3"/>
    <w:bookmarkStart w:id="104" w:name="ref-kern_multiple_2013"/>
    <w:p>
      <w:pPr>
        <w:pStyle w:val="Bibliography"/>
      </w:pPr>
      <w:r>
        <w:t xml:space="preserve">53.</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4"/>
    <w:bookmarkStart w:id="105" w:name="ref-trumbore_quantifying_2002"/>
    <w:p>
      <w:pPr>
        <w:pStyle w:val="Bibliography"/>
      </w:pPr>
      <w:r>
        <w:t xml:space="preserve">54.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5"/>
    <w:bookmarkStart w:id="106" w:name="ref-richardson_seasonal_2013"/>
    <w:p>
      <w:pPr>
        <w:pStyle w:val="Bibliography"/>
      </w:pPr>
      <w:r>
        <w:t xml:space="preserve">55.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6"/>
    <w:bookmarkStart w:id="107" w:name="ref-oishi_warmer_2018"/>
    <w:p>
      <w:pPr>
        <w:pStyle w:val="Bibliography"/>
      </w:pPr>
      <w:r>
        <w:t xml:space="preserve">56.</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7"/>
    <w:bookmarkStart w:id="108" w:name="ref-kannenberg_linking_2019"/>
    <w:p>
      <w:pPr>
        <w:pStyle w:val="Bibliography"/>
      </w:pPr>
      <w:r>
        <w:t xml:space="preserve">57.</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8"/>
    <w:bookmarkStart w:id="109" w:name="ref-gessler_way_2020"/>
    <w:p>
      <w:pPr>
        <w:pStyle w:val="Bibliography"/>
      </w:pPr>
      <w:r>
        <w:t xml:space="preserve">58.</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9"/>
    <w:bookmarkStart w:id="110" w:name="ref-fisichelli_temperate_2014"/>
    <w:p>
      <w:pPr>
        <w:pStyle w:val="Bibliography"/>
      </w:pPr>
      <w:r>
        <w:t xml:space="preserve">59.</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10"/>
    <w:bookmarkStart w:id="112" w:name="ref-banburymorgan_global_2021"/>
    <w:p>
      <w:pPr>
        <w:pStyle w:val="Bibliography"/>
      </w:pPr>
      <w:r>
        <w:t xml:space="preserve">60.</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1">
        <w:r>
          <w:rPr>
            <w:rStyle w:val="Hyperlink"/>
          </w:rPr>
          <w:t xml:space="preserve">10.1111/gcb.15574</w:t>
        </w:r>
      </w:hyperlink>
      <w:r>
        <w:t xml:space="preserve">.</w:t>
      </w:r>
    </w:p>
    <w:bookmarkEnd w:id="112"/>
    <w:bookmarkStart w:id="113" w:name="ref-churkina_spatial_2005"/>
    <w:p>
      <w:pPr>
        <w:pStyle w:val="Bibliography"/>
      </w:pPr>
      <w:r>
        <w:t xml:space="preserve">61.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3"/>
    <w:bookmarkStart w:id="114" w:name="ref-bourg_initial_2013"/>
    <w:p>
      <w:pPr>
        <w:pStyle w:val="Bibliography"/>
      </w:pPr>
      <w:r>
        <w:t xml:space="preserve">62.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4"/>
    <w:bookmarkStart w:id="115" w:name="ref-anderson-teixeira_ctfsforestgeo_2015"/>
    <w:p>
      <w:pPr>
        <w:pStyle w:val="Bibliography"/>
      </w:pPr>
      <w:r>
        <w:t xml:space="preserve">63.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5"/>
    <w:bookmarkStart w:id="116" w:name="ref-davies_forestgeo_2021"/>
    <w:p>
      <w:pPr>
        <w:pStyle w:val="Bibliography"/>
      </w:pPr>
      <w:r>
        <w:t xml:space="preserve">64.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6"/>
    <w:bookmarkStart w:id="117" w:name="ref-herrmann_tree_2016"/>
    <w:p>
      <w:pPr>
        <w:pStyle w:val="Bibliography"/>
      </w:pPr>
      <w:r>
        <w:t xml:space="preserve">65.</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7"/>
    <w:bookmarkStart w:id="119" w:name="ref-friedl_mcd12q2_2019"/>
    <w:p>
      <w:pPr>
        <w:pStyle w:val="Bibliography"/>
      </w:pPr>
      <w:r>
        <w:t xml:space="preserve">66.</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8">
        <w:r>
          <w:rPr>
            <w:rStyle w:val="Hyperlink"/>
          </w:rPr>
          <w:t xml:space="preserve">10.5067/MODIS/MCD12Q2.006</w:t>
        </w:r>
      </w:hyperlink>
      <w:r>
        <w:t xml:space="preserve">.</w:t>
      </w:r>
    </w:p>
    <w:bookmarkEnd w:id="119"/>
    <w:bookmarkStart w:id="121" w:name="ref-anderson-teixeira_forestgeo_2020"/>
    <w:p>
      <w:pPr>
        <w:pStyle w:val="Bibliography"/>
      </w:pPr>
      <w:r>
        <w:t xml:space="preserve">67.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20">
        <w:r>
          <w:rPr>
            <w:rStyle w:val="Hyperlink"/>
          </w:rPr>
          <w:t xml:space="preserve">10.5281/ZENODO.4041609</w:t>
        </w:r>
      </w:hyperlink>
      <w:r>
        <w:t xml:space="preserve">.</w:t>
      </w:r>
    </w:p>
    <w:bookmarkEnd w:id="121"/>
    <w:bookmarkStart w:id="122" w:name="ref-benestad_empiricalstatistical_2008"/>
    <w:p>
      <w:pPr>
        <w:pStyle w:val="Bibliography"/>
      </w:pPr>
      <w:r>
        <w:t xml:space="preserve">68.</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2"/>
    <w:bookmarkStart w:id="124" w:name="ref-boose_shaler_2021"/>
    <w:p>
      <w:pPr>
        <w:pStyle w:val="Bibliography"/>
      </w:pPr>
      <w:r>
        <w:t xml:space="preserve">69.</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3">
        <w:r>
          <w:rPr>
            <w:rStyle w:val="Hyperlink"/>
          </w:rPr>
          <w:t xml:space="preserve">10.6073/PASTA/213335F5DAA17222A738C105B9FA60C4</w:t>
        </w:r>
      </w:hyperlink>
      <w:r>
        <w:t xml:space="preserve">.</w:t>
      </w:r>
    </w:p>
    <w:bookmarkEnd w:id="124"/>
    <w:bookmarkStart w:id="126" w:name="ref-boose_fisher_2021"/>
    <w:p>
      <w:pPr>
        <w:pStyle w:val="Bibliography"/>
      </w:pPr>
      <w:r>
        <w:t xml:space="preserve">70.</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5">
        <w:r>
          <w:rPr>
            <w:rStyle w:val="Hyperlink"/>
          </w:rPr>
          <w:t xml:space="preserve">10.6073/PASTA/69E92642B512897032446CFE795CFFB8</w:t>
        </w:r>
      </w:hyperlink>
      <w:r>
        <w:t xml:space="preserve">.</w:t>
      </w:r>
    </w:p>
    <w:bookmarkEnd w:id="126"/>
    <w:bookmarkStart w:id="127" w:name="ref-vandepol_identifying_2016"/>
    <w:p>
      <w:pPr>
        <w:pStyle w:val="Bibliography"/>
      </w:pPr>
      <w:r>
        <w:t xml:space="preserve">71.</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7"/>
    <w:bookmarkStart w:id="128" w:name="ref-gabry_rstanarm_2020"/>
    <w:p>
      <w:pPr>
        <w:pStyle w:val="Bibliography"/>
      </w:pPr>
      <w:r>
        <w:t xml:space="preserve">72.</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8"/>
    <w:bookmarkStart w:id="129" w:name="ref-stan_development_team_stan_2019"/>
    <w:p>
      <w:pPr>
        <w:pStyle w:val="Bibliography"/>
      </w:pPr>
      <w:r>
        <w:t xml:space="preserve">73.</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9"/>
    <w:bookmarkStart w:id="130" w:name="ref-vicente-serrano_multiscalar_2010"/>
    <w:p>
      <w:pPr>
        <w:pStyle w:val="Bibliography"/>
      </w:pPr>
      <w:r>
        <w:t xml:space="preserve">74.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0"/>
    <w:bookmarkStart w:id="131" w:name="ref-begueria_standardized_2014"/>
    <w:p>
      <w:pPr>
        <w:pStyle w:val="Bibliography"/>
      </w:pPr>
      <w:r>
        <w:t xml:space="preserve">75.</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1"/>
    <w:bookmarkStart w:id="132" w:name="ref-vicente-serrano_multiscalar_2010a"/>
    <w:p>
      <w:pPr>
        <w:pStyle w:val="Bibliography"/>
      </w:pPr>
      <w:r>
        <w:t xml:space="preserve">76.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2"/>
    <w:bookmarkStart w:id="133" w:name="ref-stokes_introduction_1968"/>
    <w:p>
      <w:pPr>
        <w:pStyle w:val="Bibliography"/>
      </w:pPr>
      <w:r>
        <w:t xml:space="preserve">77.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3"/>
    <w:bookmarkStart w:id="134" w:name="ref-alexander_potential_2019"/>
    <w:p>
      <w:pPr>
        <w:pStyle w:val="Bibliography"/>
      </w:pPr>
      <w:r>
        <w:t xml:space="preserve">78.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4"/>
    <w:bookmarkStart w:id="135" w:name="ref-dye_comparing_2016"/>
    <w:p>
      <w:pPr>
        <w:pStyle w:val="Bibliography"/>
      </w:pPr>
      <w:r>
        <w:t xml:space="preserve">79.</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5"/>
    <w:bookmarkStart w:id="136" w:name="ref-maxwell_sampling_2020"/>
    <w:p>
      <w:pPr>
        <w:pStyle w:val="Bibliography"/>
      </w:pPr>
      <w:r>
        <w:t xml:space="preserve">80.</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6"/>
    <w:bookmarkStart w:id="138" w:name="ref-cook_methods_1990"/>
    <w:p>
      <w:pPr>
        <w:pStyle w:val="Bibliography"/>
      </w:pPr>
      <w:r>
        <w:t xml:space="preserve">81.</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7">
        <w:r>
          <w:rPr>
            <w:rStyle w:val="Hyperlink"/>
          </w:rPr>
          <w:t xml:space="preserve">10.1007/978-94-015-7879-0</w:t>
        </w:r>
      </w:hyperlink>
      <w:r>
        <w:t xml:space="preserve">.</w:t>
      </w:r>
    </w:p>
    <w:bookmarkEnd w:id="138"/>
    <w:bookmarkStart w:id="139" w:name="ref-cook_time_1985"/>
    <w:p>
      <w:pPr>
        <w:pStyle w:val="Bibliography"/>
      </w:pPr>
      <w:r>
        <w:t xml:space="preserve">82.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9"/>
    <w:bookmarkStart w:id="140" w:name="ref-cook_calculating_1997"/>
    <w:p>
      <w:pPr>
        <w:pStyle w:val="Bibliography"/>
      </w:pPr>
      <w:r>
        <w:t xml:space="preserve">83.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40"/>
    <w:bookmarkStart w:id="141" w:name="ref-jones_estimating_1997"/>
    <w:p>
      <w:pPr>
        <w:pStyle w:val="Bibliography"/>
      </w:pPr>
      <w:r>
        <w:t xml:space="preserve">84.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1"/>
    <w:bookmarkStart w:id="142" w:name="ref-harris_version_2020"/>
    <w:p>
      <w:pPr>
        <w:pStyle w:val="Bibliography"/>
      </w:pPr>
      <w:r>
        <w:t xml:space="preserve">85.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2"/>
    <w:bookmarkStart w:id="143" w:name="ref-bunn_dendrochronology_2008"/>
    <w:p>
      <w:pPr>
        <w:pStyle w:val="Bibliography"/>
      </w:pPr>
      <w:r>
        <w:t xml:space="preserve">86.</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3"/>
    <w:bookmarkStart w:id="144" w:name="ref-zang_dendroclimatic_2013"/>
    <w:p>
      <w:pPr>
        <w:pStyle w:val="Bibliography"/>
      </w:pPr>
      <w:r>
        <w:t xml:space="preserve">87.</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4"/>
    <w:bookmarkStart w:id="145" w:name="ref-biondi_dendroclim2002_2004"/>
    <w:p>
      <w:pPr>
        <w:pStyle w:val="Bibliography"/>
      </w:pPr>
      <w:r>
        <w:t xml:space="preserve">88.</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5"/>
    <w:bookmarkEnd w:id="146"/>
    <w:bookmarkEnd w:id="14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7"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1" Target="https://doi.org/10.1111/gcb.15574" TargetMode="External" /><Relationship Type="http://schemas.openxmlformats.org/officeDocument/2006/relationships/hyperlink" Id="rId118" Target="https://doi.org/10.5067/MODIS/MCD12Q2.006" TargetMode="External" /><Relationship Type="http://schemas.openxmlformats.org/officeDocument/2006/relationships/hyperlink" Id="rId120" Target="https://doi.org/10.5281/ZENODO.4041609" TargetMode="External" /><Relationship Type="http://schemas.openxmlformats.org/officeDocument/2006/relationships/hyperlink" Id="rId123" Target="https://doi.org/10.6073/PASTA/213335F5DAA17222A738C105B9FA60C4" TargetMode="External" /><Relationship Type="http://schemas.openxmlformats.org/officeDocument/2006/relationships/hyperlink" Id="rId12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7"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1" Target="https://doi.org/10.1111/gcb.15574" TargetMode="External" /><Relationship Type="http://schemas.openxmlformats.org/officeDocument/2006/relationships/hyperlink" Id="rId118" Target="https://doi.org/10.5067/MODIS/MCD12Q2.006" TargetMode="External" /><Relationship Type="http://schemas.openxmlformats.org/officeDocument/2006/relationships/hyperlink" Id="rId120" Target="https://doi.org/10.5281/ZENODO.4041609" TargetMode="External" /><Relationship Type="http://schemas.openxmlformats.org/officeDocument/2006/relationships/hyperlink" Id="rId123" Target="https://doi.org/10.6073/PASTA/213335F5DAA17222A738C105B9FA60C4" TargetMode="External" /><Relationship Type="http://schemas.openxmlformats.org/officeDocument/2006/relationships/hyperlink" Id="rId12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2022-03-10T16:09:39Z</dcterms:created>
  <dcterms:modified xsi:type="dcterms:W3CDTF">2022-03-10T16:09:39Z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