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Department of Forestry and Natural Resources, Purdue University, West Lafayette, Indiana,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Earth and Spatial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
        </w:rPr>
        <w:t xml:space="preserve">As the climate changes, warmer spring temperatures are causing earlier leaf-out</w:t>
      </w:r>
      <w:r>
        <w:rPr>
          <w:vertAlign w:val="superscript"/>
          <w:b/>
        </w:rPr>
        <w:t xml:space="preserve">1–6</w:t>
      </w:r>
      <w:r>
        <w:rPr>
          <w:b/>
        </w:rPr>
        <w:t xml:space="preserve"> </w:t>
      </w:r>
      <w:r>
        <w:rPr>
          <w:b/>
        </w:rPr>
        <w:t xml:space="preserve">and commencement of net carbon dioxide (CO</w:t>
      </w:r>
      <w:r>
        <w:rPr>
          <w:vertAlign w:val="subscript"/>
          <w:b/>
        </w:rPr>
        <w:t xml:space="preserve">2</w:t>
      </w:r>
      <w:r>
        <w:rPr>
          <w:b/>
        </w:rPr>
        <w:t xml:space="preserve">) sequestration</w:t>
      </w:r>
      <w:r>
        <w:rPr>
          <w:vertAlign w:val="superscript"/>
          <w:b/>
        </w:rPr>
        <w:t xml:space="preserve">2,4</w:t>
      </w:r>
      <w:r>
        <w:rPr>
          <w:b/>
        </w:rPr>
        <w:t xml:space="preserve"> </w:t>
      </w:r>
      <w:r>
        <w:rPr>
          <w:b/>
        </w:rPr>
        <w:t xml:space="preserve">in temperate deciduous forests, resulting in a tendency towards increased growing season length</w:t>
      </w:r>
      <w:r>
        <w:rPr>
          <w:vertAlign w:val="superscript"/>
          <w:b/>
        </w:rPr>
        <w:t xml:space="preserve">1,4,5,7</w:t>
      </w:r>
      <w:r>
        <w:rPr>
          <w:b/>
        </w:rPr>
        <w:t xml:space="preserve"> </w:t>
      </w:r>
      <w:r>
        <w:rPr>
          <w:b/>
        </w:rPr>
        <w:t xml:space="preserve">and annual CO</w:t>
      </w:r>
      <w:r>
        <w:rPr>
          <w:vertAlign w:val="subscript"/>
          <w:b/>
        </w:rPr>
        <w:t xml:space="preserve">2</w:t>
      </w:r>
      <w:r>
        <w:rPr>
          <w:b/>
        </w:rPr>
        <w:t xml:space="preserve"> </w:t>
      </w:r>
      <w:r>
        <w:rPr>
          <w:b/>
        </w:rPr>
        <w:t xml:space="preserve">uptake</w:t>
      </w:r>
      <w:r>
        <w:rPr>
          <w:vertAlign w:val="superscript"/>
          <w:b/>
        </w:rPr>
        <w:t xml:space="preserve">2,4,8–12</w:t>
      </w:r>
      <w:r>
        <w:rPr>
          <w:b/>
        </w:rPr>
        <w:t xml:space="preserve">.</w:t>
      </w:r>
      <w:r>
        <w:t xml:space="preserve"> </w:t>
      </w:r>
      <w:r>
        <w:rPr>
          <w:b/>
        </w:rPr>
        <w:t xml:space="preserve">However, less is known about how spring temperatures affect tree stem growth</w:t>
      </w:r>
      <w:r>
        <w:rPr>
          <w:vertAlign w:val="superscript"/>
          <w:b/>
        </w:rPr>
        <w:t xml:space="preserve">13,14</w:t>
      </w:r>
      <w:r>
        <w:rPr>
          <w:b/>
        </w:rPr>
        <w:t xml:space="preserve">, which sequesters carbon (C) in wood that has a long residence time in the ecosystem</w:t>
      </w:r>
      <w:r>
        <w:rPr>
          <w:vertAlign w:val="superscript"/>
          <w:b/>
        </w:rPr>
        <w:t xml:space="preserve">15,16</w:t>
      </w:r>
      <w:r>
        <w:rPr>
          <w:b/>
        </w:rPr>
        <w:t xml:space="preserve">.</w:t>
      </w:r>
      <w:r>
        <w:t xml:space="preserve"> </w:t>
      </w:r>
      <w:r>
        <w:rPr>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rPr>
        <w:t xml:space="preserve">These findings imply that any extra CO</w:t>
      </w:r>
      <w:r>
        <w:rPr>
          <w:vertAlign w:val="subscript"/>
          <w:b/>
        </w:rPr>
        <w:t xml:space="preserve">2</w:t>
      </w:r>
      <w:r>
        <w:rPr>
          <w:b/>
        </w:rPr>
        <w:t xml:space="preserve"> </w:t>
      </w:r>
      <w:r>
        <w:rPr>
          <w:b/>
        </w:rPr>
        <w:t xml:space="preserve">uptake in years with warmer springs</w:t>
      </w:r>
      <w:r>
        <w:rPr>
          <w:vertAlign w:val="superscript"/>
          <w:b/>
        </w:rPr>
        <w:t xml:space="preserve">8–10</w:t>
      </w:r>
      <w:r>
        <w:rPr>
          <w:b/>
        </w:rPr>
        <w:t xml:space="preserve"> </w:t>
      </w:r>
      <w:r>
        <w:rPr>
          <w:b/>
        </w:rPr>
        <w:t xml:space="preserve">does not significantly contribute to increased sequestration in long-lived woody stem biomass.</w:t>
      </w:r>
      <w:r>
        <w:t xml:space="preserve"> </w:t>
      </w:r>
      <w:r>
        <w:rPr>
          <w:b/>
        </w:rPr>
        <w:t xml:space="preserve">Rather, contradicting current projections from global C cycle models</w:t>
      </w:r>
      <w:r>
        <w:rPr>
          <w:vertAlign w:val="superscript"/>
          <w:b/>
        </w:rPr>
        <w:t xml:space="preserve">2,3,17,18</w:t>
      </w:r>
      <w:r>
        <w:rPr>
          <w:b/>
        </w:rPr>
        <w:t xml:space="preserve">, our empirical results imply that warming spring temperatures are unlikely to increase woody productivity enough to strengthen the long-term CO</w:t>
      </w:r>
      <w:r>
        <w:rPr>
          <w:vertAlign w:val="subscript"/>
          <w:b/>
        </w:rPr>
        <w:t xml:space="preserve">2</w:t>
      </w:r>
      <w:r>
        <w:rPr>
          <w:b/>
        </w:rPr>
        <w:t xml:space="preserve"> </w:t>
      </w:r>
      <w:r>
        <w:rPr>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p>
      <w:pPr>
        <w:pStyle w:val="Heading2"/>
      </w:pPr>
      <w:bookmarkStart w:id="21" w:name="Dendrometer"/>
      <w:r>
        <w:t xml:space="preserve">Dendrometer band analysis</w:t>
      </w:r>
      <w:bookmarkEnd w:id="21"/>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t>∘</m:t>
            </m:r>
          </m:sup>
        </m:sSup>
      </m:oMath>
      <w:r>
        <w:t xml:space="preserve">C at SCBI (p=0.016) and 2.4 days/</w:t>
      </w:r>
      <w:r>
        <w:t xml:space="preserve"> </w:t>
      </w:r>
      <m:oMath>
        <m:sSup>
          <m:e>
            <m:r>
              <m:t>​</m:t>
            </m:r>
          </m:e>
          <m:sup>
            <m: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t>∘</m:t>
            </m:r>
          </m:sup>
        </m:sSup>
      </m:oMath>
      <w:r>
        <w:t xml:space="preserve">C for ring porous species and 2.8-2.9 days/</w:t>
      </w:r>
      <w:r>
        <w:t xml:space="preserve"> </w:t>
      </w:r>
      <m:oMath>
        <m:sSup>
          <m:e>
            <m:r>
              <m:t>​</m:t>
            </m:r>
          </m:e>
          <m:sup>
            <m:r>
              <m:t>∘</m:t>
            </m:r>
          </m:sup>
        </m:sSup>
      </m:oMath>
      <w:r>
        <w:t xml:space="preserve">C for diffuse porous species at SCBI, and 10.3-12.3 days/</w:t>
      </w:r>
      <w:r>
        <w:t xml:space="preserve"> </w:t>
      </w:r>
      <m:oMath>
        <m:sSup>
          <m:e>
            <m:r>
              <m:t>​</m:t>
            </m:r>
          </m:e>
          <m:sup>
            <m:r>
              <m:t>∘</m:t>
            </m:r>
          </m:sup>
        </m:sSup>
      </m:oMath>
      <w:r>
        <w:t xml:space="preserve">C for ring porous species and 0.9-4.2 days/</w:t>
      </w:r>
      <w:r>
        <w:t xml:space="preserve"> </w:t>
      </w:r>
      <m:oMath>
        <m:sSup>
          <m:e>
            <m:r>
              <m:t>​</m:t>
            </m:r>
          </m:e>
          <m:sup>
            <m:r>
              <m:t>∘</m:t>
            </m:r>
          </m:sup>
        </m:sSup>
      </m:oMath>
      <w:r>
        <w:t xml:space="preserve">C for diffuse 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t>∘</m:t>
            </m:r>
          </m:sup>
        </m:sSup>
      </m:oMath>
      <w:r>
        <w:t xml:space="preserve">C) at HF (Extended Data Figure 4).</w:t>
      </w:r>
    </w:p>
    <w:p>
      <w:pPr>
        <w:pStyle w:val="Heading2"/>
      </w:pPr>
      <w:bookmarkStart w:id="24" w:name="Tree"/>
      <w:r>
        <w:t xml:space="preserve">Tree-ring analysis</w:t>
      </w:r>
      <w:bookmarkEnd w:id="24"/>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t>∘</m:t>
            </m:r>
          </m:sup>
        </m:sSup>
      </m:oMath>
      <w:r>
        <w:t xml:space="preserve">N latitude) to Michigan (45.56</w:t>
      </w:r>
      <m:oMath>
        <m:sSup>
          <m:e>
            <m:r>
              <m:t>​</m:t>
            </m:r>
          </m:e>
          <m:sup>
            <m:r>
              <m:t>∘</m:t>
            </m:r>
          </m:sup>
        </m:sSup>
      </m:oMath>
      <w:r>
        <w:t xml:space="preserve">N latitude)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mean maximum temperatures (</w:t>
      </w:r>
      <m:oMath>
        <m:sSub>
          <m:e>
            <m:r>
              <m:t>T</m:t>
            </m:r>
          </m:e>
          <m:sub>
            <m:r>
              <m:t>m</m:t>
            </m:r>
            <m:r>
              <m:t>a</m:t>
            </m:r>
            <m:r>
              <m:t>x</m:t>
            </m:r>
          </m:sub>
        </m:sSub>
      </m:oMath>
      <w:r>
        <w:rPr>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p>
      <w:pPr>
        <w:pStyle w:val="Heading2"/>
      </w:pPr>
      <w:bookmarkStart w:id="26" w:name="Discussion"/>
      <w:r>
        <w:t xml:space="preserve">Discussion</w:t>
      </w:r>
      <w:bookmarkEnd w:id="26"/>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14,17,25,33,35,42</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35,37</w:t>
      </w:r>
      <w:r>
        <w:t xml:space="preserve">.</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25,34,35</w:t>
      </w:r>
      <w:r>
        <w:t xml:space="preserve"> </w:t>
      </w:r>
      <w:r>
        <w:t xml:space="preserve">and with parallel findings for NEE</w:t>
      </w:r>
      <w:r>
        <w:rPr>
          <w:vertAlign w:val="superscript"/>
        </w:rPr>
        <w:t xml:space="preserve">11,12</w:t>
      </w:r>
      <w:r>
        <w:t xml:space="preserve">.</w:t>
      </w:r>
      <w:r>
        <w:t xml:space="preserve"> </w:t>
      </w:r>
      <w:r>
        <w:t xml:space="preserve">However, there is also a disconnect with findings that NEE is at least modestly greater in years with warm springs</w:t>
      </w:r>
      <w:r>
        <w:rPr>
          <w:vertAlign w:val="superscript"/>
        </w:rPr>
        <w:t xml:space="preserve">2</w:t>
      </w:r>
      <w:r>
        <w:t xml:space="preserve"> </w:t>
      </w:r>
      <w:r>
        <w:t xml:space="preserve">or long growing seasons</w:t>
      </w:r>
      <w:r>
        <w:rPr>
          <w:vertAlign w:val="superscript"/>
        </w:rPr>
        <w:t xml:space="preserve">4,11,12</w:t>
      </w:r>
      <w:r>
        <w:t xml:space="preserve">.</w:t>
      </w:r>
      <w:r>
        <w:t xml:space="preserve"> </w:t>
      </w:r>
      <w:r>
        <w:t xml:space="preserve"> </w:t>
      </w:r>
      <w:r>
        <w:t xml:space="preserve">We show that the extra C fixation in years with warm springs does not substantially augment stem diameter growth in the current or following year (Extended Data Figure 7).</w:t>
      </w:r>
    </w:p>
    <w:p>
      <w:pPr>
        <w:pStyle w:val="BodyText"/>
      </w:pPr>
      <w:r>
        <w:t xml:space="preserve">Although stem diameter increments are routinely used to calculate</w:t>
      </w:r>
      <w:r>
        <w:t xml:space="preserve"> </w:t>
      </w:r>
      <m:oMath>
        <m:r>
          <m:t>A</m:t>
        </m:r>
        <m:r>
          <m:t>N</m:t>
        </m:r>
        <m:r>
          <m:t>P</m:t>
        </m:r>
        <m:sSub>
          <m:e>
            <m:r>
              <m:t>P</m:t>
            </m:r>
          </m:e>
          <m:sub>
            <m:r>
              <m:t>w</m:t>
            </m:r>
            <m:r>
              <m:t>o</m:t>
            </m:r>
            <m:r>
              <m:t>o</m:t>
            </m:r>
            <m:r>
              <m:t>d</m:t>
            </m:r>
            <m:r>
              <m:t>y</m:t>
            </m:r>
          </m:sub>
        </m:sSub>
      </m:oMath>
      <w:r>
        <w:rPr>
          <w:b/>
          <w:vertAlign w:val="superscript"/>
        </w:rPr>
        <w:t xml:space="preserve">???</w:t>
      </w:r>
      <w:r>
        <w:t xml:space="preserve">, stem volume growth does not directly translate into C content, but rather can be partially decoupled through differences in wood density or C content</w:t>
      </w:r>
      <w:r>
        <w:rPr>
          <w:b/>
          <w:vertAlign w:val="superscript"/>
        </w:rPr>
        <w:t xml:space="preserve">???</w:t>
      </w:r>
      <w:r>
        <w:rPr>
          <w:vertAlign w:val="superscript"/>
        </w:rPr>
        <w:t xml:space="preserve">,25</w:t>
      </w:r>
      <w:r>
        <w:t xml:space="preserve">.</w:t>
      </w:r>
      <w:r>
        <w:br/>
      </w:r>
      <w:r>
        <w:t xml:space="preserve">Thus, 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rPr>
          <w:i/>
        </w:rPr>
        <w:t xml:space="preserve">Rather, the most likely explanation of the observed lack of correlation between spring temperatures and stem growth is that</w:t>
      </w:r>
      <w:r>
        <w:rPr>
          <w:i/>
        </w:rPr>
        <w:t xml:space="preserve"> </w:t>
      </w:r>
      <m:oMath>
        <m:r>
          <m:t>A</m:t>
        </m:r>
        <m:r>
          <m:t>N</m:t>
        </m:r>
        <m:r>
          <m:t>P</m:t>
        </m:r>
        <m:sSub>
          <m:e>
            <m:r>
              <m:t>P</m:t>
            </m:r>
          </m:e>
          <m:sub>
            <m:r>
              <m:t>w</m:t>
            </m:r>
            <m:r>
              <m:t>o</m:t>
            </m:r>
            <m:r>
              <m:t>o</m:t>
            </m:r>
            <m:r>
              <m:t>d</m:t>
            </m:r>
            <m:r>
              <m:t>y</m:t>
            </m:r>
          </m:sub>
        </m:sSub>
      </m:oMath>
      <w:r>
        <w:rPr>
          <w:i/>
        </w:rPr>
        <w:t xml:space="preserve"> </w:t>
      </w:r>
      <w:r>
        <w:rPr>
          <w:i/>
        </w:rPr>
        <w:t xml:space="preserve">is limited by sink factors, such that the expected increase photosynthate availability</w:t>
      </w:r>
      <w:r>
        <w:rPr>
          <w:b/>
          <w:vertAlign w:val="superscript"/>
          <w:i/>
        </w:rPr>
        <w:t xml:space="preserve">???</w:t>
      </w:r>
      <w:r>
        <w:rPr>
          <w:i/>
        </w:rPr>
        <w:t xml:space="preserve"> </w:t>
      </w:r>
      <w:r>
        <w:rPr>
          <w:i/>
        </w:rPr>
        <w:t xml:space="preserve">(observed at Harvard Forest</w:t>
      </w:r>
      <w:r>
        <w:rPr>
          <w:b/>
          <w:vertAlign w:val="superscript"/>
          <w:i/>
        </w:rPr>
        <w:t xml:space="preserve">???</w:t>
      </w:r>
      <w:r>
        <w:rPr>
          <w:i/>
        </w:rPr>
        <w:t xml:space="preserve">) does not enhance growth.</w:t>
      </w:r>
      <w:r>
        <w:t xml:space="preserve"> </w:t>
      </w:r>
      <w:r>
        <w:rPr>
          <w:i/>
        </w:rPr>
        <w:t xml:space="preserve">Indeed, such a phenomenon has been observed when GPP has been increased through lengthening of the growing season</w:t>
      </w:r>
      <w:r>
        <w:rPr>
          <w:b/>
          <w:vertAlign w:val="superscript"/>
          <w:i/>
        </w:rPr>
        <w:t xml:space="preserve">???</w:t>
      </w:r>
      <w:r>
        <w:rPr>
          <w:i/>
        </w:rPr>
        <w:t xml:space="preserve"> </w:t>
      </w:r>
      <w:r>
        <w:rPr>
          <w:i/>
        </w:rPr>
        <w:t xml:space="preserve">or elevated CO</w:t>
      </w:r>
      <w:r>
        <w:rPr>
          <w:vertAlign w:val="subscript"/>
          <w:i/>
        </w:rPr>
        <w:t xml:space="preserve">2</w:t>
      </w:r>
      <w:r>
        <w:rPr>
          <w:b/>
          <w:vertAlign w:val="superscript"/>
          <w:i/>
        </w:rPr>
        <w:t xml:space="preserve">???</w:t>
      </w:r>
      <w:r>
        <w:rPr>
          <w:i/>
        </w:rPr>
        <w:t xml:space="preserve">.</w:t>
      </w:r>
    </w:p>
    <w:p>
      <w:pPr>
        <w:pStyle w:val="BodyText"/>
      </w:pPr>
      <w:r>
        <w:t xml:space="preserve">Our results add to a growing body of evidence for a sink limitation of stem growth and</w:t>
      </w:r>
      <w:r>
        <w:t xml:space="preserve"> </w:t>
      </w:r>
      <m:oMath>
        <m:r>
          <m:t>A</m:t>
        </m:r>
        <m:r>
          <m:t>N</m:t>
        </m:r>
        <m:r>
          <m:t>P</m:t>
        </m:r>
        <m:sSub>
          <m:e>
            <m:r>
              <m:t>P</m:t>
            </m:r>
          </m:e>
          <m:sub>
            <m:r>
              <m:t>w</m:t>
            </m:r>
            <m:r>
              <m:t>o</m:t>
            </m:r>
            <m:r>
              <m:t>o</m:t>
            </m:r>
            <m:r>
              <m:t>d</m:t>
            </m:r>
            <m:r>
              <m:t>y</m:t>
            </m:r>
          </m:sub>
        </m:sSub>
      </m:oMath>
      <w:r>
        <w:rPr>
          <w:b/>
          <w:vertAlign w:val="superscript"/>
        </w:rPr>
        <w:t xml:space="preserve">???</w:t>
      </w:r>
      <w:r>
        <w:t xml:space="preserve">, wherein global change factors such as warming spring temperatures</w:t>
      </w:r>
      <w:r>
        <w:rPr>
          <w:b/>
          <w:vertAlign w:val="superscript"/>
        </w:rPr>
        <w:t xml:space="preserve">???</w:t>
      </w:r>
      <w:r>
        <w:t xml:space="preserve"> </w:t>
      </w:r>
      <w:r>
        <w:t xml:space="preserve">or elevated CO</w:t>
      </w:r>
      <w:r>
        <w:rPr>
          <w:vertAlign w:val="subscript"/>
        </w:rPr>
        <w:t xml:space="preserve">2</w:t>
      </w:r>
      <w:r>
        <w:rPr>
          <w:b/>
          <w:vertAlign w:val="superscript"/>
        </w:rPr>
        <w:t xml:space="preserve">???</w:t>
      </w:r>
      <w:r>
        <w:t xml:space="preserve"> </w:t>
      </w:r>
      <w:r>
        <w:t xml:space="preserve">enhance GPP, but woody growth is less responsive, if at all</w:t>
      </w:r>
      <w:r>
        <w:rPr>
          <w:b/>
          <w:vertAlign w:val="superscript"/>
        </w:rPr>
        <w:t xml:space="preserve">???</w:t>
      </w:r>
      <w:r>
        <w:t xml:space="preserve">.</w:t>
      </w:r>
      <w:r>
        <w:t xml:space="preserve"> </w:t>
      </w:r>
      <w:r>
        <w:t xml:space="preserve">The fate of any additional C fixed during years with warm springs remains unresolved, but possible</w:t>
      </w:r>
      <w:r>
        <w:t xml:space="preserve"> </w:t>
      </w:r>
      <w:r>
        <w:rPr>
          <w:i/>
        </w:rPr>
        <w:t xml:space="preserve">destinations</w:t>
      </w:r>
      <w:r>
        <w:t xml:space="preserve"> </w:t>
      </w:r>
      <w:r>
        <w:t xml:space="preserve">– including respiration, NSC storage, and production of foliage, reproductive structures, roots</w:t>
      </w:r>
      <w:r>
        <w:rPr>
          <w:vertAlign w:val="superscript"/>
        </w:rPr>
        <w:t xml:space="preserve">36</w:t>
      </w:r>
      <w:r>
        <w:t xml:space="preserve">, or root exudates – generally have shorter residence times that woody growth.</w:t>
      </w:r>
      <w:r>
        <w:t xml:space="preserve"> </w:t>
      </w:r>
      <w:r>
        <w:t xml:space="preserve">In fact, in a situation where GPP was enhanced (through experimental elevation of CO</w:t>
      </w:r>
      <w:r>
        <w:rPr>
          <w:vertAlign w:val="subscript"/>
        </w:rPr>
        <w:t xml:space="preserve">2</w:t>
      </w:r>
      <w:r>
        <w:t xml:space="preserve">) but</w:t>
      </w:r>
      <w:r>
        <w:t xml:space="preserve"> </w:t>
      </w:r>
      <m:oMath>
        <m:r>
          <m:t>A</m:t>
        </m:r>
        <m:r>
          <m:t>N</m:t>
        </m:r>
        <m:r>
          <m:t>P</m:t>
        </m:r>
        <m:sSub>
          <m:e>
            <m:r>
              <m:t>P</m:t>
            </m:r>
          </m:e>
          <m:sub>
            <m:r>
              <m:t>w</m:t>
            </m:r>
            <m:r>
              <m:t>o</m:t>
            </m:r>
            <m:r>
              <m:t>o</m:t>
            </m:r>
            <m:r>
              <m:t>d</m:t>
            </m:r>
            <m:r>
              <m:t>y</m:t>
            </m:r>
          </m:sub>
        </m:sSub>
      </m:oMath>
      <w:r>
        <w:t xml:space="preserve"> </w:t>
      </w:r>
      <w:r>
        <w:t xml:space="preserve">was constrained</w:t>
      </w:r>
      <w:r>
        <w:t xml:space="preserve"> </w:t>
      </w:r>
      <w:r>
        <w:rPr>
          <w:i/>
        </w:rPr>
        <w:t xml:space="preserve">(presumably by sink factors)</w:t>
      </w:r>
      <w:r>
        <w:t xml:space="preserve">, additional C was released back to the atmosphere on relatively short time scales through enhanced respiration</w:t>
      </w:r>
      <w:r>
        <w:rPr>
          <w:vertAlign w:val="superscript"/>
        </w:rPr>
        <w:t xml:space="preserve">46</w:t>
      </w:r>
      <w:r>
        <w:t xml:space="preserve">.</w:t>
      </w:r>
      <w:r>
        <w:t xml:space="preserve"> </w:t>
      </w:r>
      <w:r>
        <w:t xml:space="preserve">Indeed, it has been observed that C loss through fall or winter respiration can offset gains from an earlier spring</w:t>
      </w:r>
      <w:r>
        <w:rPr>
          <w:vertAlign w:val="superscript"/>
        </w:rPr>
        <w:t xml:space="preserve">3,47</w:t>
      </w:r>
      <w:r>
        <w:t xml:space="preserve">.</w:t>
      </w:r>
      <w:r>
        <w:t xml:space="preserve"> </w:t>
      </w:r>
      <w:r>
        <w:t xml:space="preserve">It is also possible that a buildup of NSCs that are not required for growth or other functions would feed back to reduce the rate of photosynthesis</w:t>
      </w:r>
      <w:r>
        <w:rPr>
          <w:b/>
          <w:vertAlign w:val="superscript"/>
        </w:rPr>
        <w:t xml:space="preserve">???</w:t>
      </w:r>
      <w:r>
        <w:t xml:space="preserve">, such that sink limitation of</w:t>
      </w:r>
      <w:r>
        <w:t xml:space="preserve"> </w:t>
      </w:r>
      <m:oMath>
        <m:r>
          <m:t>A</m:t>
        </m:r>
        <m:r>
          <m:t>N</m:t>
        </m:r>
        <m:r>
          <m:t>P</m:t>
        </m:r>
        <m:sSub>
          <m:e>
            <m:r>
              <m:t>P</m:t>
            </m:r>
          </m:e>
          <m:sub>
            <m:r>
              <m:t>w</m:t>
            </m:r>
            <m:r>
              <m:t>o</m:t>
            </m:r>
            <m:r>
              <m:t>o</m:t>
            </m:r>
            <m:r>
              <m:t>d</m:t>
            </m:r>
            <m:r>
              <m:t>y</m:t>
            </m:r>
          </m:sub>
        </m:sSub>
      </m:oMath>
      <w:r>
        <w:t xml:space="preserve"> </w:t>
      </w:r>
      <w:r>
        <w:t xml:space="preserve">reduces GPP relative to its potential in years with warm springs.</w:t>
      </w:r>
      <w:r>
        <w:t xml:space="preserve"> </w:t>
      </w:r>
      <w:r>
        <w:t xml:space="preserve">Either way, our results demonstrate that warm springs do not increase</w:t>
      </w:r>
      <w:r>
        <w:t xml:space="preserve"> </w:t>
      </w:r>
      <m:oMath>
        <m:r>
          <m:t>A</m:t>
        </m:r>
        <m:r>
          <m:t>N</m:t>
        </m:r>
        <m:r>
          <m:t>P</m:t>
        </m:r>
        <m:sSub>
          <m:e>
            <m:r>
              <m:t>P</m:t>
            </m:r>
          </m:e>
          <m:sub>
            <m:r>
              <m:t>w</m:t>
            </m:r>
            <m:r>
              <m:t>o</m:t>
            </m:r>
            <m:r>
              <m:t>o</m:t>
            </m:r>
            <m:r>
              <m:t>d</m:t>
            </m:r>
            <m:r>
              <m:t>y</m:t>
            </m:r>
          </m:sub>
        </m:sSub>
      </m:oMath>
      <w:r>
        <w:t xml:space="preserve"> </w:t>
      </w:r>
      <w:r>
        <w:t xml:space="preserve">on an interannual time scale, contrasting with their tendency to augment</w:t>
      </w:r>
      <w:r>
        <w:t xml:space="preserve"> </w:t>
      </w:r>
      <w:r>
        <w:rPr>
          <w:i/>
        </w:rPr>
        <w:t xml:space="preserve">NEE</w:t>
      </w:r>
      <w:r>
        <w:rPr>
          <w:vertAlign w:val="superscript"/>
        </w:rPr>
        <w:t xml:space="preserve">2,11,12</w:t>
      </w:r>
      <w:r>
        <w:t xml:space="preserve">.</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spatial gradients in spring temperature,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 but that potential is not currently being realized on an interannual time frame.</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temperate deciduous forest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w:t>
      </w:r>
      <w:r>
        <w:rPr>
          <w:b/>
          <w:vertAlign w:val="superscript"/>
        </w:rPr>
        <w:t xml:space="preserve">???</w:t>
      </w:r>
      <w:r>
        <w:t xml:space="preserve"> </w:t>
      </w:r>
      <w:r>
        <w:t xml:space="preserve">or high temperatures</w:t>
      </w:r>
      <w:r>
        <w:rPr>
          <w:b/>
          <w:vertAlign w:val="superscript"/>
        </w:rPr>
        <w:t xml:space="preserve">???</w:t>
      </w:r>
      <w:r>
        <w:t xml:space="preserve"> </w:t>
      </w:r>
      <w:r>
        <w:t xml:space="preserve">during the peak growing season.</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b/>
          <w:vertAlign w:val="superscript"/>
        </w:rPr>
        <w:t xml:space="preserve">???</w:t>
      </w:r>
      <w:r>
        <w:t xml:space="preserv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p>
      <w:pPr>
        <w:pStyle w:val="Heading1"/>
      </w:pPr>
      <w:bookmarkStart w:id="27" w:name="Methods"/>
      <w:r>
        <w:t xml:space="preserve">Methods</w:t>
      </w:r>
      <w:bookmarkEnd w:id="27"/>
    </w:p>
    <w:p>
      <w:pPr>
        <w:pStyle w:val="Heading2"/>
      </w:pPr>
      <w:bookmarkStart w:id="28" w:name="Dendrometer"/>
      <w:r>
        <w:t xml:space="preserve">Dendrometer band analysis</w:t>
      </w:r>
      <w:bookmarkEnd w:id="28"/>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
        </w:rPr>
        <w:t xml:space="preserve">Liriodendron tulipifera</w:t>
      </w:r>
      <w:r>
        <w:t xml:space="preserve"> </w:t>
      </w:r>
      <w:r>
        <w:t xml:space="preserve">L.), oaks (</w:t>
      </w:r>
      <w:r>
        <w:rPr>
          <w:i/>
        </w:rPr>
        <w:t xml:space="preserve">Quercus spp.</w:t>
      </w:r>
      <w:r>
        <w:t xml:space="preserve">), and hickories (</w:t>
      </w:r>
      <w:r>
        <w:rPr>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w:t>
      </w:r>
      <w:r>
        <w:t xml:space="preserve">(L.) Carrière), oak (</w:t>
      </w:r>
      <w:r>
        <w:rPr>
          <w:i/>
        </w:rPr>
        <w:t xml:space="preserve">Quercus spp.</w:t>
      </w:r>
      <w:r>
        <w:t xml:space="preserve">) and red maple (</w:t>
      </w:r>
      <w:r>
        <w:rPr>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w:t>
      </w:r>
      <w:r>
        <w:rPr>
          <w:b/>
        </w:rPr>
        <w:t xml:space="preserve">DATE</w:t>
      </w:r>
      <w:r>
        <w:t xml:space="preserve">).</w:t>
      </w:r>
      <w:r>
        <w:t xml:space="preserve"> </w:t>
      </w:r>
      <w:r>
        <w:rPr>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
        </w:rPr>
        <w:t xml:space="preserve">i.e.</w:t>
      </w:r>
      <w:r>
        <w:t xml:space="preserv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39,55</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56</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9">
        <w:r>
          <w:rPr>
            <w:rStyle w:val="Hyperlink"/>
          </w:rPr>
          <w:t xml:space="preserve">https://forestgeo.github.io/Climate/</w:t>
        </w:r>
      </w:hyperlink>
      <w:r>
        <w:t xml:space="preserve">)</w:t>
      </w:r>
      <w:r>
        <w:rPr>
          <w:vertAlign w:val="superscript"/>
        </w:rPr>
        <w:t xml:space="preserve">57</w:t>
      </w:r>
      <w:r>
        <w:t xml:space="preserve">.</w:t>
      </w:r>
      <w:r>
        <w:t xml:space="preserve"> </w:t>
      </w:r>
      <w:r>
        <w:t xml:space="preserve">The R package</w:t>
      </w:r>
      <w:r>
        <w:t xml:space="preserve"> </w:t>
      </w:r>
      <w:r>
        <w:rPr>
          <w:i/>
        </w:rPr>
        <w:t xml:space="preserve">climpact</w:t>
      </w:r>
      <w:r>
        <w:t xml:space="preserve"> </w:t>
      </w:r>
      <w:r>
        <w:t xml:space="preserve">(see www.climpact-sci.org)</w:t>
      </w:r>
      <w:r>
        <w:rPr>
          <w:vertAlign w:val="superscript"/>
        </w:rPr>
        <w:t xml:space="preserve">58</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59,60</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61</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62,63</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64</w:t>
      </w:r>
      <w:r>
        <w:t xml:space="preserve">.</w:t>
      </w:r>
      <w:r>
        <w:t xml:space="preserve"> </w:t>
      </w:r>
      <w:r>
        <w:t xml:space="preserve">The latter was obtained from the ForestGEO Climate Data Portal v1.0 (</w:t>
      </w:r>
      <w:hyperlink r:id="rId29">
        <w:r>
          <w:rPr>
            <w:rStyle w:val="Hyperlink"/>
          </w:rPr>
          <w:t xml:space="preserve">https://forestgeo.github.io/Climate/</w:t>
        </w:r>
      </w:hyperlink>
      <w:r>
        <w:t xml:space="preserve">)</w:t>
      </w:r>
      <w:r>
        <w:rPr>
          <w:vertAlign w:val="superscript"/>
        </w:rPr>
        <w:t xml:space="preserve">57,65,66</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p>
      <w:pPr>
        <w:pStyle w:val="Heading2"/>
      </w:pPr>
      <w:bookmarkStart w:id="31" w:name="Tree"/>
      <w:r>
        <w:t xml:space="preserve">Tree-ring analysis</w:t>
      </w:r>
      <w:bookmarkEnd w:id="31"/>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w:t>
      </w:r>
      <w:r>
        <w:t xml:space="preserve">.</w:t>
      </w:r>
    </w:p>
    <w:p>
      <w:pPr>
        <w:pStyle w:val="BodyText"/>
      </w:pPr>
      <w:r>
        <w:t xml:space="preserve">Dominant tree species were cored at both SCBI</w:t>
      </w:r>
      <w:r>
        <w:rPr>
          <w:vertAlign w:val="superscript"/>
        </w:rPr>
        <w:t xml:space="preserve">38,52</w:t>
      </w:r>
      <w:r>
        <w:t xml:space="preserve"> </w:t>
      </w:r>
      <w:r>
        <w:t xml:space="preserve">and Harvard Forest</w:t>
      </w:r>
      <w:r>
        <w:rPr>
          <w:vertAlign w:val="superscript"/>
        </w:rPr>
        <w:t xml:space="preserve">4,68,69</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
        </w:rPr>
        <w:t xml:space="preserve">Juglans nigra</w:t>
      </w:r>
      <w:r>
        <w:t xml:space="preserve"> </w:t>
      </w:r>
      <w:r>
        <w:t xml:space="preserve">L. at SCBI) and conifers (e.g.,</w:t>
      </w:r>
      <w:r>
        <w:t xml:space="preserve"> </w:t>
      </w:r>
      <w:r>
        <w:rPr>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37,70</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71</w:t>
      </w:r>
      <w:r>
        <w:t xml:space="preserve">.</w:t>
      </w:r>
      <w:r>
        <w:t xml:space="preserve"> </w:t>
      </w:r>
      <w:r>
        <w:t xml:space="preserve">A 2/3rds</w:t>
      </w:r>
      <w:r>
        <w:t xml:space="preserve"> </w:t>
      </w:r>
      <w:r>
        <w:rPr>
          <w:i/>
        </w:rPr>
        <w:t xml:space="preserve">n</w:t>
      </w:r>
      <w:r>
        <w:t xml:space="preserve"> </w:t>
      </w:r>
      <w:r>
        <w:t xml:space="preserve">spline was applied to each core using ARSTAN to produce standardized ring-width series;</w:t>
      </w:r>
      <w:r>
        <w:t xml:space="preserve"> </w:t>
      </w:r>
      <w:r>
        <w:rPr>
          <w:i/>
        </w:rPr>
        <w:t xml:space="preserve">n</w:t>
      </w:r>
      <w:r>
        <w:t xml:space="preserve"> </w:t>
      </w:r>
      <w:r>
        <w:t xml:space="preserve">is the number of years in each series</w:t>
      </w:r>
      <w:r>
        <w:rPr>
          <w:vertAlign w:val="superscript"/>
        </w:rPr>
        <w:t xml:space="preserve">71,72</w:t>
      </w:r>
      <w:r>
        <w:t xml:space="preserve">.</w:t>
      </w:r>
      <w:r>
        <w:t xml:space="preserve"> </w:t>
      </w:r>
      <w:r>
        <w:t xml:space="preserve">An adaptive power transformation, a process that also stabilises the variance over time</w:t>
      </w:r>
      <w:r>
        <w:rPr>
          <w:vertAlign w:val="superscript"/>
        </w:rPr>
        <w:t xml:space="preserve">73</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74</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72</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75</w:t>
      </w:r>
      <w:r>
        <w:t xml:space="preserve"> </w:t>
      </w:r>
      <w:r>
        <w:t xml:space="preserve">Correlations between monthly climate and RWI were assessed using</w:t>
      </w:r>
      <w:r>
        <w:t xml:space="preserve"> </w:t>
      </w:r>
      <w:r>
        <w:rPr>
          <w:i/>
        </w:rPr>
        <w:t xml:space="preserve">dplR</w:t>
      </w:r>
      <w:r>
        <w:rPr>
          <w:vertAlign w:val="superscript"/>
        </w:rPr>
        <w:t xml:space="preserve">76</w:t>
      </w:r>
      <w:r>
        <w:t xml:space="preserve"> </w:t>
      </w:r>
      <w:r>
        <w:t xml:space="preserve">and</w:t>
      </w:r>
      <w:r>
        <w:t xml:space="preserve"> </w:t>
      </w:r>
      <w:r>
        <w:rPr>
          <w:i/>
        </w:rPr>
        <w:t xml:space="preserve">bootRes</w:t>
      </w:r>
      <w:r>
        <w:rPr>
          <w:vertAlign w:val="superscript"/>
        </w:rPr>
        <w:t xml:space="preserve">77</w:t>
      </w:r>
      <w:r>
        <w:t xml:space="preserve"> </w:t>
      </w:r>
      <w:r>
        <w:t xml:space="preserve">in R v 4.0 (R Core Team, 2020), which correlated functions and bootstrapped confidence intervals for these relationships</w:t>
      </w:r>
      <w:r>
        <w:rPr>
          <w:vertAlign w:val="superscript"/>
        </w:rPr>
        <w:t xml:space="preserve">78</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p>
      <w:pPr>
        <w:pStyle w:val="Heading1"/>
      </w:pPr>
      <w:bookmarkStart w:id="32" w:name="Acknowledgements"/>
      <w:r>
        <w:t xml:space="preserve">Acknowledgements</w:t>
      </w:r>
      <w:bookmarkEnd w:id="32"/>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p>
      <w:pPr>
        <w:pStyle w:val="Heading1"/>
      </w:pPr>
      <w:bookmarkStart w:id="33" w:name="Author"/>
      <w:r>
        <w:t xml:space="preserve">Author Contributions</w:t>
      </w:r>
      <w:bookmarkEnd w:id="33"/>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4" w:name="Data"/>
      <w:r>
        <w:t xml:space="preserve">Data Availability Statement</w:t>
      </w:r>
      <w:bookmarkEnd w:id="34"/>
    </w:p>
    <w:p>
      <w:pPr>
        <w:pStyle w:val="FirstParagraph"/>
      </w:pPr>
      <w:r>
        <w:t xml:space="preserve">The datasets generated and analysed during the current study are available via GitHub in the</w:t>
      </w:r>
      <w:r>
        <w:t xml:space="preserve"> </w:t>
      </w:r>
      <w:r>
        <w:rPr>
          <w:i/>
        </w:rPr>
        <w:t xml:space="preserve">growth_phenology</w:t>
      </w:r>
      <w:r>
        <w:t xml:space="preserve"> </w:t>
      </w:r>
      <w:r>
        <w:t xml:space="preserve">repository of the ForestGEO Ecosystems &amp; Climate Lab @ SCBI, (</w:t>
      </w:r>
      <w:hyperlink r:id="rId35">
        <w:r>
          <w:rPr>
            <w:rStyle w:val="Hyperlink"/>
          </w:rPr>
          <w:t xml:space="preserve">https://github.com/EcoClimLab/growth_phenology</w:t>
        </w:r>
      </w:hyperlink>
      <w:r>
        <w:t xml:space="preserve">) and archived in Zenodo (DOI</w:t>
      </w:r>
      <w:r>
        <w:t xml:space="preserve"> </w:t>
      </w:r>
      <w:r>
        <w:rPr>
          <w:i/>
        </w:rPr>
        <w:t xml:space="preserve">[TBD]</w:t>
      </w:r>
      <w:r>
        <w:t xml:space="preserve">).</w:t>
      </w:r>
      <w:r>
        <w:t xml:space="preserve"> </w:t>
      </w:r>
      <w:r>
        <w:t xml:space="preserve">Master versions of the dendrometer band data are available for SCBI via GitHub in the</w:t>
      </w:r>
      <w:r>
        <w:t xml:space="preserve"> </w:t>
      </w:r>
      <w:r>
        <w:rPr>
          <w:i/>
        </w:rPr>
        <w:t xml:space="preserve">Dendrobands</w:t>
      </w:r>
      <w:r>
        <w:t xml:space="preserve"> </w:t>
      </w:r>
      <w:r>
        <w:t xml:space="preserve">repository of the Smithsonian Conservation Biology Institute ForestGEO plot (</w:t>
      </w:r>
      <w:hyperlink r:id="rId36">
        <w:r>
          <w:rPr>
            <w:rStyle w:val="Hyperlink"/>
          </w:rPr>
          <w:t xml:space="preserve">https://github.com/SCBI-ForestGEO/Dendrobands</w:t>
        </w:r>
      </w:hyperlink>
      <w:r>
        <w:t xml:space="preserve">), which is archived in Zenodo (DOI 10.5281/zenodo.5551143), and for Harvard Forest via the Harvard Forest Data Archive (</w:t>
      </w:r>
      <w:hyperlink r:id="rId37">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8">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9">
        <w:r>
          <w:rPr>
            <w:rStyle w:val="Hyperlink"/>
          </w:rPr>
          <w:t xml:space="preserve">https://harvardforest1.fas.harvard.edu/exist/apps/datasets/showData.html?id=HF001</w:t>
        </w:r>
      </w:hyperlink>
      <w:r>
        <w:t xml:space="preserve"> </w:t>
      </w:r>
      <w:r>
        <w:t xml:space="preserve">AND</w:t>
      </w:r>
      <w:r>
        <w:t xml:space="preserve"> </w:t>
      </w:r>
      <w:hyperlink r:id="rId40">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1">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2">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3">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p>
      <w:pPr>
        <w:pStyle w:val="Heading1"/>
      </w:pPr>
      <w:bookmarkStart w:id="44" w:name="Code"/>
      <w:r>
        <w:t xml:space="preserve">Code Availability Statement</w:t>
      </w:r>
      <w:bookmarkEnd w:id="44"/>
    </w:p>
    <w:p>
      <w:pPr>
        <w:pStyle w:val="FirstParagraph"/>
      </w:pPr>
      <w:r>
        <w:t xml:space="preserve">Data were analysed in the open source statistical software R (version 4.0).</w:t>
      </w:r>
      <w:r>
        <w:t xml:space="preserve"> </w:t>
      </w:r>
      <w:r>
        <w:t xml:space="preserve">We used packages</w:t>
      </w:r>
      <w:r>
        <w:t xml:space="preserve"> </w:t>
      </w:r>
      <w:r>
        <w:rPr>
          <w:i/>
        </w:rPr>
        <w:t xml:space="preserve">climwin</w:t>
      </w:r>
      <w:r>
        <w:t xml:space="preserve"> </w:t>
      </w:r>
      <w:r>
        <w:t xml:space="preserve">v.1.2.3 (</w:t>
      </w:r>
      <w:hyperlink r:id="rId45">
        <w:r>
          <w:rPr>
            <w:rStyle w:val="Hyperlink"/>
          </w:rPr>
          <w:t xml:space="preserve">https://cran.r-project.org/web/packages/climwin/index.html</w:t>
        </w:r>
      </w:hyperlink>
      <w:r>
        <w:t xml:space="preserve">),</w:t>
      </w:r>
      <w:r>
        <w:t xml:space="preserve"> </w:t>
      </w:r>
      <w:r>
        <w:rPr>
          <w:i/>
        </w:rPr>
        <w:t xml:space="preserve">dplR</w:t>
      </w:r>
      <w:r>
        <w:t xml:space="preserve"> </w:t>
      </w:r>
      <w:r>
        <w:t xml:space="preserve">v.1.0.2, and</w:t>
      </w:r>
      <w:r>
        <w:t xml:space="preserve"> </w:t>
      </w:r>
      <w:r>
        <w:rPr>
          <w:i/>
        </w:rPr>
        <w:t xml:space="preserve">bootRes</w:t>
      </w:r>
      <w:r>
        <w:t xml:space="preserve"> </w:t>
      </w:r>
      <w:r>
        <w:t xml:space="preserve">v1.2.4,</w:t>
      </w:r>
      <w:r>
        <w:t xml:space="preserve"> </w:t>
      </w:r>
      <w:r>
        <w:rPr>
          <w:i/>
        </w:rPr>
        <w:t xml:space="preserve">rstanarm</w:t>
      </w:r>
      <w:r>
        <w:t xml:space="preserve"> </w:t>
      </w:r>
      <w:r>
        <w:t xml:space="preserve">v.2.21.1, and functions from</w:t>
      </w:r>
      <w:r>
        <w:t xml:space="preserve"> </w:t>
      </w:r>
      <w:r>
        <w:rPr>
          <w:i/>
        </w:rPr>
        <w:t xml:space="preserve">Rdendrom</w:t>
      </w:r>
      <w:r>
        <w:t xml:space="preserve"> </w:t>
      </w:r>
      <w:r>
        <w:t xml:space="preserve">(</w:t>
      </w:r>
      <w:hyperlink r:id="rId46">
        <w:r>
          <w:rPr>
            <w:rStyle w:val="Hyperlink"/>
          </w:rPr>
          <w:t xml:space="preserve">https://github.com/seanmcm/RDendrom/</w:t>
        </w:r>
      </w:hyperlink>
      <w:r>
        <w:t xml:space="preserve">).</w:t>
      </w:r>
      <w:r>
        <w:t xml:space="preserve"> </w:t>
      </w:r>
      <w:r>
        <w:t xml:space="preserve">We used</w:t>
      </w:r>
      <w:r>
        <w:t xml:space="preserve"> </w:t>
      </w:r>
      <w:r>
        <w:rPr>
          <w:i/>
        </w:rPr>
        <w:t xml:space="preserve">climpact</w:t>
      </w:r>
      <w:r>
        <w:t xml:space="preserve"> </w:t>
      </w:r>
      <w:r>
        <w:t xml:space="preserve">software v.1.2.8 (see www.climpact-sci.org).</w:t>
      </w:r>
      <w:r>
        <w:t xml:space="preserve"> </w:t>
      </w:r>
      <w:r>
        <w:t xml:space="preserve">All custom code is available through the EcoClimlab GitHub repository (</w:t>
      </w:r>
      <w:hyperlink r:id="rId35">
        <w:r>
          <w:rPr>
            <w:rStyle w:val="Hyperlink"/>
          </w:rPr>
          <w:t xml:space="preserve">https://github.com/EcoClimLab/growth_phenology</w:t>
        </w:r>
      </w:hyperlink>
      <w:r>
        <w:t xml:space="preserve">) and archived in Zenodo (DOI:</w:t>
      </w:r>
      <w:r>
        <w:t xml:space="preserve"> </w:t>
      </w:r>
      <w:r>
        <w:rPr>
          <w:i/>
        </w:rPr>
        <w:t xml:space="preserve">[TBD]</w:t>
      </w:r>
      <w:r>
        <w:t xml:space="preserve">).</w:t>
      </w:r>
    </w:p>
    <w:p>
      <w:pPr>
        <w:pStyle w:val="Heading1"/>
      </w:pPr>
      <w:bookmarkStart w:id="47" w:name="Additional"/>
      <w:r>
        <w:t xml:space="preserve">Additional Information</w:t>
      </w:r>
      <w:bookmarkEnd w:id="47"/>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8" w:name="References"/>
      <w:r>
        <w:t xml:space="preserve">References</w:t>
      </w:r>
      <w:bookmarkEnd w:id="48"/>
    </w:p>
    <w:bookmarkStart w:id="137" w:name="refs"/>
    <w:bookmarkStart w:id="4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9"/>
    <w:bookmarkStart w:id="5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50"/>
    <w:bookmarkStart w:id="5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1"/>
    <w:bookmarkStart w:id="52"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52"/>
    <w:bookmarkStart w:id="53"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53"/>
    <w:bookmarkStart w:id="55"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54">
        <w:r>
          <w:rPr>
            <w:rStyle w:val="Hyperlink"/>
          </w:rPr>
          <w:t xml:space="preserve">10.1073/pnas.2002713117</w:t>
        </w:r>
      </w:hyperlink>
      <w:r>
        <w:t xml:space="preserve">.</w:t>
      </w:r>
    </w:p>
    <w:bookmarkEnd w:id="55"/>
    <w:bookmarkStart w:id="56" w:name="ref-menzel_european_2006"/>
    <w:p>
      <w:pPr>
        <w:pStyle w:val="Bibliography"/>
      </w:pPr>
      <w:r>
        <w:t xml:space="preserve">7.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6"/>
    <w:bookmarkStart w:id="57"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7"/>
    <w:bookmarkStart w:id="58"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8"/>
    <w:bookmarkStart w:id="59"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9"/>
    <w:bookmarkStart w:id="60"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60"/>
    <w:bookmarkStart w:id="61"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61"/>
    <w:bookmarkStart w:id="62" w:name="ref-savage_coordination_2021"/>
    <w:p>
      <w:pPr>
        <w:pStyle w:val="Bibliography"/>
      </w:pPr>
      <w:r>
        <w:t xml:space="preserve">13. Savage, J. A. &amp; Chuine, I. Coordination of spring vascular and organ phenology in deciduous angiosperms growing in seasonally cold climates.</w:t>
      </w:r>
      <w:r>
        <w:t xml:space="preserve"> </w:t>
      </w:r>
      <w:r>
        <w:rPr>
          <w:i/>
        </w:rPr>
        <w:t xml:space="preserve">New Phytologist</w:t>
      </w:r>
      <w:r>
        <w:t xml:space="preserve"> </w:t>
      </w:r>
      <w:r>
        <w:rPr>
          <w:b/>
        </w:rPr>
        <w:t xml:space="preserve">230</w:t>
      </w:r>
      <w:r>
        <w:t xml:space="preserve">, 1700–1715 (2021).</w:t>
      </w:r>
    </w:p>
    <w:bookmarkEnd w:id="62"/>
    <w:bookmarkStart w:id="63" w:name="ref-delpierre_temperate_2016"/>
    <w:p>
      <w:pPr>
        <w:pStyle w:val="Bibliography"/>
      </w:pPr>
      <w:r>
        <w:t xml:space="preserve">14. Delpierre, N.</w:t>
      </w:r>
      <w:r>
        <w:t xml:space="preserve"> </w:t>
      </w:r>
      <w:r>
        <w:rPr>
          <w:i/>
        </w:rPr>
        <w:t xml:space="preserve">et al.</w:t>
      </w:r>
      <w:r>
        <w:t xml:space="preserve"> </w:t>
      </w:r>
      <w:r>
        <w:t xml:space="preserve">Temperate and boreal forest tree phenology: From organ-scale processes to terrestrial ecosystem models.</w:t>
      </w:r>
      <w:r>
        <w:t xml:space="preserve"> </w:t>
      </w:r>
      <w:r>
        <w:rPr>
          <w:i/>
        </w:rPr>
        <w:t xml:space="preserve">Annals of Forest Science</w:t>
      </w:r>
      <w:r>
        <w:t xml:space="preserve"> </w:t>
      </w:r>
      <w:r>
        <w:rPr>
          <w:b/>
        </w:rPr>
        <w:t xml:space="preserve">73</w:t>
      </w:r>
      <w:r>
        <w:t xml:space="preserve">, 5–25 (2016).</w:t>
      </w:r>
    </w:p>
    <w:bookmarkEnd w:id="63"/>
    <w:bookmarkStart w:id="64"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64"/>
    <w:bookmarkStart w:id="65"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5"/>
    <w:bookmarkStart w:id="66" w:name="ref-zani_increased_2020"/>
    <w:p>
      <w:pPr>
        <w:pStyle w:val="Bibliography"/>
      </w:pPr>
      <w:r>
        <w:t xml:space="preserve">17. Zani, D., Crowther, T. W., Mo, L., Renner, S. S. &amp; Zohner, C. M. Increased growing-season productivity drives earlier autumn leaf senescence in temperate trees. 7 (2020).</w:t>
      </w:r>
    </w:p>
    <w:bookmarkEnd w:id="66"/>
    <w:bookmarkStart w:id="67"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67"/>
    <w:bookmarkStart w:id="69" w:name="ref-harris_global_2021"/>
    <w:p>
      <w:pPr>
        <w:pStyle w:val="Bibliography"/>
      </w:pPr>
      <w:r>
        <w:t xml:space="preserve">19. Harris, N. L.</w:t>
      </w:r>
      <w:r>
        <w:t xml:space="preserve"> </w:t>
      </w:r>
      <w:r>
        <w:rPr>
          <w:i/>
        </w:rPr>
        <w:t xml:space="preserve">et al.</w:t>
      </w:r>
      <w:r>
        <w:t xml:space="preserve"> </w:t>
      </w:r>
      <w:r>
        <w:t xml:space="preserve">Global maps of twenty-first century forest carbon fluxes.</w:t>
      </w:r>
      <w:r>
        <w:t xml:space="preserve"> </w:t>
      </w:r>
      <w:r>
        <w:rPr>
          <w:i/>
        </w:rPr>
        <w:t xml:space="preserve">Nature Climate Change</w:t>
      </w:r>
      <w:r>
        <w:t xml:space="preserve"> </w:t>
      </w:r>
      <w:r>
        <w:t xml:space="preserve">1–7 (2021) doi:</w:t>
      </w:r>
      <w:hyperlink r:id="rId68">
        <w:r>
          <w:rPr>
            <w:rStyle w:val="Hyperlink"/>
          </w:rPr>
          <w:t xml:space="preserve">10.1038/s41558-020-00976-6</w:t>
        </w:r>
      </w:hyperlink>
      <w:r>
        <w:t xml:space="preserve">.</w:t>
      </w:r>
    </w:p>
    <w:bookmarkEnd w:id="69"/>
    <w:bookmarkStart w:id="70" w:name="ref-pugh_role_2019"/>
    <w:p>
      <w:pPr>
        <w:pStyle w:val="Bibliography"/>
      </w:pPr>
      <w:r>
        <w:t xml:space="preserve">20.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70"/>
    <w:bookmarkStart w:id="71" w:name="ref-arora_carbon_2020"/>
    <w:p>
      <w:pPr>
        <w:pStyle w:val="Bibliography"/>
      </w:pPr>
      <w:r>
        <w:t xml:space="preserve">21.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1"/>
    <w:bookmarkStart w:id="72" w:name="ref-friedlingstein_global_2020"/>
    <w:p>
      <w:pPr>
        <w:pStyle w:val="Bibliography"/>
      </w:pPr>
      <w:r>
        <w:t xml:space="preserve">22.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2"/>
    <w:bookmarkStart w:id="73" w:name="ref-fatichi_moving_2014"/>
    <w:p>
      <w:pPr>
        <w:pStyle w:val="Bibliography"/>
      </w:pPr>
      <w:r>
        <w:t xml:space="preserve">23. Fatichi, S., Leuzinger, S. &amp; Körner, C. Moving beyond photosynthesis: From carbon source to sink-driven vegetation modeling.</w:t>
      </w:r>
      <w:r>
        <w:t xml:space="preserve"> </w:t>
      </w:r>
      <w:r>
        <w:rPr>
          <w:i/>
        </w:rPr>
        <w:t xml:space="preserve">The New Phytologist</w:t>
      </w:r>
      <w:r>
        <w:t xml:space="preserve"> </w:t>
      </w:r>
      <w:r>
        <w:rPr>
          <w:b/>
        </w:rPr>
        <w:t xml:space="preserve">201</w:t>
      </w:r>
      <w:r>
        <w:t xml:space="preserve">, 1086–1095 (2014).</w:t>
      </w:r>
    </w:p>
    <w:bookmarkEnd w:id="73"/>
    <w:bookmarkStart w:id="74" w:name="ref-lu_no_2022"/>
    <w:p>
      <w:pPr>
        <w:pStyle w:val="Bibliography"/>
      </w:pPr>
      <w:r>
        <w:t xml:space="preserve">24. Lu, X. &amp; Keenan, T. F. No evidence for a negative effect of growing season photosynthesis on leaf senescence timing.</w:t>
      </w:r>
      <w:r>
        <w:t xml:space="preserve"> </w:t>
      </w:r>
      <w:r>
        <w:rPr>
          <w:i/>
        </w:rPr>
        <w:t xml:space="preserve">Global Change Biology</w:t>
      </w:r>
      <w:r>
        <w:t xml:space="preserve"> </w:t>
      </w:r>
      <w:r>
        <w:rPr>
          <w:b/>
        </w:rPr>
        <w:t xml:space="preserve">n/a</w:t>
      </w:r>
      <w:r>
        <w:t xml:space="preserve">, (2022).</w:t>
      </w:r>
    </w:p>
    <w:bookmarkEnd w:id="74"/>
    <w:bookmarkStart w:id="75" w:name="ref-delpierre_wood_2016"/>
    <w:p>
      <w:pPr>
        <w:pStyle w:val="Bibliography"/>
      </w:pPr>
      <w:r>
        <w:t xml:space="preserve">25. Delpierre, N., Berveiller, D., Granda, E. &amp; Dufrêne, E. Wood phenology, not carbon input, controls the interannual variability of wood growth in a temperate oak forest.</w:t>
      </w:r>
      <w:r>
        <w:t xml:space="preserve"> </w:t>
      </w:r>
      <w:r>
        <w:rPr>
          <w:i/>
        </w:rPr>
        <w:t xml:space="preserve">New Phytologist</w:t>
      </w:r>
      <w:r>
        <w:t xml:space="preserve"> </w:t>
      </w:r>
      <w:r>
        <w:rPr>
          <w:b/>
        </w:rPr>
        <w:t xml:space="preserve">210</w:t>
      </w:r>
      <w:r>
        <w:t xml:space="preserve">, 459–470 (2016).</w:t>
      </w:r>
    </w:p>
    <w:bookmarkEnd w:id="75"/>
    <w:bookmarkStart w:id="76" w:name="ref-huang_photoperiod_2020"/>
    <w:p>
      <w:pPr>
        <w:pStyle w:val="Bibliography"/>
      </w:pPr>
      <w:r>
        <w:t xml:space="preserve">26. Huang, J.-G.</w:t>
      </w:r>
      <w:r>
        <w:t xml:space="preserve"> </w:t>
      </w:r>
      <w:r>
        <w:rPr>
          <w:i/>
        </w:rPr>
        <w:t xml:space="preserve">et al.</w:t>
      </w:r>
      <w:r>
        <w:t xml:space="preserve"> </w:t>
      </w:r>
      <w:r>
        <w:t xml:space="preserve">Photoperiod and temperature as dominant environmental drivers triggering secondary growth resumption in Northern Hemisphere conifers.</w:t>
      </w:r>
      <w:r>
        <w:t xml:space="preserve"> </w:t>
      </w:r>
      <w:r>
        <w:rPr>
          <w:i/>
        </w:rPr>
        <w:t xml:space="preserve">Proceedings of the National Academy of Sciences</w:t>
      </w:r>
      <w:r>
        <w:t xml:space="preserve"> </w:t>
      </w:r>
      <w:r>
        <w:rPr>
          <w:b/>
        </w:rPr>
        <w:t xml:space="preserve">117</w:t>
      </w:r>
      <w:r>
        <w:t xml:space="preserve">, 20645–20652 (2020).</w:t>
      </w:r>
    </w:p>
    <w:bookmarkEnd w:id="76"/>
    <w:bookmarkStart w:id="77" w:name="ref-delpierre_chilling_2019"/>
    <w:p>
      <w:pPr>
        <w:pStyle w:val="Bibliography"/>
      </w:pPr>
      <w:r>
        <w:t xml:space="preserve">27. Delpierre, N.</w:t>
      </w:r>
      <w:r>
        <w:t xml:space="preserve"> </w:t>
      </w:r>
      <w:r>
        <w:rPr>
          <w:i/>
        </w:rPr>
        <w:t xml:space="preserve">et al.</w:t>
      </w:r>
      <w:r>
        <w:t xml:space="preserve"> </w:t>
      </w:r>
      <w:r>
        <w:t xml:space="preserve">Chilling and forcing temperatures interact to predict the onset of wood formation in Northern Hemisphere conifers.</w:t>
      </w:r>
      <w:r>
        <w:t xml:space="preserve"> </w:t>
      </w:r>
      <w:r>
        <w:rPr>
          <w:i/>
        </w:rPr>
        <w:t xml:space="preserve">Global Change Biology</w:t>
      </w:r>
      <w:r>
        <w:t xml:space="preserve"> </w:t>
      </w:r>
      <w:r>
        <w:rPr>
          <w:b/>
        </w:rPr>
        <w:t xml:space="preserve">25</w:t>
      </w:r>
      <w:r>
        <w:t xml:space="preserve">, 1089–1105 (2019).</w:t>
      </w:r>
    </w:p>
    <w:bookmarkEnd w:id="77"/>
    <w:bookmarkStart w:id="78" w:name="ref-rossi_critical_2008"/>
    <w:p>
      <w:pPr>
        <w:pStyle w:val="Bibliography"/>
      </w:pPr>
      <w:r>
        <w:t xml:space="preserve">28. Rossi, S.</w:t>
      </w:r>
      <w:r>
        <w:t xml:space="preserve"> </w:t>
      </w:r>
      <w:r>
        <w:rPr>
          <w:i/>
        </w:rPr>
        <w:t xml:space="preserve">et al.</w:t>
      </w:r>
      <w:r>
        <w:t xml:space="preserve"> </w:t>
      </w:r>
      <w:r>
        <w:t xml:space="preserve">Critical temperatures for xylogenesis in conifers of cold climates.</w:t>
      </w:r>
      <w:r>
        <w:t xml:space="preserve"> </w:t>
      </w:r>
      <w:r>
        <w:rPr>
          <w:i/>
        </w:rPr>
        <w:t xml:space="preserve">Global Ecology and Biogeography</w:t>
      </w:r>
      <w:r>
        <w:t xml:space="preserve"> </w:t>
      </w:r>
      <w:r>
        <w:rPr>
          <w:b/>
        </w:rPr>
        <w:t xml:space="preserve">17</w:t>
      </w:r>
      <w:r>
        <w:t xml:space="preserve">, 696–707 (2008).</w:t>
      </w:r>
    </w:p>
    <w:bookmarkEnd w:id="78"/>
    <w:bookmarkStart w:id="79" w:name="ref-cook_predicting_1991"/>
    <w:p>
      <w:pPr>
        <w:pStyle w:val="Bibliography"/>
      </w:pPr>
      <w:r>
        <w:t xml:space="preserve">29. Cook, E. R. &amp; Cole, J. On predicting the response of forests in eastern North America to future climatic change.</w:t>
      </w:r>
      <w:r>
        <w:t xml:space="preserve"> </w:t>
      </w:r>
      <w:r>
        <w:rPr>
          <w:i/>
        </w:rPr>
        <w:t xml:space="preserve">Climatic Change</w:t>
      </w:r>
      <w:r>
        <w:t xml:space="preserve"> </w:t>
      </w:r>
      <w:r>
        <w:rPr>
          <w:b/>
        </w:rPr>
        <w:t xml:space="preserve">19</w:t>
      </w:r>
      <w:r>
        <w:t xml:space="preserve">, 271–282 (1991).</w:t>
      </w:r>
    </w:p>
    <w:bookmarkEnd w:id="79"/>
    <w:bookmarkStart w:id="80" w:name="ref-babst_twentieth_2019"/>
    <w:p>
      <w:pPr>
        <w:pStyle w:val="Bibliography"/>
      </w:pPr>
      <w:r>
        <w:t xml:space="preserve">30. Babst, F.</w:t>
      </w:r>
      <w:r>
        <w:t xml:space="preserve"> </w:t>
      </w:r>
      <w:r>
        <w:rPr>
          <w:i/>
        </w:rPr>
        <w:t xml:space="preserve">et al.</w:t>
      </w:r>
      <w:r>
        <w:t xml:space="preserve"> </w:t>
      </w:r>
      <w:r>
        <w:t xml:space="preserve">Twentieth century redistribution in climatic drivers of global tree growth.</w:t>
      </w:r>
      <w:r>
        <w:t xml:space="preserve"> </w:t>
      </w:r>
      <w:r>
        <w:rPr>
          <w:i/>
        </w:rPr>
        <w:t xml:space="preserve">Science Advances</w:t>
      </w:r>
      <w:r>
        <w:t xml:space="preserve"> </w:t>
      </w:r>
      <w:r>
        <w:rPr>
          <w:b/>
        </w:rPr>
        <w:t xml:space="preserve">5</w:t>
      </w:r>
      <w:r>
        <w:t xml:space="preserve">, eaat4313 (2019).</w:t>
      </w:r>
    </w:p>
    <w:bookmarkEnd w:id="80"/>
    <w:bookmarkStart w:id="81" w:name="ref-anderson-teixeira_joint_2021"/>
    <w:p>
      <w:pPr>
        <w:pStyle w:val="Bibliography"/>
      </w:pPr>
      <w:r>
        <w:t xml:space="preserve">31.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1"/>
    <w:bookmarkStart w:id="83" w:name="ref-gao_earlier_2022"/>
    <w:p>
      <w:pPr>
        <w:pStyle w:val="Bibliography"/>
      </w:pPr>
      <w:r>
        <w:t xml:space="preserve">32. Gao, S.</w:t>
      </w:r>
      <w:r>
        <w:t xml:space="preserve"> </w:t>
      </w:r>
      <w:r>
        <w:rPr>
          <w:i/>
        </w:rPr>
        <w:t xml:space="preserve">et al.</w:t>
      </w:r>
      <w:r>
        <w:t xml:space="preserve"> </w:t>
      </w:r>
      <w:r>
        <w:t xml:space="preserve">An earlier start of the thermal growing season enhances tree growth in cold humid areas but not in dry areas.</w:t>
      </w:r>
      <w:r>
        <w:t xml:space="preserve"> </w:t>
      </w:r>
      <w:r>
        <w:rPr>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33. Zweifel, R.</w:t>
      </w:r>
      <w:r>
        <w:t xml:space="preserve"> </w:t>
      </w:r>
      <w:r>
        <w:rPr>
          <w:i/>
        </w:rPr>
        <w:t xml:space="preserve">et al.</w:t>
      </w:r>
      <w:r>
        <w:t xml:space="preserve"> </w:t>
      </w:r>
      <w:r>
        <w:t xml:space="preserve">Why trees grow at night.</w:t>
      </w:r>
      <w:r>
        <w:t xml:space="preserve"> </w:t>
      </w:r>
      <w:r>
        <w:rPr>
          <w:i/>
        </w:rPr>
        <w:t xml:space="preserve">New Phytologist</w:t>
      </w:r>
      <w:r>
        <w:t xml:space="preserve"> </w:t>
      </w:r>
      <w:r>
        <w:rPr>
          <w:b/>
        </w:rPr>
        <w:t xml:space="preserve">231</w:t>
      </w:r>
      <w:r>
        <w:t xml:space="preserve">, 2174–2185 (2021).</w:t>
      </w:r>
    </w:p>
    <w:bookmarkEnd w:id="84"/>
    <w:bookmarkStart w:id="85" w:name="ref-tumajer_limitation_2022"/>
    <w:p>
      <w:pPr>
        <w:pStyle w:val="Bibliography"/>
      </w:pPr>
      <w:r>
        <w:t xml:space="preserve">34. Tumajer, J., Scharnweber, T., Smiljanic, M. &amp; Wilmking, M. Limitation by vapour pressure deficit shapes different intra-annual growth patterns of diffuse- and ring-porous temperate broadleaves.</w:t>
      </w:r>
      <w:r>
        <w:t xml:space="preserve"> </w:t>
      </w:r>
      <w:r>
        <w:rPr>
          <w:i/>
        </w:rPr>
        <w:t xml:space="preserve">New Phytologist</w:t>
      </w:r>
      <w:r>
        <w:t xml:space="preserve"> </w:t>
      </w:r>
      <w:r>
        <w:rPr>
          <w:b/>
        </w:rPr>
        <w:t xml:space="preserve">n/a</w:t>
      </w:r>
      <w:r>
        <w:t xml:space="preserve">, (2022).</w:t>
      </w:r>
    </w:p>
    <w:bookmarkEnd w:id="85"/>
    <w:bookmarkStart w:id="86" w:name="ref-etzold_number_2022"/>
    <w:p>
      <w:pPr>
        <w:pStyle w:val="Bibliography"/>
      </w:pPr>
      <w:r>
        <w:t xml:space="preserve">35. Etzold, S.</w:t>
      </w:r>
      <w:r>
        <w:t xml:space="preserve"> </w:t>
      </w:r>
      <w:r>
        <w:rPr>
          <w:i/>
        </w:rPr>
        <w:t xml:space="preserve">et al.</w:t>
      </w:r>
      <w:r>
        <w:t xml:space="preserve"> </w:t>
      </w:r>
      <w:r>
        <w:t xml:space="preserve">Number of growth days and not length of the growth period determines radial stem growth of temperate trees.</w:t>
      </w:r>
      <w:r>
        <w:t xml:space="preserve"> </w:t>
      </w:r>
      <w:r>
        <w:rPr>
          <w:i/>
        </w:rPr>
        <w:t xml:space="preserve">Ecology Letters</w:t>
      </w:r>
      <w:r>
        <w:t xml:space="preserve"> </w:t>
      </w:r>
      <w:r>
        <w:rPr>
          <w:b/>
        </w:rPr>
        <w:t xml:space="preserve">n/a</w:t>
      </w:r>
      <w:r>
        <w:t xml:space="preserve">, (2022).</w:t>
      </w:r>
    </w:p>
    <w:bookmarkEnd w:id="86"/>
    <w:bookmarkStart w:id="87" w:name="ref-zohner_how_2021"/>
    <w:p>
      <w:pPr>
        <w:pStyle w:val="Bibliography"/>
      </w:pPr>
      <w:r>
        <w:t xml:space="preserve">36.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87"/>
    <w:bookmarkStart w:id="88" w:name="ref-dorangeville_drought_2018"/>
    <w:p>
      <w:pPr>
        <w:pStyle w:val="Bibliography"/>
      </w:pPr>
      <w:r>
        <w:t xml:space="preserve">37.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88"/>
    <w:bookmarkStart w:id="89" w:name="ref-helcoski_growing_2019"/>
    <w:p>
      <w:pPr>
        <w:pStyle w:val="Bibliography"/>
      </w:pPr>
      <w:r>
        <w:t xml:space="preserve">38.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89"/>
    <w:bookmarkStart w:id="90" w:name="ref-mcmahon_general_2015"/>
    <w:p>
      <w:pPr>
        <w:pStyle w:val="Bibliography"/>
      </w:pPr>
      <w:r>
        <w:t xml:space="preserve">39.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90"/>
    <w:bookmarkStart w:id="92" w:name="ref-dorangeville_peak_2021"/>
    <w:p>
      <w:pPr>
        <w:pStyle w:val="Bibliography"/>
      </w:pPr>
      <w:r>
        <w:t xml:space="preserve">40.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richardson_seasonal_2013"/>
    <w:p>
      <w:pPr>
        <w:pStyle w:val="Bibliography"/>
      </w:pPr>
      <w:r>
        <w:t xml:space="preserve">41.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93"/>
    <w:bookmarkStart w:id="94" w:name="ref-keenan_timing_2015"/>
    <w:p>
      <w:pPr>
        <w:pStyle w:val="Bibliography"/>
      </w:pPr>
      <w:r>
        <w:t xml:space="preserve">42.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94"/>
    <w:bookmarkStart w:id="95" w:name="ref-cuny_woody_2015"/>
    <w:p>
      <w:pPr>
        <w:pStyle w:val="Bibliography"/>
      </w:pPr>
      <w:r>
        <w:t xml:space="preserve">43.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95"/>
    <w:bookmarkStart w:id="96" w:name="ref-roibu_climatic_2020"/>
    <w:p>
      <w:pPr>
        <w:pStyle w:val="Bibliography"/>
      </w:pPr>
      <w:r>
        <w:t xml:space="preserve">44.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96"/>
    <w:bookmarkStart w:id="97" w:name="ref-kern_multiple_2013"/>
    <w:p>
      <w:pPr>
        <w:pStyle w:val="Bibliography"/>
      </w:pPr>
      <w:r>
        <w:t xml:space="preserve">45.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97"/>
    <w:bookmarkStart w:id="98" w:name="ref-jiang_fate_2020"/>
    <w:p>
      <w:pPr>
        <w:pStyle w:val="Bibliography"/>
      </w:pPr>
      <w:r>
        <w:t xml:space="preserve">46. Jiang, M.</w:t>
      </w:r>
      <w:r>
        <w:t xml:space="preserve"> </w:t>
      </w:r>
      <w:r>
        <w:rPr>
          <w:i/>
        </w:rPr>
        <w:t xml:space="preserve">et al.</w:t>
      </w:r>
      <w:r>
        <w:t xml:space="preserve"> </w:t>
      </w:r>
      <w:r>
        <w:t xml:space="preserve">The fate of carbon in a mature forest under carbon dioxide enrichment.</w:t>
      </w:r>
      <w:r>
        <w:t xml:space="preserve"> </w:t>
      </w:r>
      <w:r>
        <w:rPr>
          <w:i/>
        </w:rPr>
        <w:t xml:space="preserve">Nature</w:t>
      </w:r>
      <w:r>
        <w:t xml:space="preserve"> </w:t>
      </w:r>
      <w:r>
        <w:rPr>
          <w:b/>
        </w:rPr>
        <w:t xml:space="preserve">580</w:t>
      </w:r>
      <w:r>
        <w:t xml:space="preserve">, 227–231 (2020).</w:t>
      </w:r>
    </w:p>
    <w:bookmarkEnd w:id="98"/>
    <w:bookmarkStart w:id="99" w:name="ref-oishi_warmer_2018"/>
    <w:p>
      <w:pPr>
        <w:pStyle w:val="Bibliography"/>
      </w:pPr>
      <w:r>
        <w:t xml:space="preserve">47.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99"/>
    <w:bookmarkStart w:id="101" w:name="ref-banburymorgan_global_2021"/>
    <w:p>
      <w:pPr>
        <w:pStyle w:val="Bibliography"/>
      </w:pPr>
      <w:r>
        <w:t xml:space="preserve">48.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100">
        <w:r>
          <w:rPr>
            <w:rStyle w:val="Hyperlink"/>
          </w:rPr>
          <w:t xml:space="preserve">10.1111/gcb.15574</w:t>
        </w:r>
      </w:hyperlink>
      <w:r>
        <w:t xml:space="preserve">.</w:t>
      </w:r>
    </w:p>
    <w:bookmarkEnd w:id="101"/>
    <w:bookmarkStart w:id="102" w:name="ref-churkina_spatial_2005"/>
    <w:p>
      <w:pPr>
        <w:pStyle w:val="Bibliography"/>
      </w:pPr>
      <w:r>
        <w:t xml:space="preserve">49.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102"/>
    <w:bookmarkStart w:id="103" w:name="ref-zhang_drought_2021"/>
    <w:p>
      <w:pPr>
        <w:pStyle w:val="Bibliography"/>
      </w:pPr>
      <w:r>
        <w:t xml:space="preserve">50.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103"/>
    <w:bookmarkStart w:id="104" w:name="ref-lian_summer_2022"/>
    <w:p>
      <w:pPr>
        <w:pStyle w:val="Bibliography"/>
      </w:pPr>
      <w:r>
        <w:t xml:space="preserve">51. Lian, X.</w:t>
      </w:r>
      <w:r>
        <w:t xml:space="preserve"> </w:t>
      </w:r>
      <w:r>
        <w:rPr>
          <w:i/>
        </w:rPr>
        <w:t xml:space="preserve">et al.</w:t>
      </w:r>
      <w:r>
        <w:t xml:space="preserve"> </w:t>
      </w:r>
      <w:r>
        <w:t xml:space="preserve">Summer soil drying exacerbated by earlier spring greening of northern vegetation.</w:t>
      </w:r>
      <w:r>
        <w:t xml:space="preserve"> </w:t>
      </w:r>
      <w:r>
        <w:rPr>
          <w:i/>
        </w:rPr>
        <w:t xml:space="preserve">Science Advances</w:t>
      </w:r>
      <w:r>
        <w:t xml:space="preserve"> </w:t>
      </w:r>
      <w:r>
        <w:rPr>
          <w:b/>
        </w:rPr>
        <w:t xml:space="preserve">6</w:t>
      </w:r>
      <w:r>
        <w:t xml:space="preserve">, eaax0255 (2022).</w:t>
      </w:r>
    </w:p>
    <w:bookmarkEnd w:id="104"/>
    <w:bookmarkStart w:id="105" w:name="ref-bourg_initial_2013"/>
    <w:p>
      <w:pPr>
        <w:pStyle w:val="Bibliography"/>
      </w:pPr>
      <w:r>
        <w:t xml:space="preserve">52.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105"/>
    <w:bookmarkStart w:id="106" w:name="ref-anderson-teixeira_ctfsforestgeo_2015"/>
    <w:p>
      <w:pPr>
        <w:pStyle w:val="Bibliography"/>
      </w:pPr>
      <w:r>
        <w:t xml:space="preserve">53.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106"/>
    <w:bookmarkStart w:id="107" w:name="ref-davies_forestgeo_2021"/>
    <w:p>
      <w:pPr>
        <w:pStyle w:val="Bibliography"/>
      </w:pPr>
      <w:r>
        <w:t xml:space="preserve">54.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107"/>
    <w:bookmarkStart w:id="108" w:name="ref-herrmann_tree_2016"/>
    <w:p>
      <w:pPr>
        <w:pStyle w:val="Bibliography"/>
      </w:pPr>
      <w:r>
        <w:t xml:space="preserve">55. Herrmann, V.</w:t>
      </w:r>
      <w:r>
        <w:t xml:space="preserve"> </w:t>
      </w:r>
      <w:r>
        <w:rPr>
          <w:i/>
        </w:rPr>
        <w:t xml:space="preserve">et al.</w:t>
      </w:r>
      <w:r>
        <w:t xml:space="preserve"> </w:t>
      </w:r>
      <w:r>
        <w:t xml:space="preserve">Tree Circumference Dynamics in Four Forests Characterized Using Automated Dendrometer Bands.</w:t>
      </w:r>
      <w:r>
        <w:t xml:space="preserve"> </w:t>
      </w:r>
      <w:r>
        <w:rPr>
          <w:i/>
        </w:rPr>
        <w:t xml:space="preserve">PloS one</w:t>
      </w:r>
      <w:r>
        <w:t xml:space="preserve"> </w:t>
      </w:r>
      <w:r>
        <w:rPr>
          <w:b/>
        </w:rPr>
        <w:t xml:space="preserve">11</w:t>
      </w:r>
      <w:r>
        <w:t xml:space="preserve">, e0169020 (2016).</w:t>
      </w:r>
    </w:p>
    <w:bookmarkEnd w:id="108"/>
    <w:bookmarkStart w:id="110" w:name="ref-friedl_mcd12q2_2019"/>
    <w:p>
      <w:pPr>
        <w:pStyle w:val="Bibliography"/>
      </w:pPr>
      <w:r>
        <w:t xml:space="preserve">56. Friedl, M., Gray, J. &amp; Sulla-Menashe, D. MCD12Q2 MODIS/Terra+Aqua Land Cover Dynamics Yearly L3 Global 500m SIN Grid V006. (2019) doi:</w:t>
      </w:r>
      <w:hyperlink r:id="rId109">
        <w:r>
          <w:rPr>
            <w:rStyle w:val="Hyperlink"/>
          </w:rPr>
          <w:t xml:space="preserve">10.5067/MODIS/MCD12Q2.006</w:t>
        </w:r>
      </w:hyperlink>
      <w:r>
        <w:t xml:space="preserve">.</w:t>
      </w:r>
    </w:p>
    <w:bookmarkEnd w:id="110"/>
    <w:bookmarkStart w:id="112" w:name="ref-anderson-teixeira_forestgeo_2020"/>
    <w:p>
      <w:pPr>
        <w:pStyle w:val="Bibliography"/>
      </w:pPr>
      <w:r>
        <w:t xml:space="preserve">57. Anderson-Teixeira, K.</w:t>
      </w:r>
      <w:r>
        <w:t xml:space="preserve"> </w:t>
      </w:r>
      <w:r>
        <w:rPr>
          <w:i/>
        </w:rPr>
        <w:t xml:space="preserve">et al.</w:t>
      </w:r>
      <w:r>
        <w:t xml:space="preserve"> </w:t>
      </w:r>
      <w:r>
        <w:t xml:space="preserve">Forestgeo/Climate: Initial release. (2020) doi:</w:t>
      </w:r>
      <w:hyperlink r:id="rId111">
        <w:r>
          <w:rPr>
            <w:rStyle w:val="Hyperlink"/>
          </w:rPr>
          <w:t xml:space="preserve">10.5281/ZENODO.4041609</w:t>
        </w:r>
      </w:hyperlink>
      <w:r>
        <w:t xml:space="preserve">.</w:t>
      </w:r>
    </w:p>
    <w:bookmarkEnd w:id="112"/>
    <w:bookmarkStart w:id="113" w:name="ref-benestad_empiricalstatistical_2008"/>
    <w:p>
      <w:pPr>
        <w:pStyle w:val="Bibliography"/>
      </w:pPr>
      <w:r>
        <w:t xml:space="preserve">58. Benestad, R. E., Hanssen-Bauer, I. &amp; Chen, D.</w:t>
      </w:r>
      <w:r>
        <w:t xml:space="preserve"> </w:t>
      </w:r>
      <w:r>
        <w:rPr>
          <w:i/>
        </w:rPr>
        <w:t xml:space="preserve">Empirical-statistical downscaling</w:t>
      </w:r>
      <w:r>
        <w:t xml:space="preserve">. (World Scientific Pub Co Inc, 2008).</w:t>
      </w:r>
    </w:p>
    <w:bookmarkEnd w:id="113"/>
    <w:bookmarkStart w:id="115" w:name="ref-boose_shaler_2021"/>
    <w:p>
      <w:pPr>
        <w:pStyle w:val="Bibliography"/>
      </w:pPr>
      <w:r>
        <w:t xml:space="preserve">59. Boose, E. &amp; Gould, E. Shaler Meteorological Station at Harvard Forest 1964-2002. (2021) doi:</w:t>
      </w:r>
      <w:hyperlink r:id="rId114">
        <w:r>
          <w:rPr>
            <w:rStyle w:val="Hyperlink"/>
          </w:rPr>
          <w:t xml:space="preserve">10.6073/PASTA/213335F5DAA17222A738C105B9FA60C4</w:t>
        </w:r>
      </w:hyperlink>
      <w:r>
        <w:t xml:space="preserve">.</w:t>
      </w:r>
    </w:p>
    <w:bookmarkEnd w:id="115"/>
    <w:bookmarkStart w:id="117" w:name="ref-boose_fisher_2021"/>
    <w:p>
      <w:pPr>
        <w:pStyle w:val="Bibliography"/>
      </w:pPr>
      <w:r>
        <w:t xml:space="preserve">60. Boose, E. Fisher Meteorological Station at Harvard Forest since 2001. (2021) doi:</w:t>
      </w:r>
      <w:hyperlink r:id="rId116">
        <w:r>
          <w:rPr>
            <w:rStyle w:val="Hyperlink"/>
          </w:rPr>
          <w:t xml:space="preserve">10.6073/PASTA/69E92642B512897032446CFE795CFFB8</w:t>
        </w:r>
      </w:hyperlink>
      <w:r>
        <w:t xml:space="preserve">.</w:t>
      </w:r>
    </w:p>
    <w:bookmarkEnd w:id="117"/>
    <w:bookmarkStart w:id="118" w:name="ref-vandepol_identifying_2016"/>
    <w:p>
      <w:pPr>
        <w:pStyle w:val="Bibliography"/>
      </w:pPr>
      <w:r>
        <w:t xml:space="preserve">61.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118"/>
    <w:bookmarkStart w:id="119" w:name="ref-gabry_rstanarm_2020"/>
    <w:p>
      <w:pPr>
        <w:pStyle w:val="Bibliography"/>
      </w:pPr>
      <w:r>
        <w:t xml:space="preserve">62. Gabry, J.</w:t>
      </w:r>
      <w:r>
        <w:t xml:space="preserve"> </w:t>
      </w:r>
      <w:r>
        <w:rPr>
          <w:i/>
        </w:rPr>
        <w:t xml:space="preserve">et al.</w:t>
      </w:r>
      <w:r>
        <w:t xml:space="preserve"> </w:t>
      </w:r>
      <w:r>
        <w:t xml:space="preserve">Rstanarm: Bayesian Applied Regression Modeling via Stan. (2020).</w:t>
      </w:r>
    </w:p>
    <w:bookmarkEnd w:id="119"/>
    <w:bookmarkStart w:id="120" w:name="ref-stan_development_team_stan_2019"/>
    <w:p>
      <w:pPr>
        <w:pStyle w:val="Bibliography"/>
      </w:pPr>
      <w:r>
        <w:t xml:space="preserve">63. Stan_Development_Team. Stan Modeling Language Users Guide and Reference Manual, 2.28. (2019).</w:t>
      </w:r>
    </w:p>
    <w:bookmarkEnd w:id="120"/>
    <w:bookmarkStart w:id="121" w:name="ref-vicente-serrano_multiscalar_2010"/>
    <w:p>
      <w:pPr>
        <w:pStyle w:val="Bibliography"/>
      </w:pPr>
      <w:r>
        <w:t xml:space="preserve">64.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21"/>
    <w:bookmarkStart w:id="122" w:name="ref-begueria_standardized_2014"/>
    <w:p>
      <w:pPr>
        <w:pStyle w:val="Bibliography"/>
      </w:pPr>
      <w:r>
        <w:t xml:space="preserve">65. Beguería, S., Vicente-Serrano, S. M., Reig, F. &amp; Latorre, B. Standardized precipitation evapotranspiration index (SPEI) revisited: Parameter fitting, evapotranspiration models, tools, datasets and drought monitoring.</w:t>
      </w:r>
      <w:r>
        <w:t xml:space="preserve"> </w:t>
      </w:r>
      <w:r>
        <w:rPr>
          <w:i/>
        </w:rPr>
        <w:t xml:space="preserve">International Journal of Climatology</w:t>
      </w:r>
      <w:r>
        <w:t xml:space="preserve"> </w:t>
      </w:r>
      <w:r>
        <w:rPr>
          <w:b/>
        </w:rPr>
        <w:t xml:space="preserve">34</w:t>
      </w:r>
      <w:r>
        <w:t xml:space="preserve">, 3001–3023 (2014).</w:t>
      </w:r>
    </w:p>
    <w:bookmarkEnd w:id="122"/>
    <w:bookmarkStart w:id="123" w:name="ref-vicente-serrano_multiscalar_2010a"/>
    <w:p>
      <w:pPr>
        <w:pStyle w:val="Bibliography"/>
      </w:pPr>
      <w:r>
        <w:t xml:space="preserve">66.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23"/>
    <w:bookmarkStart w:id="124" w:name="ref-stokes_introduction_1968"/>
    <w:p>
      <w:pPr>
        <w:pStyle w:val="Bibliography"/>
      </w:pPr>
      <w:r>
        <w:t xml:space="preserve">67. Stokes, M. A. &amp; Smiley, T. L.</w:t>
      </w:r>
      <w:r>
        <w:t xml:space="preserve"> </w:t>
      </w:r>
      <w:r>
        <w:rPr>
          <w:i/>
        </w:rPr>
        <w:t xml:space="preserve">An Introduction to Tree-ring Dating</w:t>
      </w:r>
      <w:r>
        <w:t xml:space="preserve">. (University of Arizona Press, 1968).</w:t>
      </w:r>
    </w:p>
    <w:bookmarkEnd w:id="124"/>
    <w:bookmarkStart w:id="125" w:name="ref-alexander_potential_2019"/>
    <w:p>
      <w:pPr>
        <w:pStyle w:val="Bibliography"/>
      </w:pPr>
      <w:r>
        <w:t xml:space="preserve">68.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25"/>
    <w:bookmarkStart w:id="126" w:name="ref-dye_comparing_2016"/>
    <w:p>
      <w:pPr>
        <w:pStyle w:val="Bibliography"/>
      </w:pPr>
      <w:r>
        <w:t xml:space="preserve">69.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26"/>
    <w:bookmarkStart w:id="127" w:name="ref-maxwell_sampling_2020"/>
    <w:p>
      <w:pPr>
        <w:pStyle w:val="Bibliography"/>
      </w:pPr>
      <w:r>
        <w:t xml:space="preserve">70.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27"/>
    <w:bookmarkStart w:id="129" w:name="ref-cook_methods_1990"/>
    <w:p>
      <w:pPr>
        <w:pStyle w:val="Bibliography"/>
      </w:pPr>
      <w:r>
        <w:t xml:space="preserve">71.</w:t>
      </w:r>
      <w:r>
        <w:t xml:space="preserve"> </w:t>
      </w:r>
      <w:r>
        <w:rPr>
          <w:i/>
        </w:rPr>
        <w:t xml:space="preserve">Methods of Dendrochronology: Applications in the Environmental Sciences</w:t>
      </w:r>
      <w:r>
        <w:t xml:space="preserve">. (Springer Netherlands,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72. Cook, E. R. A Time Series Analysis Approach to Tree Ring Standardization. vol. PhD (University of Arizona, 1985).</w:t>
      </w:r>
    </w:p>
    <w:bookmarkEnd w:id="130"/>
    <w:bookmarkStart w:id="131" w:name="ref-cook_calculating_1997"/>
    <w:p>
      <w:pPr>
        <w:pStyle w:val="Bibliography"/>
      </w:pPr>
      <w:r>
        <w:t xml:space="preserve">73.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131"/>
    <w:bookmarkStart w:id="132" w:name="ref-jones_estimating_1997"/>
    <w:p>
      <w:pPr>
        <w:pStyle w:val="Bibliography"/>
      </w:pPr>
      <w:r>
        <w:t xml:space="preserve">74.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132"/>
    <w:bookmarkStart w:id="133" w:name="ref-harris_version_2020"/>
    <w:p>
      <w:pPr>
        <w:pStyle w:val="Bibliography"/>
      </w:pPr>
      <w:r>
        <w:t xml:space="preserve">75.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33"/>
    <w:bookmarkStart w:id="134" w:name="ref-bunn_dendrochronology_2008"/>
    <w:p>
      <w:pPr>
        <w:pStyle w:val="Bibliography"/>
      </w:pPr>
      <w:r>
        <w:t xml:space="preserve">76. Bunn, A. G. A dendrochronology program library in R (dplR).</w:t>
      </w:r>
      <w:r>
        <w:t xml:space="preserve"> </w:t>
      </w:r>
      <w:r>
        <w:rPr>
          <w:i/>
        </w:rPr>
        <w:t xml:space="preserve">Dendrochronologia</w:t>
      </w:r>
      <w:r>
        <w:t xml:space="preserve"> </w:t>
      </w:r>
      <w:r>
        <w:rPr>
          <w:b/>
        </w:rPr>
        <w:t xml:space="preserve">26</w:t>
      </w:r>
      <w:r>
        <w:t xml:space="preserve">, 115–124 (2008).</w:t>
      </w:r>
    </w:p>
    <w:bookmarkEnd w:id="134"/>
    <w:bookmarkStart w:id="135" w:name="ref-zang_dendroclimatic_2013"/>
    <w:p>
      <w:pPr>
        <w:pStyle w:val="Bibliography"/>
      </w:pPr>
      <w:r>
        <w:t xml:space="preserve">77.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35"/>
    <w:bookmarkStart w:id="136" w:name="ref-biondi_dendroclim2002_2004"/>
    <w:p>
      <w:pPr>
        <w:pStyle w:val="Bibliography"/>
      </w:pPr>
      <w:r>
        <w:t xml:space="preserve">78.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36"/>
    <w:bookmarkEnd w:id="13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45" Target="https://cran.r-project.org/web/packages/climwin/index.html" TargetMode="External" /><Relationship Type="http://schemas.openxmlformats.org/officeDocument/2006/relationships/hyperlink" Id="rId43"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4"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5" Target="https://github.com/EcoClimLab/growth_phenology" TargetMode="External" /><Relationship Type="http://schemas.openxmlformats.org/officeDocument/2006/relationships/hyperlink" Id="rId36" Target="https://github.com/SCBI-ForestGEO/Dendrobands" TargetMode="External" /><Relationship Type="http://schemas.openxmlformats.org/officeDocument/2006/relationships/hyperlink" Id="rId41" Target="https://github.com/forestgeo/Climate/tree/master/Climate_Data/CRU" TargetMode="External" /><Relationship Type="http://schemas.openxmlformats.org/officeDocument/2006/relationships/hyperlink" Id="rId38" Target="https://github.com/forestgeo/Climate/tree/master/Climate_Data/Met_Stations/SCBI" TargetMode="External" /><Relationship Type="http://schemas.openxmlformats.org/officeDocument/2006/relationships/hyperlink" Id="rId42" Target="https://github.com/forestgeo/Climate/tree/master/Climate_Data/SPEI" TargetMode="External" /><Relationship Type="http://schemas.openxmlformats.org/officeDocument/2006/relationships/hyperlink" Id="rId46" Target="https://github.com/seanmcm/RDendrom/" TargetMode="External" /><Relationship Type="http://schemas.openxmlformats.org/officeDocument/2006/relationships/hyperlink" Id="rId40" Target="https://harvardforest1.fas.harvard.edu/exist/apps/datasets/showData.html?id=HF000" TargetMode="External" /><Relationship Type="http://schemas.openxmlformats.org/officeDocument/2006/relationships/hyperlink" Id="rId39" Target="https://harvardforest1.fas.harvard.edu/exist/apps/datasets/showData.html?id=HF001" TargetMode="External" /><Relationship Type="http://schemas.openxmlformats.org/officeDocument/2006/relationships/hyperlink" Id="rId37" Target="https://harvardforest1.fas.harvard.edu/exist/apps/datasets/showData.html?id=HF149"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5" Target="https://cran.r-project.org/web/packages/climwin/index.html" TargetMode="External" /><Relationship Type="http://schemas.openxmlformats.org/officeDocument/2006/relationships/hyperlink" Id="rId43"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4"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09" Target="https://doi.org/10.5067/MODIS/MCD12Q2.006" TargetMode="External" /><Relationship Type="http://schemas.openxmlformats.org/officeDocument/2006/relationships/hyperlink" Id="rId111" Target="https://doi.org/10.5281/ZENODO.4041609" TargetMode="External" /><Relationship Type="http://schemas.openxmlformats.org/officeDocument/2006/relationships/hyperlink" Id="rId114" Target="https://doi.org/10.6073/PASTA/213335F5DAA17222A738C105B9FA60C4" TargetMode="External" /><Relationship Type="http://schemas.openxmlformats.org/officeDocument/2006/relationships/hyperlink" Id="rId116"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5" Target="https://github.com/EcoClimLab/growth_phenology" TargetMode="External" /><Relationship Type="http://schemas.openxmlformats.org/officeDocument/2006/relationships/hyperlink" Id="rId36" Target="https://github.com/SCBI-ForestGEO/Dendrobands" TargetMode="External" /><Relationship Type="http://schemas.openxmlformats.org/officeDocument/2006/relationships/hyperlink" Id="rId41" Target="https://github.com/forestgeo/Climate/tree/master/Climate_Data/CRU" TargetMode="External" /><Relationship Type="http://schemas.openxmlformats.org/officeDocument/2006/relationships/hyperlink" Id="rId38" Target="https://github.com/forestgeo/Climate/tree/master/Climate_Data/Met_Stations/SCBI" TargetMode="External" /><Relationship Type="http://schemas.openxmlformats.org/officeDocument/2006/relationships/hyperlink" Id="rId42" Target="https://github.com/forestgeo/Climate/tree/master/Climate_Data/SPEI" TargetMode="External" /><Relationship Type="http://schemas.openxmlformats.org/officeDocument/2006/relationships/hyperlink" Id="rId46" Target="https://github.com/seanmcm/RDendrom/" TargetMode="External" /><Relationship Type="http://schemas.openxmlformats.org/officeDocument/2006/relationships/hyperlink" Id="rId40" Target="https://harvardforest1.fas.harvard.edu/exist/apps/datasets/showData.html?id=HF000" TargetMode="External" /><Relationship Type="http://schemas.openxmlformats.org/officeDocument/2006/relationships/hyperlink" Id="rId39" Target="https://harvardforest1.fas.harvard.edu/exist/apps/datasets/showData.html?id=HF001" TargetMode="External" /><Relationship Type="http://schemas.openxmlformats.org/officeDocument/2006/relationships/hyperlink" Id="rId37" Target="https://harvardforest1.fas.harvard.edu/exist/apps/datasets/showData.html?id=HF149"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2022-03-12T02:26:56Z</dcterms:created>
  <dcterms:modified xsi:type="dcterms:W3CDTF">2022-03-12T02:26:56Z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