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4.png" ContentType="image/png"/>
  <Override PartName="/word/media/rId22.png" ContentType="image/png"/>
  <Override PartName="/word/media/rId27.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cause earlier tree growth but have little effect on annual woody productivity</w:t>
      </w:r>
    </w:p>
    <w:p>
      <w:pPr>
        <w:pStyle w:val="BodyText"/>
      </w:pPr>
      <w:r>
        <w:rPr>
          <w:bCs/>
          <w:b/>
        </w:rPr>
        <w:t xml:space="preserve">Authors (not yet complete, just alphabetical for now–final order TBD):</w:t>
      </w:r>
    </w:p>
    <w:p>
      <w:pPr>
        <w:pStyle w:val="BodyText"/>
      </w:pPr>
      <w:r>
        <w:t xml:space="preserve">Cameron Dow</w:t>
      </w:r>
      <w:r>
        <w:rPr>
          <w:vertAlign w:val="superscript"/>
        </w:rPr>
        <w:t xml:space="preserve">1</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p>
    <w:p>
      <w:pPr>
        <w:pStyle w:val="BodyText"/>
      </w:pPr>
      <w:r>
        <w:t xml:space="preserve">Grant Harley</w:t>
      </w:r>
    </w:p>
    <w:p>
      <w:pPr>
        <w:pStyle w:val="BodyText"/>
      </w:pPr>
      <w:r>
        <w:t xml:space="preserve">Justin Maxwell</w:t>
      </w:r>
    </w:p>
    <w:p>
      <w:pPr>
        <w:pStyle w:val="BodyText"/>
      </w:pPr>
      <w:r>
        <w:t xml:space="preserve">Ian McGregor</w:t>
      </w:r>
      <w:r>
        <w:rPr>
          <w:vertAlign w:val="superscript"/>
        </w:rPr>
        <w:t xml:space="preserve">1,6</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7,9</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p>
    <w:p>
      <w:pPr>
        <w:pStyle w:val="BodyText"/>
      </w:pPr>
      <w:r>
        <w:t xml:space="preserve">Alan Tepley</w:t>
      </w:r>
      <w:r>
        <w:rPr>
          <w:vertAlign w:val="superscript"/>
        </w:rPr>
        <w:t xml:space="preserve">1,8</w:t>
      </w:r>
    </w:p>
    <w:p>
      <w:pPr>
        <w:pStyle w:val="BodyText"/>
      </w:pPr>
      <w:r>
        <w:t xml:space="preserve">Kristina J. Anderson-Teixeira</w:t>
      </w:r>
      <w:r>
        <w:rPr>
          <w:vertAlign w:val="superscript"/>
        </w:rPr>
        <w:t xml:space="preserve">1,9</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Geography &amp; Geological Sciences, University of Idaho, ID,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paragraph"/>
    <w:p>
      <w:pPr>
        <w:pStyle w:val="Heading1"/>
      </w:pPr>
      <w:r>
        <w:rPr>
          <w:rStyle w:val="SectionNumber"/>
        </w:rPr>
        <w:t xml:space="preserve">1</w:t>
      </w:r>
      <w:r>
        <w:tab/>
      </w:r>
      <w:r>
        <w:t xml:space="preserve">(Summary paragraph)</w:t>
      </w:r>
    </w:p>
    <w:p>
      <w:pPr>
        <w:pStyle w:val="FirstParagraph"/>
      </w:pPr>
      <w:r>
        <w:t xml:space="preserve">(</w:t>
      </w:r>
      <w:r>
        <w:rPr>
          <w:iCs/>
          <w:i/>
        </w:rPr>
        <w:t xml:space="preserve">word limit 200. italic=tentative</w:t>
      </w:r>
      <w:r>
        <w:t xml:space="preserve">)</w:t>
      </w:r>
    </w:p>
    <w:p>
      <w:pPr>
        <w:pStyle w:val="BodyText"/>
      </w:pPr>
      <w:r>
        <w:t xml:space="preserve">As the climate changes, warmer spring temperatures are causing earlier leaf-out</w:t>
      </w:r>
      <w:r>
        <w:rPr>
          <w:vertAlign w:val="superscript"/>
        </w:rPr>
        <w:t xml:space="preserve">1</w:t>
      </w:r>
      <w:r>
        <w:t xml:space="preserve"> </w:t>
      </w:r>
      <w:r>
        <w:t xml:space="preserve">and commencement of net carbon dioxide (CO</w:t>
      </w:r>
      <w:r>
        <w:rPr>
          <w:vertAlign w:val="subscript"/>
        </w:rPr>
        <w:t xml:space="preserve">2</w:t>
      </w:r>
      <w:r>
        <w:t xml:space="preserve">) sequestration</w:t>
      </w:r>
      <w:r>
        <w:rPr>
          <w:vertAlign w:val="superscript"/>
        </w:rPr>
        <w:t xml:space="preserve">2–4</w:t>
      </w:r>
      <w:r>
        <w:t xml:space="preserve"> </w:t>
      </w:r>
      <w:r>
        <w:t xml:space="preserve">in temperate deciduous forests, resulting in a tendency towards increased growing season length</w:t>
      </w:r>
      <w:r>
        <w:rPr>
          <w:vertAlign w:val="superscript"/>
        </w:rPr>
        <w:t xml:space="preserve">1,5–7</w:t>
      </w:r>
      <w:r>
        <w:t xml:space="preserve"> </w:t>
      </w:r>
      <w:r>
        <w:t xml:space="preserve">and annual CO</w:t>
      </w:r>
      <w:r>
        <w:rPr>
          <w:vertAlign w:val="subscript"/>
        </w:rPr>
        <w:t xml:space="preserve">2</w:t>
      </w:r>
      <w:r>
        <w:t xml:space="preserve"> </w:t>
      </w:r>
      <w:r>
        <w:t xml:space="preserve">sequestration</w:t>
      </w:r>
      <w:r>
        <w:rPr>
          <w:vertAlign w:val="superscript"/>
        </w:rPr>
        <w:t xml:space="preserve">8–10</w:t>
      </w:r>
      <w:r>
        <w:t xml:space="preserve">.</w:t>
      </w:r>
      <w:r>
        <w:t xml:space="preserve"> </w:t>
      </w:r>
      <w:r>
        <w:t xml:space="preserve">However, less is known about how spring temperatures affect tree stem growth, which consumes only a modest portion of the carbon fixed annually</w:t>
      </w:r>
      <w:r>
        <w:rPr>
          <w:vertAlign w:val="superscript"/>
        </w:rPr>
        <w:t xml:space="preserve">11</w:t>
      </w:r>
      <w:r>
        <w:t xml:space="preserve"> </w:t>
      </w:r>
      <w:r>
        <w:t xml:space="preserve">but sequesters that carbon in wood that has a long residence time in the ecosystem</w:t>
      </w:r>
      <w:r>
        <w:rPr>
          <w:vertAlign w:val="superscript"/>
        </w:rPr>
        <w:t xml:space="preserve">12,13</w:t>
      </w:r>
      <w:r>
        <w:t xml:space="preserve"> </w:t>
      </w:r>
      <w:r>
        <w:t xml:space="preserve">or as wood products</w:t>
      </w:r>
      <w:r>
        <w:rPr>
          <w:vertAlign w:val="superscript"/>
        </w:rPr>
        <w:t xml:space="preserve">14</w:t>
      </w:r>
      <w:r>
        <w:t xml:space="preserve">.</w:t>
      </w:r>
      <w:r>
        <w:t xml:space="preserve"> </w:t>
      </w:r>
      <w:r>
        <w:t xml:space="preserve">Here, we show that in two temperate deciduous forests, warmer maximum spring temperatures consistently shifted woody growth milestones earlier but had mixed, weak effects on peak growing season length, maximum daily growth rates, and annual growth.</w:t>
      </w:r>
      <w:r>
        <w:t xml:space="preserve"> </w:t>
      </w:r>
      <w:r>
        <w:t xml:space="preserve">The latter finding is confirmed on the centennial scale by 207 tree-ring chronologies from 114 forests across eastern North America, which show that annual growth is by far more sensitive to temperatures during the peak growing season than in the spring.</w:t>
      </w:r>
      <w:r>
        <w:t xml:space="preserve"> </w:t>
      </w:r>
      <w:r>
        <w:t xml:space="preserve">These findings align with eddy-covariance records showing that annual CO</w:t>
      </w:r>
      <w:r>
        <w:rPr>
          <w:vertAlign w:val="subscript"/>
        </w:rPr>
        <w:t xml:space="preserve">2</w:t>
      </w:r>
      <w:r>
        <w:t xml:space="preserve"> </w:t>
      </w:r>
      <w:r>
        <w:t xml:space="preserve">sequestration is more strongly linked to conditions in the peak growing season than to growing season length</w:t>
      </w:r>
      <w:r>
        <w:rPr>
          <w:vertAlign w:val="superscript"/>
        </w:rPr>
        <w:t xml:space="preserve">15</w:t>
      </w:r>
      <w:r>
        <w:t xml:space="preserve">, with observations that warm springs result in earlier leaf senescence</w:t>
      </w:r>
      <w:r>
        <w:rPr>
          <w:vertAlign w:val="superscript"/>
        </w:rPr>
        <w:t xml:space="preserve">16,17</w:t>
      </w:r>
      <w:r>
        <w:t xml:space="preserve">, and with evidence that forest CO</w:t>
      </w:r>
      <w:r>
        <w:rPr>
          <w:vertAlign w:val="subscript"/>
        </w:rPr>
        <w:t xml:space="preserve">2</w:t>
      </w:r>
      <w:r>
        <w:t xml:space="preserve"> </w:t>
      </w:r>
      <w:r>
        <w:t xml:space="preserve">sequestration is sink-limited</w:t>
      </w:r>
      <w:r>
        <w:rPr>
          <w:vertAlign w:val="superscript"/>
        </w:rPr>
        <w:t xml:space="preserve">17</w:t>
      </w:r>
      <w:r>
        <w:t xml:space="preserve">.</w:t>
      </w:r>
      <w:r>
        <w:t xml:space="preserve"> </w:t>
      </w:r>
      <w:r>
        <w:t xml:space="preserve">They contrast, however, with the expectation</w:t>
      </w:r>
      <w:r>
        <w:t xml:space="preserve"> </w:t>
      </w:r>
      <w:r>
        <w:rPr>
          <w:iCs/>
          <w:i/>
        </w:rPr>
        <w:t xml:space="preserve">in most models</w:t>
      </w:r>
      <w:r>
        <w:rPr>
          <w:vertAlign w:val="superscript"/>
          <w:iCs/>
          <w:i/>
        </w:rPr>
        <w:t xml:space="preserve">17</w:t>
      </w:r>
      <w:r>
        <w:t xml:space="preserve"> </w:t>
      </w:r>
      <w:r>
        <w:t xml:space="preserve">that an earlier start to growing season would significantly increase the rate of biomass accumulation and thereby enhance the CO</w:t>
      </w:r>
      <w:r>
        <w:rPr>
          <w:vertAlign w:val="subscript"/>
        </w:rPr>
        <w:t xml:space="preserve">2</w:t>
      </w:r>
      <w:r>
        <w:t xml:space="preserve"> </w:t>
      </w:r>
      <w:r>
        <w:t xml:space="preserve">sink of temperate deciduous forests.</w:t>
      </w:r>
      <w:r>
        <w:t xml:space="preserve"> </w:t>
      </w:r>
      <w:r>
        <w:t xml:space="preserve">Rather, our findings imply that</w:t>
      </w:r>
      <w:r>
        <w:t xml:space="preserve"> </w:t>
      </w:r>
      <w:r>
        <w:rPr>
          <w:iCs/>
          <w:i/>
        </w:rPr>
        <w:t xml:space="preserve">the extra CO</w:t>
      </w:r>
      <w:r>
        <w:rPr>
          <w:vertAlign w:val="subscript"/>
          <w:iCs/>
          <w:i/>
        </w:rPr>
        <w:t xml:space="preserve">2</w:t>
      </w:r>
      <w:r>
        <w:rPr>
          <w:iCs/>
          <w:i/>
        </w:rPr>
        <w:t xml:space="preserve"> </w:t>
      </w:r>
      <w:r>
        <w:rPr>
          <w:iCs/>
          <w:i/>
        </w:rPr>
        <w:t xml:space="preserve">sequestered in years with warmer springs</w:t>
      </w:r>
      <w:r>
        <w:rPr>
          <w:vertAlign w:val="superscript"/>
          <w:iCs/>
          <w:i/>
        </w:rPr>
        <w:t xml:space="preserve">8–10</w:t>
      </w:r>
      <w:r>
        <w:rPr>
          <w:iCs/>
          <w:i/>
        </w:rPr>
        <w:t xml:space="preserve"> </w:t>
      </w:r>
      <w:r>
        <w:rPr>
          <w:iCs/>
          <w:i/>
        </w:rPr>
        <w:t xml:space="preserve">is not allocated to the long-lived woody biomass C pool and is therefore unlikely to have a lasting impact on the forest C balance.</w:t>
      </w:r>
      <w:r>
        <w:t xml:space="preserve"> </w:t>
      </w:r>
      <w:r>
        <w:t xml:space="preserve">Thus, warming spring temperatures are unlikely to increase the woody productivity or strengthen the carbon sink of temperate deciduous forests.</w:t>
      </w:r>
    </w:p>
    <w:p>
      <w:r>
        <w:br w:type="page"/>
      </w:r>
    </w:p>
    <w:bookmarkEnd w:id="21"/>
    <w:bookmarkStart w:id="23" w:name="introduction"/>
    <w:p>
      <w:pPr>
        <w:pStyle w:val="Heading1"/>
      </w:pPr>
      <w:r>
        <w:rPr>
          <w:rStyle w:val="SectionNumber"/>
        </w:rPr>
        <w:t xml:space="preserve">2</w:t>
      </w:r>
      <w:r>
        <w:tab/>
      </w:r>
      <w:r>
        <w:t xml:space="preserve">(Introduction)</w:t>
      </w:r>
    </w:p>
    <w:p>
      <w:pPr>
        <w:pStyle w:val="FirstParagraph"/>
      </w:pPr>
      <w:r>
        <w:t xml:space="preserve">As Earth’s atmospheric CO</w:t>
      </w:r>
      <w:r>
        <w:rPr>
          <w:vertAlign w:val="subscript"/>
        </w:rPr>
        <w:t xml:space="preserve">2</w:t>
      </w:r>
      <w:r>
        <w:t xml:space="preserve"> </w:t>
      </w:r>
      <w:r>
        <w:t xml:space="preserve">concentrations and temperatures increase, the responses and feedbacks of forests will play an important yet uncertain role in influencing atmospheric CO</w:t>
      </w:r>
      <w:r>
        <w:rPr>
          <w:vertAlign w:val="subscript"/>
        </w:rPr>
        <w:t xml:space="preserve">2</w:t>
      </w:r>
      <w:r>
        <w:t xml:space="preserve"> </w:t>
      </w:r>
      <w:r>
        <w:t xml:space="preserve">and climate change</w:t>
      </w:r>
      <w:r>
        <w:rPr>
          <w:vertAlign w:val="superscript"/>
        </w:rPr>
        <w:t xml:space="preserve">18,19</w:t>
      </w:r>
      <w:r>
        <w:t xml:space="preserve">.</w:t>
      </w:r>
      <w:r>
        <w:t xml:space="preserve"> </w:t>
      </w:r>
      <w:r>
        <w:t xml:space="preserve">Temperate deciduous forests, including those in eastern North America,</w:t>
      </w:r>
      <w:r>
        <w:t xml:space="preserve"> </w:t>
      </w:r>
      <w:r>
        <w:rPr>
          <w:iCs/>
          <w:i/>
        </w:rPr>
        <w:t xml:space="preserve">(have been net carbon sinks over the past several decades)</w:t>
      </w:r>
      <w:r>
        <w:t xml:space="preserve">…</w:t>
      </w:r>
      <w:r>
        <w:t xml:space="preserve"> </w:t>
      </w:r>
      <w:r>
        <w:rPr>
          <w:iCs/>
          <w:i/>
        </w:rPr>
        <w:t xml:space="preserve">[Discuss this sink, mechanisms, uncertainties, ending with the point that one meaningful uncertainty is how the C sink will respond to warming springs]</w:t>
      </w:r>
    </w:p>
    <w:p>
      <w:pPr>
        <w:pStyle w:val="BodyText"/>
      </w:pPr>
      <w:r>
        <w:rPr>
          <w:bCs/>
          <w:b/>
        </w:rPr>
        <w:t xml:space="preserve">In recent decades, warming temperatures have resulted in widespread phenological changes indicative of earlier arrival of spring</w:t>
      </w:r>
      <w:r>
        <w:rPr>
          <w:vertAlign w:val="superscript"/>
          <w:bCs/>
          <w:b/>
        </w:rPr>
        <w:t xml:space="preserve">21</w:t>
      </w:r>
      <w:r>
        <w:rPr>
          <w:bCs/>
          <w:b/>
        </w:rPr>
        <w:t xml:space="preserve"> </w:t>
      </w:r>
      <w:r>
        <w:rPr>
          <w:bCs/>
          <w:b/>
        </w:rPr>
        <w:t xml:space="preserve">and</w:t>
      </w:r>
      <w:r>
        <w:rPr>
          <w:bCs/>
          <w:b/>
        </w:rPr>
        <w:t xml:space="preserve"> </w:t>
      </w:r>
      <w:r>
        <w:rPr>
          <w:iCs/>
          <w:i/>
          <w:bCs/>
          <w:b/>
        </w:rPr>
        <w:t xml:space="preserve">often later autumn</w:t>
      </w:r>
      <w:r>
        <w:rPr>
          <w:vertAlign w:val="superscript"/>
          <w:bCs/>
          <w:b/>
        </w:rPr>
        <w:t xml:space="preserve">1</w:t>
      </w:r>
      <w:r>
        <w:rPr>
          <w:bCs/>
          <w:b/>
        </w:rPr>
        <w:t xml:space="preserve">.</w:t>
      </w:r>
      <w:r>
        <w:t xml:space="preserve"> </w:t>
      </w:r>
      <w:r>
        <w:t xml:space="preserve">In temperate deciduous forests, spring leaf-out has been occurring earlier</w:t>
      </w:r>
      <w:r>
        <w:rPr>
          <w:vertAlign w:val="superscript"/>
        </w:rPr>
        <w:t xml:space="preserve">1</w:t>
      </w:r>
      <w:r>
        <w:t xml:space="preserve">, as has the beginning of the annual period of net CO</w:t>
      </w:r>
      <w:r>
        <w:rPr>
          <w:vertAlign w:val="subscript"/>
        </w:rPr>
        <w:t xml:space="preserve">2</w:t>
      </w:r>
      <w:r>
        <w:t xml:space="preserve"> </w:t>
      </w:r>
      <w:r>
        <w:t xml:space="preserve">sequestration[REFS].</w:t>
      </w:r>
      <w:r>
        <w:t xml:space="preserve"> </w:t>
      </w:r>
      <w:r>
        <w:t xml:space="preserve">Warmer spring temperatures and earlier leaf-out are also linked to earlier leaf senescence</w:t>
      </w:r>
      <w:r>
        <w:rPr>
          <w:vertAlign w:val="superscript"/>
        </w:rPr>
        <w:t xml:space="preserve">16,22</w:t>
      </w:r>
      <w:r>
        <w:t xml:space="preserve">, apparently because of sink-limitation to CO</w:t>
      </w:r>
      <w:r>
        <w:rPr>
          <w:vertAlign w:val="subscript"/>
        </w:rPr>
        <w:t xml:space="preserve">2</w:t>
      </w:r>
      <w:r>
        <w:t xml:space="preserve"> </w:t>
      </w:r>
      <w:r>
        <w:t xml:space="preserve">sequestration</w:t>
      </w:r>
      <w:r>
        <w:rPr>
          <w:vertAlign w:val="superscript"/>
        </w:rPr>
        <w:t xml:space="preserve">17</w:t>
      </w:r>
      <w:r>
        <w:t xml:space="preserve">.</w:t>
      </w:r>
      <w:r>
        <w:t xml:space="preserve"> </w:t>
      </w:r>
      <w:r>
        <w:t xml:space="preserve">However, warmer summer and autumn temperatures can delay leaf senescence</w:t>
      </w:r>
      <w:r>
        <w:rPr>
          <w:vertAlign w:val="superscript"/>
        </w:rPr>
        <w:t xml:space="preserve">1,7,9,10,16,23</w:t>
      </w:r>
      <w:r>
        <w:t xml:space="preserve">.</w:t>
      </w:r>
      <w:r>
        <w:t xml:space="preserve"> </w:t>
      </w:r>
      <w:r>
        <w:t xml:space="preserve">The net result is that spring warming generally results in an increased growing season length, measured as the period over which trees have leaves</w:t>
      </w:r>
      <w:r>
        <w:rPr>
          <w:vertAlign w:val="superscript"/>
        </w:rPr>
        <w:t xml:space="preserve">1,1,5–7</w:t>
      </w:r>
      <w:r>
        <w:t xml:space="preserve"> </w:t>
      </w:r>
      <w:r>
        <w:t xml:space="preserve">and the ecosystem is a net CO</w:t>
      </w:r>
      <w:r>
        <w:rPr>
          <w:vertAlign w:val="subscript"/>
        </w:rPr>
        <w:t xml:space="preserve">2</w:t>
      </w:r>
      <w:r>
        <w:t xml:space="preserve"> </w:t>
      </w:r>
      <w:r>
        <w:t xml:space="preserve">sink[REFS].</w:t>
      </w:r>
    </w:p>
    <w:p>
      <w:pPr>
        <w:pStyle w:val="BodyText"/>
      </w:pPr>
      <w:r>
        <w:rPr>
          <w:bCs/>
          <w:b/>
        </w:rPr>
        <w:t xml:space="preserve">The expectation is that as growing season length increases, net annual carbon sequestered will increase as well (</w:t>
      </w:r>
      <w:r>
        <w:rPr>
          <w:iCs/>
          <w:i/>
          <w:bCs/>
          <w:b/>
        </w:rPr>
        <w:t xml:space="preserve">i,e</w:t>
      </w:r>
      <w:r>
        <w:rPr>
          <w:bCs/>
          <w:b/>
        </w:rPr>
        <w:t xml:space="preserve">, net ecosystem exchange,</w:t>
      </w:r>
      <w:r>
        <w:rPr>
          <w:bCs/>
          <w:b/>
        </w:rPr>
        <w:t xml:space="preserve"> </w:t>
      </w:r>
      <m:oMath>
        <m:r>
          <m:t>N</m:t>
        </m:r>
        <m:r>
          <m:t>E</m:t>
        </m:r>
        <m:r>
          <m:t>E</m:t>
        </m:r>
      </m:oMath>
      <w:r>
        <w:rPr>
          <w:bCs/>
          <w:b/>
        </w:rPr>
        <w:t xml:space="preserve">)</w:t>
      </w:r>
      <w:r>
        <w:rPr>
          <w:vertAlign w:val="superscript"/>
          <w:bCs/>
          <w:b/>
        </w:rPr>
        <w:t xml:space="preserve">2–4</w:t>
      </w:r>
      <w:r>
        <w:rPr>
          <w:bCs/>
          <w:b/>
        </w:rPr>
        <w:t xml:space="preserve">.</w:t>
      </w:r>
      <w:r>
        <w:t xml:space="preserve"> </w:t>
      </w:r>
      <w:r>
        <w:rPr>
          <w:iCs/>
          <w:i/>
        </w:rPr>
        <w:t xml:space="preserve">This expectation is represented in models.</w:t>
      </w:r>
      <w:r>
        <w:rPr>
          <w:vertAlign w:val="superscript"/>
          <w:iCs/>
          <w:i/>
        </w:rPr>
        <w:t xml:space="preserve">17</w:t>
      </w:r>
      <w:r>
        <w:t xml:space="preserve"> </w:t>
      </w:r>
      <w:r>
        <w:t xml:space="preserve">However, recent evidence that leaf senescence is induced when the seasonal carbon-sink capacities of trees are reached suggests that warmer spring temperatures and earlier leaf-out could advance autumn senescence and</w:t>
      </w:r>
      <w:r>
        <w:t xml:space="preserve"> </w:t>
      </w:r>
      <w:r>
        <w:rPr>
          <w:iCs/>
          <w:i/>
        </w:rPr>
        <w:t xml:space="preserve">will not necessarily lead to drastically increased C sequestration</w:t>
      </w:r>
      <w:r>
        <w:rPr>
          <w:vertAlign w:val="superscript"/>
        </w:rPr>
        <w:t xml:space="preserve">17</w:t>
      </w:r>
      <w:r>
        <w:t xml:space="preserve">.</w:t>
      </w:r>
    </w:p>
    <w:p>
      <w:pPr>
        <w:pStyle w:val="BodyText"/>
      </w:pPr>
      <w:r>
        <w:rPr>
          <w:bCs/>
          <w:b/>
        </w:rPr>
        <w:t xml:space="preserve">We know very little about how the longest-lived component of fixed carbon, the woody growth of trees, is responding to warming spring temperatures.</w:t>
      </w:r>
      <w:r>
        <w:t xml:space="preserve"> </w:t>
      </w:r>
      <w:r>
        <w:t xml:space="preserve">In fact, we know little about the stem-growth phenology of temperate deciduous species, with multi-year records of growth phenology having been published for only one site.</w:t>
      </w:r>
      <w:r>
        <w:rPr>
          <w:bCs/>
          <w:b/>
          <w:vertAlign w:val="superscript"/>
        </w:rPr>
        <w:t xml:space="preserve">doranngeville_radial_inreview?</w:t>
      </w:r>
      <w:r>
        <w:t xml:space="preserve"> </w:t>
      </w:r>
      <w:r>
        <w:rPr>
          <w:iCs/>
          <w:i/>
        </w:rPr>
        <w:t xml:space="preserve">(We need to make sure we’re not missing anything.)</w:t>
      </w:r>
      <w:r>
        <w:t xml:space="preserve"> </w:t>
      </w:r>
      <w:r>
        <w:t xml:space="preserve">Tree-ring records, which can be used to examine correlations of annual growth to monthly temperatures but not to understand growth phenology, reveal that growth of temperate deciduous trees tends to be most sensitive to summer temperatures (REFS), with some hints that warmer springs may have a modest positive effect on growth (e.g., Refs.</w:t>
      </w:r>
      <w:r>
        <w:rPr>
          <w:vertAlign w:val="superscript"/>
        </w:rPr>
        <w:t xml:space="preserve">24</w:t>
      </w:r>
      <w:r>
        <w:t xml:space="preserve"> </w:t>
      </w:r>
      <w:r>
        <w:t xml:space="preserve">[MORE]).</w:t>
      </w:r>
      <w:r>
        <w:t xml:space="preserve"> </w:t>
      </w:r>
      <w:r>
        <w:t xml:space="preserve">Thus, tree-ring records do not necessarily corroborate findings that warming spring temperatures lengthen the growing season and increase annual CO</w:t>
      </w:r>
      <w:r>
        <w:rPr>
          <w:vertAlign w:val="subscript"/>
        </w:rPr>
        <w:t xml:space="preserve">2</w:t>
      </w:r>
      <w:r>
        <w:t xml:space="preserve"> </w:t>
      </w:r>
      <w:r>
        <w:t xml:space="preserve">sequestration.</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rPr>
          <w:bCs/>
          <w:b/>
        </w:rPr>
        <w:t xml:space="preserve">Here, we characterize how early spring temperatures affect stem growth phenology, growth rates, and annual growth of temperate deciduous trees in two forests and annual growth across forests spanning eastern North America.</w:t>
      </w:r>
      <w:r>
        <w:t xml:space="preserve"> </w:t>
      </w:r>
      <w:r>
        <w:t xml:space="preserve">First, using dendrometer band measurements taken throughout the growing season at the Smithsonian Conservation Biology Institute (SCBI; Virginia; n =</w:t>
      </w:r>
      <w:r>
        <w:t xml:space="preserve"> </w:t>
      </w:r>
      <w:r>
        <w:rPr>
          <w:bCs/>
          <w:b/>
        </w:rPr>
        <w:t xml:space="preserve">146</w:t>
      </w:r>
      <w:r>
        <w:t xml:space="preserve"> </w:t>
      </w:r>
      <w:r>
        <w:t xml:space="preserve">trees over 10 years) and Harvard Forest (Massachusetts; n =</w:t>
      </w:r>
      <w:r>
        <w:t xml:space="preserve"> </w:t>
      </w:r>
      <w:r>
        <w:rPr>
          <w:bCs/>
          <w:b/>
        </w:rPr>
        <w:t xml:space="preserve">755</w:t>
      </w:r>
      <w:r>
        <w:t xml:space="preserve"> </w:t>
      </w:r>
      <w:r>
        <w:t xml:space="preserve">trees over six years), we fit a growth model</w:t>
      </w:r>
      <w:r>
        <w:rPr>
          <w:vertAlign w:val="superscript"/>
        </w:rPr>
        <w:t xml:space="preserve">25</w:t>
      </w:r>
      <w:r>
        <w:t xml:space="preserve"> </w:t>
      </w:r>
      <w:r>
        <w:t xml:space="preserve">to determine the days of year where 25, 50, and 75% annual growth was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and total annual growth (</w:t>
      </w:r>
      <m:oMath>
        <m:r>
          <m:t>Δ</m:t>
        </m:r>
        <m:r>
          <m:t>D</m:t>
        </m:r>
        <m:r>
          <m:t>B</m:t>
        </m:r>
        <m:r>
          <m:t>H</m:t>
        </m:r>
      </m:oMath>
      <w:r>
        <w:t xml:space="preserve">; Fig. 1).</w:t>
      </w:r>
      <w:r>
        <w:t xml:space="preserve"> </w:t>
      </w:r>
      <w:r>
        <w:t xml:space="preserve">This analysis was performed separately for ring- and diffuse-porous species, which differ in growth phenology</w:t>
      </w:r>
      <w:r>
        <w:rPr>
          <w:bCs/>
          <w:b/>
          <w:vertAlign w:val="superscript"/>
        </w:rPr>
        <w:t xml:space="preserve">doranngeville_radial_inreview?</w:t>
      </w:r>
      <w:r>
        <w:t xml:space="preserve">, and set in the context of leaf phenology at these sites.</w:t>
      </w:r>
    </w:p>
    <w:p>
      <w:pPr>
        <w:pStyle w:val="CaptionedFigure"/>
      </w:pPr>
      <w:r>
        <w:drawing>
          <wp:inline>
            <wp:extent cx="5943600" cy="6696234"/>
            <wp:effectExtent b="0" l="0" r="0" t="0"/>
            <wp:docPr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title="" id="1" name="Picture"/>
            <a:graphic>
              <a:graphicData uri="http://schemas.openxmlformats.org/drawingml/2006/picture">
                <pic:pic>
                  <pic:nvPicPr>
                    <pic:cNvPr descr="tables_figures/schematic_summary.png" id="0" name="Picture"/>
                    <pic:cNvPicPr>
                      <a:picLocks noChangeArrowheads="1" noChangeAspect="1"/>
                    </pic:cNvPicPr>
                  </pic:nvPicPr>
                  <pic:blipFill>
                    <a:blip r:embed="rId22"/>
                    <a:stretch>
                      <a:fillRect/>
                    </a:stretch>
                  </pic:blipFill>
                  <pic:spPr bwMode="auto">
                    <a:xfrm>
                      <a:off x="0" y="0"/>
                      <a:ext cx="5943600" cy="6696234"/>
                    </a:xfrm>
                    <a:prstGeom prst="rect">
                      <a:avLst/>
                    </a:prstGeom>
                    <a:noFill/>
                    <a:ln w="9525">
                      <a:noFill/>
                      <a:headEnd/>
                      <a:tailEnd/>
                    </a:ln>
                  </pic:spPr>
                </pic:pic>
              </a:graphicData>
            </a:graphic>
          </wp:inline>
        </w:drawing>
      </w:r>
    </w:p>
    <w:p>
      <w:pPr>
        <w:pStyle w:val="ImageCaption"/>
      </w:pPr>
      <w:r>
        <w:rPr>
          <w:bCs/>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that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increases and decreases, respectively,</w:t>
      </w:r>
      <w:r>
        <w:t xml:space="preserve"> </w:t>
      </w:r>
      <w:r>
        <w:t xml:space="preserve">‘</w:t>
      </w:r>
      <w:r>
        <w:t xml:space="preserve">n.s.</w:t>
      </w:r>
      <w:r>
        <w:t xml:space="preserve">’</w:t>
      </w:r>
      <w:r>
        <w:t xml:space="preserve"> </w:t>
      </w:r>
      <w:r>
        <w:t xml:space="preserve">indicates no signficant correlation, and</w:t>
      </w:r>
      <w:r>
        <w:t xml:space="preserve"> </w:t>
      </w:r>
      <w:r>
        <w:t xml:space="preserve">‘</w:t>
      </w:r>
      <w:r>
        <w:t xml:space="preserve">mixed</w:t>
      </w:r>
      <w:r>
        <w:t xml:space="preserve">’</w:t>
      </w:r>
      <w:r>
        <w:t xml:space="preserve"> </w:t>
      </w:r>
      <w:r>
        <w:t xml:space="preserve">indicates a mix of signficant and non-signficant correlations, often in different directions.</w:t>
      </w:r>
    </w:p>
    <w:bookmarkEnd w:id="23"/>
    <w:bookmarkStart w:id="29" w:name="results"/>
    <w:p>
      <w:pPr>
        <w:pStyle w:val="Heading1"/>
      </w:pPr>
      <w:r>
        <w:rPr>
          <w:rStyle w:val="SectionNumber"/>
        </w:rPr>
        <w:t xml:space="preserve">3</w:t>
      </w:r>
      <w:r>
        <w:tab/>
      </w:r>
      <w:r>
        <w:t xml:space="preserve">(Results)</w:t>
      </w:r>
    </w:p>
    <w:p>
      <w:pPr>
        <w:pStyle w:val="FirstParagraph"/>
      </w:pPr>
      <w:r>
        <w:t xml:space="preserve">Both leaf phenology and stem growth milestones occurred earlier at SCBI than at Harvard Forest, with stem growth milestones achieved on average 6-10 days earlier at SCBI (Fig. 2, Extended Data Table 2).</w:t>
      </w:r>
      <w:r>
        <w:t xml:space="preserve"> </w:t>
      </w:r>
      <w:r>
        <w:t xml:space="preserve">Consistent with the results of Ref</w:t>
      </w:r>
      <w:r>
        <w:rPr>
          <w:bCs/>
          <w:b/>
          <w:vertAlign w:val="superscript"/>
        </w:rPr>
        <w:t xml:space="preserve">doranngeville_radial_inreview?</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out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3 | Leaf (a,b) and stem growth (c,d) phenology at the Smithsonian Conservation Biology Institute (a,c) and Harvard Forest (b,d) from 1998 to 2020 (when available). Panels (a-b) show leaf phenology… Panels (c-d) show the dates at which stem growth milestones were acheived, on average, for sampled populations of ring-porous and diffuse-porous trees at each site. Mean temperature was calculated for each wood-type/site combination over the respective critical T_{max} window, then turned into a ratio and assigned a color on a gradient where the coldest year in the sample is blue and the warmest is red. (SHOULD WE COMBINE LEAF AND STEM PHENOLOGY ON A SINGLE PLOT WITH SEPARATE Y-AXES? See GitHub Issue #50. )"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4"/>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3 | Leaf (a,b) and stem growth (c,d) phenology at the Smithsonian Conservation Biology Institute (a,c) and Harvard Forest (b,d) from 1998 to 2020 (when available).</w:t>
      </w:r>
      <w:r>
        <w:t xml:space="preserve"> </w:t>
      </w:r>
      <w:r>
        <w:t xml:space="preserve">Panels (a-b) show leaf phenology… Panels (c-d) show the dates at which stem growth milestones were acheived, on average, for sampled populations of ring-porous and diffuse-porous trees at each site.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 (</w:t>
      </w:r>
      <w:r>
        <w:rPr>
          <w:bCs/>
          <w:b/>
        </w:rPr>
        <w:t xml:space="preserve">SHOULD WE COMBINE LEAF AND STEM PHENOLOGY ON A SINGLE PLOT WITH SEPARATE Y-AXES?</w:t>
      </w:r>
      <w:r>
        <w:t xml:space="preserve"> </w:t>
      </w:r>
      <w:r>
        <w:t xml:space="preserve">See</w:t>
      </w:r>
      <w:r>
        <w:t xml:space="preserve"> </w:t>
      </w:r>
      <w:hyperlink r:id="rId25">
        <w:r>
          <w:rPr>
            <w:rStyle w:val="Hyperlink"/>
          </w:rPr>
          <w:t xml:space="preserve">GitHub Issue #50</w:t>
        </w:r>
      </w:hyperlink>
      <w:r>
        <w:t xml:space="preserve">. )</w:t>
      </w:r>
    </w:p>
    <w:p>
      <w:pPr>
        <w:pStyle w:val="BodyText"/>
      </w:pPr>
      <w:r>
        <w:t xml:space="preserve">Both leaf phenology and stem growth were sensitive to spring temperatures (Figs. 2 -3).</w:t>
      </w:r>
      <w:r>
        <w:t xml:space="preserve"> </w:t>
      </w:r>
      <w:r>
        <w:t xml:space="preserve">While the results described below were qualitatively consistent considering both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across a range of spring time windows (Extended Data Figures 3-7), we focused our analyses on the strongest relationships: responses to</w:t>
      </w:r>
      <w:r>
        <w:t xml:space="preserve"> </w:t>
      </w:r>
      <m:oMath>
        <m:sSub>
          <m:e>
            <m:r>
              <m:t>T</m:t>
            </m:r>
          </m:e>
          <m:sub>
            <m:r>
              <m:t>m</m:t>
            </m:r>
            <m:r>
              <m:t>a</m:t>
            </m:r>
            <m:r>
              <m:t>x</m:t>
            </m:r>
          </m:sub>
        </m:sSub>
      </m:oMath>
      <w:r>
        <w:t xml:space="preserve"> </w:t>
      </w:r>
      <w:r>
        <w:t xml:space="preserve">over the consecutive weekly time window between Jan. 1 and</w:t>
      </w:r>
      <w:r>
        <w:t xml:space="preserve"> </w:t>
      </w:r>
      <m:oMath>
        <m:r>
          <m:t>D</m:t>
        </m:r>
        <m:r>
          <m:t>O</m:t>
        </m:r>
        <m:sSub>
          <m:e>
            <m:r>
              <m:t>Y</m:t>
            </m:r>
          </m:e>
          <m:sub>
            <m:r>
              <m:t>25</m:t>
            </m:r>
          </m:sub>
        </m:sSub>
      </m:oMath>
      <w:r>
        <w:t xml:space="preserve"> </w:t>
      </w:r>
      <w:r>
        <w:t xml:space="preserve">for which the correlation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was strongest (henceforth, critical temperature window, CTW; Fig. 1).</w:t>
      </w:r>
      <w:r>
        <w:t xml:space="preserve"> </w:t>
      </w:r>
      <w:r>
        <w:t xml:space="preserve">The strongest relationships, including but not limited to the CTW (Extended Data Table 2), occurred for time windows closing</w:t>
      </w:r>
      <w:r>
        <w:t xml:space="preserve"> </w:t>
      </w:r>
      <m:oMath>
        <m:r>
          <m:rPr>
            <m:sty m:val="p"/>
          </m:rPr>
          <m:t>≤</m:t>
        </m:r>
      </m:oMath>
      <w:r>
        <w:t xml:space="preserve"> </w:t>
      </w:r>
      <w:r>
        <w:t xml:space="preserve">5 weeks prior to</w:t>
      </w:r>
      <w:r>
        <w:t xml:space="preserve"> </w:t>
      </w:r>
      <m:oMath>
        <m:r>
          <m:t>D</m:t>
        </m:r>
        <m:r>
          <m:t>O</m:t>
        </m:r>
        <m:sSub>
          <m:e>
            <m:r>
              <m:t>Y</m:t>
            </m:r>
          </m:e>
          <m:sub>
            <m:r>
              <m:t>25</m:t>
            </m:r>
          </m:sub>
        </m:sSub>
      </m:oMath>
      <w:r>
        <w:t xml:space="preserve"> </w:t>
      </w:r>
      <w:r>
        <w:t xml:space="preserve">(Extended Data Figure 3).</w:t>
      </w:r>
    </w:p>
    <w:p>
      <w:pPr>
        <w:pStyle w:val="CaptionedFigure"/>
      </w:pPr>
      <w:r>
        <w:drawing>
          <wp:inline>
            <wp:extent cx="5943600" cy="5380722"/>
            <wp:effectExtent b="0" l="0" r="0" t="0"/>
            <wp:docPr descr="Figure 2 | Relationship between growth parameters and climwin mean temperatures. For each observed climwin mean temperature value, the posterior mean of the fitted day of year is represented by the solid blue line and 95% credible intervals are represented by bands. (NOTE THAT THIS PARTIALLY REPLICATES EXTENDED DATA FIG 4)" title="" id="1" name="Picture"/>
            <a:graphic>
              <a:graphicData uri="http://schemas.openxmlformats.org/drawingml/2006/picture">
                <pic:pic>
                  <pic:nvPicPr>
                    <pic:cNvPr descr="tables_figures/DOY_Tsensitivity.png" id="0" name="Picture"/>
                    <pic:cNvPicPr>
                      <a:picLocks noChangeArrowheads="1" noChangeAspect="1"/>
                    </pic:cNvPicPr>
                  </pic:nvPicPr>
                  <pic:blipFill>
                    <a:blip r:embed="rId26"/>
                    <a:stretch>
                      <a:fillRect/>
                    </a:stretch>
                  </pic:blipFill>
                  <pic:spPr bwMode="auto">
                    <a:xfrm>
                      <a:off x="0" y="0"/>
                      <a:ext cx="5943600" cy="5380722"/>
                    </a:xfrm>
                    <a:prstGeom prst="rect">
                      <a:avLst/>
                    </a:prstGeom>
                    <a:noFill/>
                    <a:ln w="9525">
                      <a:noFill/>
                      <a:headEnd/>
                      <a:tailEnd/>
                    </a:ln>
                  </pic:spPr>
                </pic:pic>
              </a:graphicData>
            </a:graphic>
          </wp:inline>
        </w:drawing>
      </w:r>
    </w:p>
    <w:p>
      <w:pPr>
        <w:pStyle w:val="ImageCaption"/>
      </w:pPr>
      <w:r>
        <w:rPr>
          <w:bCs/>
          <w:b/>
        </w:rPr>
        <w:t xml:space="preserve">Figure 2 | Relationship between growth parameters and climwin mean temperatures.</w:t>
      </w:r>
      <w:r>
        <w:t xml:space="preserve"> </w:t>
      </w:r>
      <w:r>
        <w:t xml:space="preserve">For each observed climwin mean temperature value, the posterior mean of the fitted day of year is represented by the solid blue line and 95% credible intervals are represented by bands. (</w:t>
      </w:r>
      <w:r>
        <w:rPr>
          <w:bCs/>
          <w:b/>
        </w:rPr>
        <w:t xml:space="preserve">NOTE THAT THIS PARTIALLY REPLICATES EXTENDED DATA FIG 4</w:t>
      </w:r>
      <w:r>
        <w:t xml:space="preserve">)</w:t>
      </w:r>
    </w:p>
    <w:p>
      <w:pPr>
        <w:pStyle w:val="BodyText"/>
      </w:pPr>
      <w:r>
        <w:t xml:space="preserve">For both ring- and diffuse- porous species at both sites, warmer</w:t>
      </w:r>
      <w:r>
        <w:t xml:space="preserve"> </w:t>
      </w:r>
      <m:oMath>
        <m:sSub>
          <m:e>
            <m:r>
              <m:t>T</m:t>
            </m:r>
          </m:e>
          <m:sub>
            <m:r>
              <m:t>m</m:t>
            </m:r>
            <m:r>
              <m:t>a</m:t>
            </m:r>
            <m:r>
              <m:t>x</m:t>
            </m:r>
          </m:sub>
        </m:sSub>
      </m:oMath>
      <w:r>
        <w:t xml:space="preserve"> </w:t>
      </w:r>
      <w:r>
        <w:t xml:space="preserve">in the CTW resulted in earlier achievement of growth milestones (Figs. 1-3).</w:t>
      </w:r>
      <w:r>
        <w:t xml:space="preserve"> </w:t>
      </w:r>
      <w:r>
        <w:t xml:space="preserve">Consistent with findings from previous studies[REFS], at our focal sites the DOYs of leaf greenup and mid-greenup (measured at ecosystem level via remote sensing) advanced significantly with increasing</w:t>
      </w:r>
      <w:r>
        <w:t xml:space="preserve"> </w:t>
      </w:r>
      <m:oMath>
        <m:sSub>
          <m:e>
            <m:r>
              <m:t>T</m:t>
            </m:r>
          </m:e>
          <m:sub>
            <m:r>
              <m:t>m</m:t>
            </m:r>
            <m:r>
              <m:t>a</m:t>
            </m:r>
            <m:r>
              <m:t>x</m:t>
            </m:r>
          </m:sub>
        </m:sSub>
      </m:oMath>
      <w:r>
        <w:t xml:space="preserve"> </w:t>
      </w:r>
      <w:r>
        <w:t xml:space="preserve">during the CTW.</w:t>
      </w:r>
      <w:r>
        <w:t xml:space="preserve"> </w:t>
      </w:r>
      <w:r>
        <w:t xml:space="preserve">Specifically, greenup DOY occurred 21 days earlier at SCBI and 7 days earlier at Harvard Forest when comparing the years with the warmest and coldest CTW</w:t>
      </w:r>
      <w:r>
        <w:t xml:space="preserve"> </w:t>
      </w:r>
      <m:oMath>
        <m:sSub>
          <m:e>
            <m:r>
              <m:t>T</m:t>
            </m:r>
          </m:e>
          <m:sub>
            <m:r>
              <m:t>m</m:t>
            </m:r>
            <m:r>
              <m:t>a</m:t>
            </m:r>
            <m:r>
              <m:t>x</m:t>
            </m:r>
          </m:sub>
        </m:sSub>
      </m:oMath>
      <w:r>
        <w:t xml:space="preserve">, and mid-greenup also advanced, but to a lesser extent (Fig. 2).</w:t>
      </w:r>
      <w:r>
        <w:t xml:space="preserve"> </w:t>
      </w:r>
      <w:r>
        <w:t xml:space="preserve">Similarly,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r>
              <m:t>g</m:t>
            </m:r>
            <m:r>
              <m:rPr>
                <m:sty m:val="p"/>
              </m:rPr>
              <m:t>.</m:t>
            </m:r>
            <m:r>
              <m:t>m</m:t>
            </m:r>
            <m:r>
              <m:t>a</m:t>
            </m:r>
            <m:r>
              <m:t>x</m:t>
            </m:r>
          </m:sub>
        </m:sSub>
      </m:oMath>
      <w:r>
        <w:t xml:space="preserve"> </w:t>
      </w:r>
      <w:r>
        <w:t xml:space="preserve">at both sites all decreased significantly with CTW</w:t>
      </w:r>
      <w:r>
        <w:t xml:space="preserve"> </w:t>
      </w:r>
      <m:oMath>
        <m:sSub>
          <m:e>
            <m:r>
              <m:t>T</m:t>
            </m:r>
          </m:e>
          <m:sub>
            <m:r>
              <m:t>m</m:t>
            </m:r>
            <m:r>
              <m:t>a</m:t>
            </m:r>
            <m:r>
              <m:t>x</m:t>
            </m:r>
          </m:sub>
        </m:sSub>
      </m:oMath>
      <w:r>
        <w:t xml:space="preserve"> </w:t>
      </w:r>
      <w:r>
        <w:t xml:space="preserve">(Figs. 1- 3, 2; see also Extended Data Figures</w:t>
      </w:r>
      <w:r>
        <w:t xml:space="preserve"> </w:t>
      </w:r>
      <w:r>
        <w:rPr>
          <w:bCs/>
          <w:b/>
        </w:rPr>
        <w:t xml:space="preserve">4-6</w:t>
      </w:r>
      <w:r>
        <w:t xml:space="preserve">).</w:t>
      </w:r>
    </w:p>
    <w:p>
      <w:pPr>
        <w:pStyle w:val="BodyText"/>
      </w:pPr>
      <w:r>
        <w:t xml:space="preserve">Whereas the length of time between leaf greenup and senescence (i.e.,</w:t>
      </w:r>
      <w:r>
        <w:t xml:space="preserve"> </w:t>
      </w:r>
      <w:r>
        <w:rPr>
          <w:bCs/>
          <w:b/>
        </w:rPr>
        <w:t xml:space="preserve">DEFINE</w:t>
      </w:r>
      <w:r>
        <w:t xml:space="preserve">) increased in years with warmer springs (Fig. 2), there was no consistent lengthening of the period of peak stem growth.</w:t>
      </w:r>
      <w:r>
        <w:t xml:space="preserve"> </w:t>
      </w:r>
      <w:r>
        <w:t xml:space="preserve">Specifically, because</w:t>
      </w:r>
      <w:r>
        <w:t xml:space="preserve"> </w:t>
      </w:r>
      <m:oMath>
        <m:r>
          <m:t>D</m:t>
        </m:r>
        <m:r>
          <m:t>O</m:t>
        </m:r>
        <m:sSub>
          <m:e>
            <m:r>
              <m:t>Y</m:t>
            </m:r>
          </m:e>
          <m:sub>
            <m:r>
              <m:t>75</m:t>
            </m:r>
          </m:sub>
        </m:sSub>
      </m:oMath>
      <w:r>
        <w:t xml:space="preserve"> </w:t>
      </w:r>
      <w:r>
        <w:t xml:space="preserve">– and not only</w:t>
      </w:r>
      <w:r>
        <w:t xml:space="preserve"> </w:t>
      </w:r>
      <m:oMath>
        <m:r>
          <m:t>D</m:t>
        </m:r>
        <m:r>
          <m:t>O</m:t>
        </m:r>
        <m:sSub>
          <m:e>
            <m:r>
              <m:t>Y</m:t>
            </m:r>
          </m:e>
          <m:sub>
            <m:r>
              <m:t>25</m:t>
            </m:r>
          </m:sub>
        </m:sSub>
      </m:oMath>
      <w:r>
        <w:t xml:space="preserve"> </w:t>
      </w:r>
      <w:r>
        <w:t xml:space="preserve">– shifted earlier in years with warm springs,</w:t>
      </w:r>
      <w:r>
        <w:t xml:space="preserve"> </w:t>
      </w:r>
      <m:oMath>
        <m:sSub>
          <m:e>
            <m:r>
              <m:t>L</m:t>
            </m:r>
          </m:e>
          <m:sub>
            <m:r>
              <m:t>P</m:t>
            </m:r>
            <m:r>
              <m:t>G</m:t>
            </m:r>
            <m:r>
              <m:t>S</m:t>
            </m:r>
          </m:sub>
        </m:sSub>
      </m:oMath>
      <w:r>
        <w:t xml:space="preserve"> </w:t>
      </w:r>
      <w:r>
        <w:t xml:space="preserve">displayed mixed responses to spring temperatures (Fig. 1, Extended Data Figures</w:t>
      </w:r>
      <w:r>
        <w:t xml:space="preserve"> </w:t>
      </w:r>
      <w:r>
        <w:rPr>
          <w:bCs/>
          <w:b/>
        </w:rPr>
        <w:t xml:space="preserve">4-6</w:t>
      </w:r>
      <w:r>
        <w:t xml:space="preserve">).</w:t>
      </w:r>
    </w:p>
    <w:p>
      <w:pPr>
        <w:pStyle w:val="BodyText"/>
      </w:pPr>
      <w:r>
        <w:rPr>
          <w:bCs/>
          <w:b/>
        </w:rPr>
        <w:t xml:space="preserve">Neither maximum seasonal growth rate,</w:t>
      </w:r>
      <w:r>
        <w:rPr>
          <w:bCs/>
          <w:b/>
        </w:rPr>
        <w:t xml:space="preserve"> </w:t>
      </w:r>
      <m:oMath>
        <m:sSub>
          <m:e>
            <m:r>
              <m:t>g</m:t>
            </m:r>
          </m:e>
          <m:sub>
            <m:r>
              <m:t>m</m:t>
            </m:r>
            <m:r>
              <m:t>a</m:t>
            </m:r>
            <m:r>
              <m:t>x</m:t>
            </m:r>
          </m:sub>
        </m:sSub>
      </m:oMath>
      <w:r>
        <w:rPr>
          <w:bCs/>
          <w:b/>
        </w:rPr>
        <w:t xml:space="preserve">, nor annual growth measured with dendrometer bands,</w:t>
      </w:r>
      <w:r>
        <w:rPr>
          <w:bCs/>
          <w:b/>
        </w:rPr>
        <w:t xml:space="preserve"> </w:t>
      </w:r>
      <m:oMath>
        <m:r>
          <m:t>Δ</m:t>
        </m:r>
        <m:r>
          <m:t>D</m:t>
        </m:r>
        <m:r>
          <m:t>B</m:t>
        </m:r>
        <m:r>
          <m:t>H</m:t>
        </m:r>
      </m:oMath>
      <w:r>
        <w:rPr>
          <w:bCs/>
          <w:b/>
        </w:rPr>
        <w:t xml:space="preserve">, was consistently linked to early spring temperatures (Fig. 1, Extended Data Figures</w:t>
      </w:r>
      <w:r>
        <w:rPr>
          <w:bCs/>
          <w:b/>
        </w:rPr>
        <w:t xml:space="preserve"> </w:t>
      </w:r>
      <w:r>
        <w:t xml:space="preserve">4-6</w:t>
      </w:r>
      <w:r>
        <w:rPr>
          <w:bCs/>
          <w:b/>
        </w:rPr>
        <w:t xml:space="preserve">).</w:t>
      </w:r>
      <w:r>
        <w:t xml:space="preserve"> </w:t>
      </w:r>
      <w:r>
        <w:t xml:space="preserve">Specifically,</w:t>
      </w:r>
      <w:r>
        <w:t xml:space="preserve"> </w:t>
      </w:r>
      <m:oMath>
        <m:sSub>
          <m:e>
            <m:r>
              <m:t>g</m:t>
            </m:r>
          </m:e>
          <m:sub>
            <m:r>
              <m:t>m</m:t>
            </m:r>
            <m:r>
              <m:t>a</m:t>
            </m:r>
            <m:r>
              <m:t>x</m:t>
            </m:r>
          </m:sub>
        </m:sSub>
      </m:oMath>
      <w:r>
        <w:t xml:space="preserve"> </w:t>
      </w:r>
      <w:r>
        <w:t xml:space="preserve">displayed either no relationship to CTW</w:t>
      </w:r>
      <w:r>
        <w:t xml:space="preserve"> </w:t>
      </w:r>
      <m:oMath>
        <m:sSub>
          <m:e>
            <m:r>
              <m:t>T</m:t>
            </m:r>
          </m:e>
          <m:sub>
            <m:r>
              <m:t>m</m:t>
            </m:r>
            <m:r>
              <m:t>a</m:t>
            </m:r>
            <m:r>
              <m:t>x</m:t>
            </m:r>
          </m:sub>
        </m:sSub>
      </m:oMath>
      <w:r>
        <w:t xml:space="preserve"> </w:t>
      </w:r>
      <w:r>
        <w:t xml:space="preserve">(SCBI), or extremely small changes in opposite directions for ring- and diffuse- porous species (Harvard Forest),</w:t>
      </w:r>
      <w:r>
        <w:t xml:space="preserve"> </w:t>
      </w:r>
      <w:r>
        <w:t xml:space="preserve">while</w:t>
      </w:r>
      <w:r>
        <w:t xml:space="preserve"> </w:t>
      </w:r>
      <m:oMath>
        <m:r>
          <m:t>Δ</m:t>
        </m:r>
        <m:r>
          <m:t>D</m:t>
        </m:r>
        <m:r>
          <m:t>B</m:t>
        </m:r>
        <m:r>
          <m:t>H</m:t>
        </m:r>
      </m:oMath>
      <w:r>
        <w:t xml:space="preserve"> </w:t>
      </w:r>
      <w:r>
        <w:t xml:space="preserve">displayed no relationship CTW</w:t>
      </w:r>
      <w:r>
        <w:t xml:space="preserve"> </w:t>
      </w:r>
      <m:oMath>
        <m:sSub>
          <m:e>
            <m:r>
              <m:t>T</m:t>
            </m:r>
          </m:e>
          <m:sub>
            <m:r>
              <m:t>m</m:t>
            </m:r>
            <m:r>
              <m:t>a</m:t>
            </m:r>
            <m:r>
              <m:t>x</m:t>
            </m:r>
          </m:sub>
        </m:sSub>
      </m:oMath>
      <w:r>
        <w:t xml:space="preserve"> </w:t>
      </w:r>
      <w:r>
        <w:t xml:space="preserve">(Extended Data Figure 4).</w:t>
      </w:r>
    </w:p>
    <w:p>
      <w:pPr>
        <w:pStyle w:val="BodyText"/>
      </w:pPr>
      <w:r>
        <w:rPr>
          <w:bCs/>
          <w:b/>
        </w:rPr>
        <w:t xml:space="preserve">To understand how annual growth increments, as registered in ring width indices (RWI), have responded to spring temperatures at the centennial scale, we analyzed tree-ring chronologies from our focal study sites (Extended Data Table 1) and across an additional 112 (Fig. 4, Extended Data Figure 1).</w:t>
      </w:r>
      <w:r>
        <w:t xml:space="preserve"> </w:t>
      </w:r>
      <w:r>
        <w:t xml:space="preserve">For 12 species at SCBI and 3 species at Harvard Forest, residual chronologies rarely exhibited significant correlations to either</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w:t>
      </w:r>
      <w:r>
        <w:t xml:space="preserve">in the months corresponding to the CTWs identified here (Fig. 4, Extended Data Figure 7).</w:t>
      </w:r>
      <w:r>
        <w:t xml:space="preserve"> </w:t>
      </w:r>
      <w:r>
        <w:t xml:space="preserve">Although correlations were rarely significant, there was a consistent pattern in responses to</w:t>
      </w:r>
      <w:r>
        <w:t xml:space="preserve"> </w:t>
      </w:r>
      <m:oMath>
        <m:sSub>
          <m:e>
            <m:r>
              <m:t>T</m:t>
            </m:r>
          </m:e>
          <m:sub>
            <m:r>
              <m:t>m</m:t>
            </m:r>
            <m:r>
              <m:t>a</m:t>
            </m:r>
            <m:r>
              <m:t>x</m:t>
            </m:r>
          </m:sub>
        </m:sSub>
      </m:oMath>
      <w:r>
        <w:t xml:space="preserve"> </w:t>
      </w:r>
      <w:r>
        <w:t xml:space="preserve">across all species at both sites:</w:t>
      </w:r>
      <w:r>
        <w:t xml:space="preserve"> </w:t>
      </w:r>
      <w:r>
        <w:t xml:space="preserve">responses to</w:t>
      </w:r>
      <w:r>
        <w:t xml:space="preserve"> </w:t>
      </w:r>
      <m:oMath>
        <m:sSub>
          <m:e>
            <m:r>
              <m:t>T</m:t>
            </m:r>
          </m:e>
          <m:sub>
            <m:r>
              <m:t>m</m:t>
            </m:r>
            <m:r>
              <m:t>a</m:t>
            </m:r>
            <m:r>
              <m:t>x</m:t>
            </m:r>
          </m:sub>
        </m:sSub>
      </m:oMath>
      <w:r>
        <w:t xml:space="preserve"> </w:t>
      </w:r>
      <w:r>
        <w:t xml:space="preserve">were negative or neutral in all months from February to August, with the exception of one spring month at each site (April at SCBI, May at Harvard Forest) where growth displayed a positive or neutral responses to</w:t>
      </w:r>
      <w:r>
        <w:t xml:space="preserve"> </w:t>
      </w:r>
      <m:oMath>
        <m:sSub>
          <m:e>
            <m:r>
              <m:t>T</m:t>
            </m:r>
          </m:e>
          <m:sub>
            <m:r>
              <m:t>m</m:t>
            </m:r>
            <m:r>
              <m:t>a</m:t>
            </m:r>
            <m:r>
              <m:t>x</m:t>
            </m:r>
          </m:sub>
        </m:sSub>
      </m:oMath>
      <w:r>
        <w:t xml:space="preserve"> </w:t>
      </w:r>
      <w:r>
        <w:t xml:space="preserve">(Fig. 4).</w:t>
      </w:r>
      <w:r>
        <w:t xml:space="preserve"> </w:t>
      </w:r>
      <w:r>
        <w:t xml:space="preserve">In these months, positive correlations to</w:t>
      </w:r>
      <w:r>
        <w:t xml:space="preserve"> </w:t>
      </w:r>
      <m:oMath>
        <m:sSub>
          <m:e>
            <m:r>
              <m:t>T</m:t>
            </m:r>
          </m:e>
          <m:sub>
            <m:r>
              <m:t>m</m:t>
            </m:r>
            <m:r>
              <m:t>a</m:t>
            </m:r>
            <m:r>
              <m:t>x</m:t>
            </m:r>
          </m:sub>
        </m:sSub>
      </m:oMath>
      <w:r>
        <w:t xml:space="preserve"> </w:t>
      </w:r>
      <w:r>
        <w:t xml:space="preserve">were statistically significant (at p=0.05) for one of nine ring-porous species at SCBI and one of two diffuse-porous species at each site.</w:t>
      </w:r>
      <w:r>
        <w:t xml:space="preserve"> </w:t>
      </w:r>
      <w:r>
        <w:t xml:space="preserve">Starting in May at SCBI and June at Harvard Forest, negative correlations of RWI to</w:t>
      </w:r>
      <w:r>
        <w:t xml:space="preserve"> </w:t>
      </w:r>
      <m:oMath>
        <m:sSub>
          <m:e>
            <m:r>
              <m:t>T</m:t>
            </m:r>
          </m:e>
          <m:sub>
            <m:r>
              <m:t>m</m:t>
            </m:r>
            <m:r>
              <m:t>a</m:t>
            </m:r>
            <m:r>
              <m:t>x</m:t>
            </m:r>
          </m:sub>
        </m:sSub>
      </m:oMath>
      <w:r>
        <w:t xml:space="preserve"> </w:t>
      </w:r>
      <w:r>
        <w:t xml:space="preserve">were predominant, being statistically significant in at least one growing season month for all 12 species at SCBI and one of 3 species at Harvard Forest.</w:t>
      </w:r>
      <w:r>
        <w:t xml:space="preserve"> </w:t>
      </w:r>
      <w:r>
        <w:t xml:space="preserve">Patterns in</w:t>
      </w:r>
      <w:r>
        <w:t xml:space="preserve"> </w:t>
      </w:r>
      <m:oMath>
        <m:sSub>
          <m:e>
            <m:r>
              <m:t>T</m:t>
            </m:r>
          </m:e>
          <m:sub>
            <m:r>
              <m:t>m</m:t>
            </m:r>
            <m:r>
              <m:t>i</m:t>
            </m:r>
            <m:r>
              <m:t>n</m:t>
            </m:r>
          </m:sub>
        </m:sSub>
      </m:oMath>
      <w:r>
        <w:t xml:space="preserve"> </w:t>
      </w:r>
      <w:r>
        <w:t xml:space="preserve">were fairly similar to those of</w:t>
      </w:r>
      <w:r>
        <w:t xml:space="preserve"> </w:t>
      </w:r>
      <m:oMath>
        <m:sSub>
          <m:e>
            <m:r>
              <m:t>T</m:t>
            </m:r>
          </m:e>
          <m:sub>
            <m:r>
              <m:t>m</m:t>
            </m:r>
            <m:r>
              <m:t>a</m:t>
            </m:r>
            <m:r>
              <m:t>x</m:t>
            </m:r>
          </m:sub>
        </m:sSub>
      </m:oMath>
      <w:r>
        <w:t xml:space="preserve">, but weaker and more stochastic, with more (non-significant) correlations going in opposite directions (Extended Data Figure 7).</w:t>
      </w:r>
    </w:p>
    <w:p>
      <w:pPr>
        <w:pStyle w:val="CaptionedFigure"/>
      </w:pPr>
      <w:r>
        <w:drawing>
          <wp:inline>
            <wp:extent cx="5943600" cy="5736123"/>
            <wp:effectExtent b="0" l="0" r="0" t="0"/>
            <wp:docPr descr="Figure 4 | Sensitivity of annual growth, as derived from tree-rings, to monthly maximum temperatures, for 207 chronologies from 114 sites across eastern North America (Extended Data Figure 1). Chronologies are grouped by xylem porosity and ordered by mean maximum April temperature. Chronology details are given in the Supplementary Information. (NOTE: Figure still needs some work. COLOR SCALE IS A BIT OFF IN THIS COMPOSITE FIGURE (scales not identical across panels). See GitHub Issue #49.)"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7"/>
                    <a:stretch>
                      <a:fillRect/>
                    </a:stretch>
                  </pic:blipFill>
                  <pic:spPr bwMode="auto">
                    <a:xfrm>
                      <a:off x="0" y="0"/>
                      <a:ext cx="5943600" cy="5736123"/>
                    </a:xfrm>
                    <a:prstGeom prst="rect">
                      <a:avLst/>
                    </a:prstGeom>
                    <a:noFill/>
                    <a:ln w="9525">
                      <a:noFill/>
                      <a:headEnd/>
                      <a:tailEnd/>
                    </a:ln>
                  </pic:spPr>
                </pic:pic>
              </a:graphicData>
            </a:graphic>
          </wp:inline>
        </w:drawing>
      </w:r>
    </w:p>
    <w:p>
      <w:pPr>
        <w:pStyle w:val="ImageCaption"/>
      </w:pPr>
      <w:r>
        <w:rPr>
          <w:bCs/>
          <w:b/>
        </w:rPr>
        <w:t xml:space="preserve">Figure 4 | Sensitivity of annual growth, as derived from tree-rings, to monthly maximum temperatures, for 207 chronologies from 114 sites across eastern North America</w:t>
      </w:r>
      <w:r>
        <w:t xml:space="preserve"> </w:t>
      </w:r>
      <w:r>
        <w:t xml:space="preserve">(Extended Data Figure 1). Chronologies are grouped by xylem porosity and ordered by mean maximum April temperature. Chronology details are given in the Supplementary Information. (NOTE: Figure still needs some work.</w:t>
      </w:r>
      <w:r>
        <w:t xml:space="preserve"> </w:t>
      </w:r>
      <w:r>
        <w:rPr>
          <w:bCs/>
          <w:b/>
        </w:rPr>
        <w:t xml:space="preserve">COLOR SCALE IS A BIT OFF IN THIS COMPOSITE FIGURE (scales not identical across panels).</w:t>
      </w:r>
      <w:r>
        <w:t xml:space="preserve"> </w:t>
      </w:r>
      <w:r>
        <w:t xml:space="preserve">See</w:t>
      </w:r>
      <w:r>
        <w:t xml:space="preserve"> </w:t>
      </w:r>
      <w:hyperlink r:id="rId28">
        <w:r>
          <w:rPr>
            <w:rStyle w:val="Hyperlink"/>
          </w:rPr>
          <w:t xml:space="preserve">GitHub Issue #49</w:t>
        </w:r>
      </w:hyperlink>
      <w:r>
        <w:t xml:space="preserve">.)</w:t>
      </w:r>
    </w:p>
    <w:p>
      <w:pPr>
        <w:pStyle w:val="BodyText"/>
      </w:pPr>
      <w:r>
        <w:rPr>
          <w:bCs/>
          <w:b/>
        </w:rPr>
        <w:t xml:space="preserve">The patterns observed at our focual sites were mirrored across an additional 192 chronologies from 112 (Extended Data Figure 1).</w:t>
      </w:r>
      <w:r>
        <w:t xml:space="preserve"> </w:t>
      </w:r>
      <w:r>
        <w:t xml:space="preserve">In total, our analysis included # species at sites distributed from XXX to XXX and spanning a ## degree range in April T.**</w:t>
      </w:r>
      <w:r>
        <w:t xml:space="preserve"> </w:t>
      </w:r>
      <w:r>
        <w:rPr>
          <w:iCs/>
          <w:i/>
        </w:rPr>
        <w:t xml:space="preserve">(describe results across all sites)</w:t>
      </w:r>
      <w:r>
        <w:t xml:space="preserve"> </w:t>
      </w:r>
      <w:r>
        <w:t xml:space="preserve">(Fig. 4)</w:t>
      </w:r>
    </w:p>
    <w:bookmarkEnd w:id="29"/>
    <w:bookmarkStart w:id="30" w:name="discussion"/>
    <w:p>
      <w:pPr>
        <w:pStyle w:val="Heading1"/>
      </w:pPr>
      <w:r>
        <w:rPr>
          <w:rStyle w:val="SectionNumber"/>
        </w:rPr>
        <w:t xml:space="preserve">4</w:t>
      </w:r>
      <w:r>
        <w:tab/>
      </w:r>
      <w:r>
        <w:t xml:space="preserve">(Discussion)</w:t>
      </w:r>
    </w:p>
    <w:p>
      <w:pPr>
        <w:pStyle w:val="FirstParagraph"/>
      </w:pPr>
      <w:r>
        <w:t xml:space="preserve">(</w:t>
      </w:r>
      <w:r>
        <w:rPr>
          <w:iCs/>
          <w:i/>
        </w:rPr>
        <w:t xml:space="preserve">length may be okay, shouldn’t be lengthened</w:t>
      </w:r>
      <w:r>
        <w:t xml:space="preserve">)</w:t>
      </w:r>
    </w:p>
    <w:p>
      <w:pPr>
        <w:pStyle w:val="BodyText"/>
      </w:pPr>
      <w:r>
        <w:t xml:space="preserve">We found that warmer spring temperatures in temperate deciduous forests cause earlier tree growth but have little effect on annual woody productivity ( 1- 2). Using dendroband data, we found that the peak growing season generally advanced as the critical spring windows warmed (Fig. 2). Despite this shift, growth variables</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virtually unchanged when this period warmed, but</w:t>
      </w:r>
      <w:r>
        <w:t xml:space="preserve"> </w:t>
      </w:r>
      <m:oMath>
        <m:r>
          <m:t>D</m:t>
        </m:r>
        <m:r>
          <m:t>O</m:t>
        </m:r>
        <m:sSub>
          <m:e>
            <m:r>
              <m:t>Y</m:t>
            </m:r>
          </m:e>
          <m:sub>
            <m:sSub>
              <m:e>
                <m:r>
                  <m:t>g</m:t>
                </m:r>
              </m:e>
              <m:sub>
                <m:r>
                  <m:t>m</m:t>
                </m:r>
                <m:r>
                  <m:t>a</m:t>
                </m:r>
                <m:r>
                  <m:t>x</m:t>
                </m:r>
              </m:sub>
            </m:sSub>
          </m:sub>
        </m:sSub>
      </m:oMath>
      <w:r>
        <w:t xml:space="preserve"> </w:t>
      </w:r>
      <w:r>
        <w:t xml:space="preserve">shifted back almost in unison with</w:t>
      </w:r>
      <w:r>
        <w:t xml:space="preserve"> </w:t>
      </w:r>
      <m:oMath>
        <m:r>
          <m:t>D</m:t>
        </m:r>
        <m:r>
          <m:t>O</m:t>
        </m:r>
        <m:sSub>
          <m:e>
            <m:r>
              <m:t>Y</m:t>
            </m:r>
          </m:e>
          <m:sub>
            <m:r>
              <m:t>50</m:t>
            </m:r>
          </m:sub>
        </m:sSub>
      </m:oMath>
      <w:r>
        <w:t xml:space="preserve"> </w:t>
      </w:r>
      <w:r>
        <w:t xml:space="preserve">(Fig 2). The lack of influence Spring</w:t>
      </w:r>
      <w:r>
        <w:t xml:space="preserve"> </w:t>
      </w:r>
      <m:oMath>
        <m:sSub>
          <m:e>
            <m:r>
              <m:t>T</m:t>
            </m:r>
          </m:e>
          <m:sub>
            <m:r>
              <m:t>m</m:t>
            </m:r>
            <m:r>
              <m:t>a</m:t>
            </m:r>
            <m:r>
              <m:t>x</m:t>
            </m:r>
          </m:sub>
        </m:sSub>
      </m:oMath>
      <w:r>
        <w:t xml:space="preserve"> </w:t>
      </w:r>
      <w:r>
        <w:t xml:space="preserve">exudes on</w:t>
      </w:r>
      <w:r>
        <w:t xml:space="preserve"> </w:t>
      </w:r>
      <m:oMath>
        <m:r>
          <m:t>Δ</m:t>
        </m:r>
        <m:r>
          <m:t>D</m:t>
        </m:r>
        <m:r>
          <m:t>B</m:t>
        </m:r>
        <m:r>
          <m:t>H</m:t>
        </m:r>
      </m:oMath>
      <w:r>
        <w:t xml:space="preserve"> </w:t>
      </w:r>
      <w:r>
        <w:t xml:space="preserve">found with the dendroband data agrees with patterns observed in tree cores, which show that annual tree growth depends more on peak growing season conditions than early season advancement.</w:t>
      </w:r>
    </w:p>
    <w:p>
      <w:pPr>
        <w:pStyle w:val="BodyText"/>
      </w:pPr>
      <w:r>
        <w:t xml:space="preserve">Although the number of years analyzed here is limited (10 years at SCBI, 6 years at HF), the signal is clear and consistent: for both species groups at both sites, warmer temperatures during virtually any part of the spring led to significantly earlier achievement of growth milestones (Figs. 1-2).</w:t>
      </w:r>
      <w:r>
        <w:t xml:space="preserve"> </w:t>
      </w:r>
      <w:r>
        <w:t xml:space="preserve">This indicates that the effect of</w:t>
      </w:r>
      <w:r>
        <w:t xml:space="preserve"> </w:t>
      </w:r>
      <m:oMath>
        <m:sSub>
          <m:e>
            <m:r>
              <m:t>T</m:t>
            </m:r>
          </m:e>
          <m:sub>
            <m:r>
              <m:t>m</m:t>
            </m:r>
            <m:r>
              <m:t>a</m:t>
            </m:r>
            <m:r>
              <m:t>x</m:t>
            </m:r>
          </m:sub>
        </m:sSub>
      </m:oMath>
      <w:r>
        <w:t xml:space="preserve"> </w:t>
      </w:r>
      <w:r>
        <w:t xml:space="preserve">on the timing of growth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,and</w:t>
      </w:r>
      <w:r>
        <w:t xml:space="preserve"> </w:t>
      </w:r>
      <m:oMath>
        <m:r>
          <m:t>D</m:t>
        </m:r>
        <m:r>
          <m:t>O</m:t>
        </m:r>
        <m:sSub>
          <m:e>
            <m:r>
              <m:t>Y</m:t>
            </m:r>
          </m:e>
          <m:sub>
            <m:sSub>
              <m:e>
                <m:r>
                  <m:t>g</m:t>
                </m:r>
              </m:e>
              <m:sub>
                <m:r>
                  <m:t>m</m:t>
                </m:r>
                <m:r>
                  <m:t>a</m:t>
                </m:r>
                <m:r>
                  <m:t>x</m:t>
                </m:r>
              </m:sub>
            </m:sSub>
          </m:sub>
        </m:sSub>
      </m:oMath>
      <w:r>
        <w:t xml:space="preserve">) is not subtle.</w:t>
      </w:r>
      <w:r>
        <w:t xml:space="preserve"> </w:t>
      </w:r>
      <w:r>
        <w:t xml:space="preserve">Indeed, growth milestones advanced by 1-8 days per degree Celsius during the critical temperature window.</w:t>
      </w:r>
      <w:r>
        <w:t xml:space="preserve"> </w:t>
      </w:r>
      <w:r>
        <w:t xml:space="preserve">This is consistent with previous studies showing that …</w:t>
      </w:r>
      <w:r>
        <w:t xml:space="preserve"> </w:t>
      </w:r>
      <w:r>
        <w:rPr>
          <w:iCs/>
          <w:i/>
        </w:rPr>
        <w:t xml:space="preserve">(find/cite some statistics on how rapidly leaf phenology or start of C sequestration advance with T— This could be tough. It looks like that varies alot by region and species.)</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less consistent and generally quite subtle (Figs. 1, 3), such that a much longer record would be needed to clarify what, if any, effect spring temperatures have on maximum daily and annual growth rates.</w:t>
      </w:r>
      <w:r>
        <w:t xml:space="preserve"> </w:t>
      </w:r>
      <w:r>
        <w:t xml:space="preserve">Fortunately, we were able to use tree-ring data to understand centennial-scale temperature sensitivity of annual growth (Fig. 4).</w:t>
      </w:r>
      <w:r>
        <w:t xml:space="preserve"> </w:t>
      </w:r>
      <w:r>
        <w:t xml:space="preserve">This analysis confirms that the effect of spring temperatures on annual growth is modest and not statistically significant for most species, while revealing a slightly more complex picture.</w:t>
      </w:r>
      <w:r>
        <w:t xml:space="preserve"> </w:t>
      </w:r>
      <w:r>
        <w:t xml:space="preserve">It appears that temperatures–particularly</w:t>
      </w:r>
      <w:r>
        <w:t xml:space="preserve"> </w:t>
      </w:r>
      <m:oMath>
        <m:sSub>
          <m:e>
            <m:r>
              <m:t>T</m:t>
            </m:r>
          </m:e>
          <m:sub>
            <m:r>
              <m:t>m</m:t>
            </m:r>
            <m:r>
              <m:t>a</m:t>
            </m:r>
            <m:r>
              <m:t>x</m:t>
            </m:r>
          </m:sub>
        </m:sSub>
      </m:oMath>
      <w:r>
        <w:t xml:space="preserve">–during one spring month at each site (April at SCBI, May at Harvard Forest) consistently have a weakly positive (</w:t>
      </w:r>
      <w:r>
        <w:rPr>
          <w:iCs/>
          <w:i/>
        </w:rPr>
        <w:t xml:space="preserve">albiet</w:t>
      </w:r>
      <w:r>
        <w:t xml:space="preserve"> </w:t>
      </w:r>
      <w:r>
        <w:t xml:space="preserve">rarely significant) effect on annual growth, in striking contrast to the predominantly negative correlations of growth rates with</w:t>
      </w:r>
      <w:r>
        <w:t xml:space="preserve"> </w:t>
      </w:r>
      <m:oMath>
        <m:sSub>
          <m:e>
            <m:r>
              <m:t>T</m:t>
            </m:r>
          </m:e>
          <m:sub>
            <m:r>
              <m:t>m</m:t>
            </m:r>
            <m:r>
              <m:t>a</m:t>
            </m:r>
            <m:r>
              <m:t>x</m:t>
            </m:r>
          </m:sub>
        </m:sSub>
      </m:oMath>
      <w:r>
        <w:t xml:space="preserve"> </w:t>
      </w:r>
      <w:r>
        <w:t xml:space="preserve">in preceding and subsequent months.</w:t>
      </w:r>
      <w:r>
        <w:t xml:space="preserve"> </w:t>
      </w:r>
      <w:r>
        <w:t xml:space="preserve">This suggests that spring</w:t>
      </w:r>
      <w:r>
        <w:t xml:space="preserve"> </w:t>
      </w:r>
      <m:oMath>
        <m:sSub>
          <m:e>
            <m:r>
              <m:t>T</m:t>
            </m:r>
          </m:e>
          <m:sub>
            <m:r>
              <m:t>m</m:t>
            </m:r>
            <m:r>
              <m:t>a</m:t>
            </m:r>
            <m:r>
              <m:t>x</m:t>
            </m:r>
          </m:sub>
        </m:sSub>
      </m:oMath>
      <w:r>
        <w:t xml:space="preserve">, though it’s pronounced influence on the start of woody growth and subtle influence on length of the peak growing season, has a modestly positive influence on annual tree growth, but that this influence is generally of secondary importance to other factors.</w:t>
      </w:r>
    </w:p>
    <w:p>
      <w:pPr>
        <w:pStyle w:val="BodyText"/>
      </w:pPr>
      <w:r>
        <w:t xml:space="preserve">Indeed, the tree-ring records reveal that annual growth is most commonly controlled by climate conditions during the peak growing season (Fig. 4).</w:t>
      </w:r>
      <w:r>
        <w:t xml:space="preserve"> </w:t>
      </w:r>
      <w:r>
        <w:t xml:space="preserve">(</w:t>
      </w:r>
      <w:r>
        <w:rPr>
          <w:iCs/>
          <w:i/>
        </w:rPr>
        <w:t xml:space="preserve">1-2 sentences reviewing our regional analysis results /generalizing about climate sensitivity of temperate deciduous forest growth.</w:t>
      </w:r>
      <w:r>
        <w:t xml:space="preserve">)</w:t>
      </w:r>
      <w:r>
        <w:t xml:space="preserve"> </w:t>
      </w:r>
      <w:r>
        <w:t xml:space="preserve">These results align with other studies showing that while warmer spring temperatures can have a positive effect on annual growth for some species, most species show no significant response.</w:t>
      </w:r>
      <w:r>
        <w:rPr>
          <w:vertAlign w:val="superscript"/>
        </w:rPr>
        <w:t xml:space="preserve">24,26</w:t>
      </w:r>
      <w:r>
        <w:t xml:space="preserve"> </w:t>
      </w:r>
      <w:r>
        <w:t xml:space="preserve">These results align with,</w:t>
      </w:r>
      <w:r>
        <w:rPr>
          <w:vertAlign w:val="superscript"/>
        </w:rPr>
        <w:t xml:space="preserve">15</w:t>
      </w:r>
      <w:r>
        <w:t xml:space="preserve"> which shows that interannual variation in NEE is more strongly linked to peak C uptake rates than to growing season length. Our study demonstrates that this holds true for</w:t>
      </w:r>
      <w:r>
        <w:t xml:space="preserve"> </w:t>
      </w:r>
      <m:oMath>
        <m:r>
          <m:t>A</m:t>
        </m:r>
        <m:r>
          <m:t>N</m:t>
        </m:r>
        <m:r>
          <m:t>P</m:t>
        </m:r>
        <m:sSub>
          <m:e>
            <m:r>
              <m:t>P</m:t>
            </m:r>
          </m:e>
          <m:sub>
            <m:r>
              <m:t>w</m:t>
            </m:r>
            <m:r>
              <m:t>o</m:t>
            </m:r>
            <m:r>
              <m:t>o</m:t>
            </m:r>
            <m:r>
              <m:t>d</m:t>
            </m:r>
            <m:r>
              <m:t>y</m:t>
            </m:r>
          </m:sub>
        </m:sSub>
      </m:oMath>
      <w:r>
        <w:t xml:space="preserve"> </w:t>
      </w:r>
      <w:r>
        <w:t xml:space="preserve">as well as NEE.</w:t>
      </w:r>
    </w:p>
    <w:p>
      <w:pPr>
        <w:pStyle w:val="BodyText"/>
      </w:pPr>
      <w:r>
        <w:t xml:space="preserve">Our findings contribute to a broader picture of the influence of spring temperatures on forest ecosystem function.</w:t>
      </w:r>
      <w:r>
        <w:t xml:space="preserve"> </w:t>
      </w:r>
      <w:r>
        <w:t xml:space="preserve">Warm spring temperatures result in earlier leaf-out (Fig. 2 , REFS), an earlier start to net C sequestration (REFS), and, as shown here, earlier initiation of stem growth (Figs. 1- 2).</w:t>
      </w:r>
      <w:r>
        <w:t xml:space="preserve"> </w:t>
      </w:r>
      <w:r>
        <w:t xml:space="preserve">Yet, an earlier start to the growing season is not associated with a longer growing season (Figs. 1, 3)</w:t>
      </w:r>
      <w:r>
        <w:rPr>
          <w:vertAlign w:val="superscript"/>
        </w:rPr>
        <w:t xml:space="preserve">17</w:t>
      </w:r>
      <w:r>
        <w:t xml:space="preserve"> </w:t>
      </w:r>
      <w:r>
        <w:t xml:space="preserve">because growth finishes sooner under these conditions, presumably because of</w:t>
      </w:r>
      <w:r>
        <w:t xml:space="preserve"> </w:t>
      </w:r>
      <w:r>
        <w:rPr>
          <w:iCs/>
          <w:i/>
        </w:rPr>
        <w:t xml:space="preserve">C sink limitation</w:t>
      </w:r>
      <w:r>
        <w:t xml:space="preserve">.</w:t>
      </w:r>
      <w:r>
        <w:rPr>
          <w:vertAlign w:val="superscript"/>
        </w:rPr>
        <w:t xml:space="preserve">17</w:t>
      </w:r>
    </w:p>
    <w:p>
      <w:pPr>
        <w:pStyle w:val="BodyText"/>
      </w:pPr>
      <w:r>
        <w:t xml:space="preserve">As climate change accelerates and spring temperatures become increasingly warmer, growing seasons will start earlier, but this is unlikely to provide the increased carbon sequestration that is anticipated in most models (Figs. 1, 3, 4)</w:t>
      </w:r>
      <w:r>
        <w:rPr>
          <w:vertAlign w:val="superscript"/>
        </w:rPr>
        <w:t xml:space="preserve">17</w:t>
      </w:r>
      <w:r>
        <w:t xml:space="preserve">.</w:t>
      </w:r>
      <w:r>
        <w:t xml:space="preserve"> </w:t>
      </w:r>
      <w:r>
        <w:t xml:space="preserve">Because of this, temperate deciduous forests are likely to sequester less CO</w:t>
      </w:r>
      <w:r>
        <w:rPr>
          <w:vertAlign w:val="subscript"/>
        </w:rPr>
        <w:t xml:space="preserve">2</w:t>
      </w:r>
      <w:r>
        <w:t xml:space="preserve"> </w:t>
      </w:r>
      <w:r>
        <w:t xml:space="preserve">than most models suggest, implying that these models are underestimating future overall atmospheric CO</w:t>
      </w:r>
      <w:r>
        <w:rPr>
          <w:vertAlign w:val="subscript"/>
        </w:rPr>
        <w:t xml:space="preserve">2</w:t>
      </w:r>
      <w:r>
        <w:t xml:space="preserve">.</w:t>
      </w:r>
    </w:p>
    <w:bookmarkEnd w:id="30"/>
    <w:bookmarkStart w:id="31" w:name="content-to-incorporate"/>
    <w:p>
      <w:pPr>
        <w:pStyle w:val="Heading1"/>
      </w:pPr>
      <w:r>
        <w:rPr>
          <w:rStyle w:val="SectionNumber"/>
        </w:rPr>
        <w:t xml:space="preserve">5</w:t>
      </w:r>
      <w:r>
        <w:tab/>
      </w:r>
      <w:r>
        <w:t xml:space="preserve">(Content to incorporate)</w:t>
      </w:r>
    </w:p>
    <w:p>
      <w:pPr>
        <w:pStyle w:val="FirstParagraph"/>
      </w:pPr>
      <w:r>
        <w:t xml:space="preserve">However, more of the interannual variation in forest</w:t>
      </w:r>
      <w:r>
        <w:t xml:space="preserve"> </w:t>
      </w:r>
      <m:oMath>
        <m:r>
          <m:t>N</m:t>
        </m:r>
        <m:r>
          <m:t>E</m:t>
        </m:r>
        <m:r>
          <m:t>E</m:t>
        </m:r>
      </m:oMath>
      <w:r>
        <w:t xml:space="preserve"> </w:t>
      </w:r>
      <w:r>
        <w:t xml:space="preserve">is explained by variation in maximum C uptake rates than by the length of the carbon uptake period.</w:t>
      </w:r>
      <w:r>
        <w:rPr>
          <w:vertAlign w:val="superscript"/>
        </w:rPr>
        <w:t xml:space="preserve">4,15</w:t>
      </w:r>
      <w:r>
        <w:t xml:space="preserve"> This idea agrees with patterns seen in tree cores, where peak growing season climate was more influential than spring climate</w:t>
      </w:r>
      <w:r>
        <w:rPr>
          <w:vertAlign w:val="superscript"/>
        </w:rPr>
        <w:t xml:space="preserve">24</w:t>
      </w:r>
      <w:r>
        <w:t xml:space="preserve"> </w:t>
      </w:r>
      <w:r>
        <w:t xml:space="preserve">but many models still predict the extension of growing season will increase NEE.</w:t>
      </w:r>
    </w:p>
    <w:p>
      <w:pPr>
        <w:pStyle w:val="BodyText"/>
      </w:pPr>
      <w:r>
        <w:rPr>
          <w:vertAlign w:val="superscript"/>
        </w:rPr>
        <w:t xml:space="preserve">27</w:t>
      </w:r>
    </w:p>
    <w:p>
      <w:pPr>
        <w:pStyle w:val="BodyText"/>
      </w:pPr>
      <w:r>
        <w:t xml:space="preserve">From Neil:,</w:t>
      </w:r>
      <w:r>
        <w:rPr>
          <w:vertAlign w:val="superscript"/>
        </w:rPr>
        <w:t xml:space="preserve">28</w:t>
      </w:r>
      <w:r>
        <w:rPr>
          <w:vertAlign w:val="superscript"/>
        </w:rPr>
        <w:t xml:space="preserve">29</w:t>
      </w:r>
    </w:p>
    <w:p>
      <w:pPr>
        <w:pStyle w:val="BodyText"/>
      </w:pPr>
      <w:r>
        <w:t xml:space="preserve">Geng et al. 2020 GCB- Climate warming increases spring phenological differences among temperate trees.</w:t>
      </w:r>
    </w:p>
    <w:p>
      <w:pPr>
        <w:pStyle w:val="BodyText"/>
      </w:pPr>
      <w:r>
        <w:t xml:space="preserve">N. American strategies have conservative strategies when it comes to phenology, as historically they’ve been subject to more spring frosts. Thus, climate change is having less impact (Zohner et al., 2020); Leaf velocity discussion? - - RP trees BB = 25% and 75% leaf development = 50% growth.</w:t>
      </w:r>
      <w:r>
        <w:rPr>
          <w:bCs/>
          <w:b/>
          <w:vertAlign w:val="superscript"/>
        </w:rPr>
        <w:t xml:space="preserve">doranngeville_radial_inreview?</w:t>
      </w:r>
      <w:r>
        <w:t xml:space="preserve"> Are DP trees leafing up earlier? If yes, how much earlier? Similar to 25,50,75% DOY retreat?</w:t>
      </w:r>
    </w:p>
    <w:p>
      <w:pPr>
        <w:pStyle w:val="BodyText"/>
      </w:pPr>
      <w:r>
        <w:t xml:space="preserve">Another study found that the velocity of leaf development is correlated to bud burst timing, such that the later in the spring bud burst occurred, the faster leaves developed and vice versa (Klosterman &amp; Hufkins &amp; Richardson, 2018).</w:t>
      </w:r>
    </w:p>
    <w:p>
      <w:pPr>
        <w:pStyle w:val="BodyText"/>
      </w:pPr>
      <w:r>
        <w:t xml:space="preserve">The timing of tree growth has profound impacts on ecosystem interactions, as well as dictates periods of highest drought sensitivity in temperate forests (Foster, 2014; D’Orangeville et al. in review). Species have co-evolved to utilize the phenological stages of trees at specific times in the year. If the timing of intraannual phenology traits were to shift, that could harm the species depending on the trees (). Additionally, if a drought were to occur when trees were at their peak growth rates, the resulting decrease in that year’s NPP would reduce the total amount of carbon sequestered, contributing to a climate feedback loop further exacerbating these potential shifts (source?).</w:t>
      </w:r>
    </w:p>
    <w:bookmarkEnd w:id="31"/>
    <w:bookmarkStart w:id="41" w:name="Methods"/>
    <w:p>
      <w:pPr>
        <w:pStyle w:val="Heading1"/>
      </w:pPr>
      <w:r>
        <w:t xml:space="preserve">Methods</w:t>
      </w:r>
    </w:p>
    <w:bookmarkStart w:id="32" w:name="Study"/>
    <w:p>
      <w:pPr>
        <w:pStyle w:val="Heading2"/>
      </w:pPr>
      <w:r>
        <w:t xml:space="preserve">Study sites</w:t>
      </w:r>
    </w:p>
    <w:p>
      <w:pPr>
        <w:pStyle w:val="FirstParagraph"/>
      </w:pPr>
      <w:r>
        <w:t xml:space="preserve">Study sites included two temperate forests in the eastern United States, both part of the Forest Global Earth Observatory [ForestGEO; Anderson-Teixeira et al. 2015; Davies et al. 2021].</w:t>
      </w:r>
    </w:p>
    <w:p>
      <w:pPr>
        <w:pStyle w:val="BodyText"/>
      </w:pPr>
      <w:r>
        <w:t xml:space="preserve">Our first study site was the forest dynamics plot located at the Smithsonian Conservation Biology Institute 5 km South of Front Royal, Virginia within the Blue Ridge Mountains (38.8935° N, 78.1454° W; elevation 273–338 m.a.s.l.).</w:t>
      </w:r>
      <w:r>
        <w:t xml:space="preserve"> </w:t>
      </w:r>
      <w:r>
        <w:t xml:space="preserve">The forest here was established in the mid-19th century after conversion from agricultural fields.</w:t>
      </w:r>
      <w:r>
        <w:t xml:space="preserve"> </w:t>
      </w:r>
      <w:r>
        <w:t xml:space="preserve">Dominate canopy species within the 25.6 ha forest plot include tulip poplar (</w:t>
      </w:r>
      <w:r>
        <w:rPr>
          <w:iCs/>
          <w:i/>
        </w:rPr>
        <w:t xml:space="preserve">Liriodendron tulipifera</w:t>
      </w:r>
      <w:r>
        <w:t xml:space="preserve">), oaks (</w:t>
      </w:r>
      <w:r>
        <w:rPr>
          <w:iCs/>
          <w:i/>
        </w:rPr>
        <w:t xml:space="preserve">Quercus spp.</w:t>
      </w:r>
      <w:r>
        <w:t xml:space="preserve">), hickories (</w:t>
      </w:r>
      <w:r>
        <w:rPr>
          <w:iCs/>
          <w:i/>
        </w:rPr>
        <w:t xml:space="preserve">Carya spp.</w:t>
      </w:r>
      <w:r>
        <w:t xml:space="preserve">).</w:t>
      </w:r>
      <w:r>
        <w:t xml:space="preserve"> </w:t>
      </w:r>
      <w:r>
        <w:t xml:space="preserve">The climate is humid temperate, with a mean annual precipitation of 998 mm and temperatures averaging 1° C in January and 24° C in July ([helcoski_growing_2019]).</w:t>
      </w:r>
    </w:p>
    <w:p>
      <w:pPr>
        <w:pStyle w:val="BodyText"/>
      </w:pPr>
      <w:r>
        <w:t xml:space="preserve">The second study site was Harvard Forest (42.5388° N, 72.1755° W, 340-368 m.a.s.l.), located near the central Massachusetts town of Petersham.</w:t>
      </w:r>
      <w:r>
        <w:t xml:space="preserve"> </w:t>
      </w:r>
      <w:r>
        <w:t xml:space="preserve">Harvard forest is a secondary forest, having re-established following agricultural use</w:t>
      </w:r>
      <w:r>
        <w:t xml:space="preserve"> </w:t>
      </w:r>
      <w:r>
        <w:rPr>
          <w:iCs/>
          <w:i/>
        </w:rPr>
        <w:t xml:space="preserve">(time frame)</w:t>
      </w:r>
      <w:r>
        <w:t xml:space="preserve"> </w:t>
      </w:r>
      <w:r>
        <w:t xml:space="preserve">and signficant hurricane damage in</w:t>
      </w:r>
      <w:r>
        <w:t xml:space="preserve"> </w:t>
      </w:r>
      <w:r>
        <w:rPr>
          <w:iCs/>
          <w:i/>
        </w:rPr>
        <w:t xml:space="preserve">YEAR</w:t>
      </w:r>
      <w:r>
        <w:t xml:space="preserve">.</w:t>
      </w:r>
      <w:r>
        <w:t xml:space="preserve"> </w:t>
      </w:r>
      <w:r>
        <w:t xml:space="preserve">Dominate species within the 35 ha ForestGEO plot are hemlock (</w:t>
      </w:r>
      <w:r>
        <w:rPr>
          <w:iCs/>
          <w:i/>
        </w:rPr>
        <w:t xml:space="preserve">Tsuga spp.</w:t>
      </w:r>
      <w:r>
        <w:t xml:space="preserve">), oak (</w:t>
      </w:r>
      <w:r>
        <w:rPr>
          <w:iCs/>
          <w:i/>
        </w:rPr>
        <w:t xml:space="preserve">Quercus spp.</w:t>
      </w:r>
      <w:r>
        <w:t xml:space="preserve">) and maple (</w:t>
      </w:r>
      <w:r>
        <w:rPr>
          <w:iCs/>
          <w:i/>
        </w:rPr>
        <w:t xml:space="preserve">Acer spp.</w:t>
      </w:r>
      <w:r>
        <w:t xml:space="preserve">).</w:t>
      </w:r>
      <w:r>
        <w:t xml:space="preserve"> </w:t>
      </w:r>
      <w:r>
        <w:t xml:space="preserve">The climate is temperate continental with a mean annual precipitation of 1120 mm and temperatures averaging -12° C in January and 19° C in July (D’Orangeville et al, ).</w:t>
      </w:r>
    </w:p>
    <w:bookmarkEnd w:id="32"/>
    <w:bookmarkStart w:id="38" w:name="Data"/>
    <w:p>
      <w:pPr>
        <w:pStyle w:val="Heading2"/>
      </w:pPr>
      <w:r>
        <w:t xml:space="preserve">Data collection and preparation</w:t>
      </w:r>
    </w:p>
    <w:bookmarkStart w:id="33" w:name="Dendrometer"/>
    <w:p>
      <w:pPr>
        <w:pStyle w:val="Heading3"/>
      </w:pPr>
      <w:r>
        <w:t xml:space="preserve">Dendrometer bands</w:t>
      </w:r>
    </w:p>
    <w:p>
      <w:pPr>
        <w:pStyle w:val="FirstParagraph"/>
      </w:pPr>
      <w:r>
        <w:t xml:space="preserve">Metal dendrometer bands installed on a total of 463 trees within the SCBI and Harvard Forest ForestGEO plots (Extended Data Table 1).</w:t>
      </w:r>
      <w:r>
        <w:t xml:space="preserve"> </w:t>
      </w:r>
      <w:r>
        <w:t xml:space="preserve">Bands were placed on dominant species, including two diffuse- and two ring-porous species at SCBI and eight diffuse- and three ring-porous species at Harvard Forest.</w:t>
      </w:r>
      <w:r>
        <w:t xml:space="preserve"> </w:t>
      </w:r>
      <w:r>
        <w:t xml:space="preserve">Bands were measured with a digital caliper approximately every 1-2 weeks within the growing season from 2011-2020 at SCBI and 1998-2003 at Harvard Forest, respectively.</w:t>
      </w:r>
      <w:r>
        <w:t xml:space="preserve"> </w:t>
      </w:r>
      <w:r>
        <w:t xml:space="preserve">The number of bands measured at each site fluctuated somewhat as trees were added or dropped (e.g., because of tree mortality) from the census.</w:t>
      </w:r>
      <w:r>
        <w:t xml:space="preserve"> </w:t>
      </w:r>
      <w:r>
        <w:t xml:space="preserve">Across years, the number of bands sampled averaged</w:t>
      </w:r>
      <w:r>
        <w:t xml:space="preserve"> </w:t>
      </w:r>
      <w:r>
        <w:rPr>
          <w:iCs/>
          <w:i/>
        </w:rPr>
        <w:t xml:space="preserve">~135</w:t>
      </w:r>
      <w:r>
        <w:t xml:space="preserve"> </w:t>
      </w:r>
      <w:r>
        <w:t xml:space="preserve">(range: 99-145) at SCBI and</w:t>
      </w:r>
      <w:r>
        <w:t xml:space="preserve"> </w:t>
      </w:r>
      <w:r>
        <w:rPr>
          <w:iCs/>
          <w:i/>
        </w:rPr>
        <w:t xml:space="preserve">~717</w:t>
      </w:r>
      <w:r>
        <w:t xml:space="preserve"> </w:t>
      </w:r>
      <w:r>
        <w:t xml:space="preserve">(range:</w:t>
      </w:r>
      <w:r>
        <w:t xml:space="preserve"> </w:t>
      </w:r>
      <w:r>
        <w:rPr>
          <w:iCs/>
          <w:i/>
        </w:rPr>
        <w:t xml:space="preserve">700-755</w:t>
      </w:r>
      <w:r>
        <w:t xml:space="preserve">) at Harvard Forest.</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4/14, which was adjusted when early leaf-out of understory shrubs and herbs was observed, with the earliest start date being March 30, 2020. Measurements were continued through to fall leaf senescence, with the median end date being 10/17 and the latest end date was November 26, 2012.</w:t>
      </w:r>
      <w:r>
        <w:t xml:space="preserve"> </w:t>
      </w:r>
      <w:r>
        <w:t xml:space="preserve">Timing of measurements at Harvard Forest was similar, with the median start date of 4/23 and median end date of 10/30. 1998 was an anomalous year where initial measurements were taken on 1/5, but not taken again until 4/15. The latest end date was November 11, 2002.</w:t>
      </w:r>
    </w:p>
    <w:p>
      <w:pPr>
        <w:pStyle w:val="BodyText"/>
      </w:pPr>
      <w:r>
        <w:t xml:space="preserve">The dendrometer band data were manually cleaned by visual inspection before analysis.</w:t>
      </w:r>
      <w:r>
        <w:t xml:space="preserve"> </w:t>
      </w:r>
      <w:r>
        <w:t xml:space="preserve">We screened for three classes of mistakes.</w:t>
      </w:r>
      <w:r>
        <w:t xml:space="preserve"> </w:t>
      </w:r>
      <w:r>
        <w:t xml:space="preserve">First, when a weekly measurement was drastically different from previous week and following weeks, this was assumed to be a measurement error and the record was removed.</w:t>
      </w:r>
      <w:r>
        <w:t xml:space="preserve"> </w:t>
      </w:r>
      <w:r>
        <w:t xml:space="preserve">Second, when measurements remained essentially unchanged for several readings, followed by a sudden jump followed by normal growth pattern, this was assumed to be a case where the band was stuck and then released. In these cases, the full annual record for the tree was removed.</w:t>
      </w:r>
      <w:r>
        <w:t xml:space="preserve"> </w:t>
      </w:r>
      <w:r>
        <w:t xml:space="preserve">Third, there were cases where data were clearly wrong but with unknown causes. In cases where several measurements were an issue, they were simply removed. If there were no clear solutions to</w:t>
      </w:r>
      <w:r>
        <w:t xml:space="preserve"> </w:t>
      </w:r>
      <w:r>
        <w:t xml:space="preserve">‘</w:t>
      </w:r>
      <w:r>
        <w:t xml:space="preserve">fix</w:t>
      </w:r>
      <w:r>
        <w:t xml:space="preserve">’</w:t>
      </w:r>
      <w:r>
        <w:t xml:space="preserve"> </w:t>
      </w:r>
      <w:r>
        <w:t xml:space="preserve">the data, the entire year was removed from the analysis.</w:t>
      </w:r>
    </w:p>
    <w:p>
      <w:pPr>
        <w:pStyle w:val="BodyText"/>
      </w:pPr>
      <w:r>
        <w:t xml:space="preserve">We fit the model of</w:t>
      </w:r>
      <w:r>
        <w:rPr>
          <w:vertAlign w:val="superscript"/>
        </w:rPr>
        <w:t xml:space="preserve">25</w:t>
      </w:r>
      <w:r>
        <w:t xml:space="preserve"> </w:t>
      </w:r>
      <w:r>
        <w:t xml:space="preserve">to define phenological dates and growth rates (Fig. 1).</w:t>
      </w:r>
      <w:r>
        <w:t xml:space="preserve"> </w:t>
      </w:r>
      <w:r>
        <w:t xml:space="preserve">This five-parameter logistic model was fitted to dendrometer band data from each tree-year in R:</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w:t>
      </w:r>
      <w:r>
        <w:t xml:space="preserve"> </w:t>
      </w:r>
      <m:oMath>
        <m:r>
          <m:t>D</m:t>
        </m:r>
        <m:r>
          <m:t>B</m:t>
        </m:r>
        <m:r>
          <m:t>H</m:t>
        </m:r>
      </m:oMath>
      <w:r>
        <w:t xml:space="preserve"> </w:t>
      </w:r>
      <w:r>
        <w:t xml:space="preserve">at the beginning and end of the year, respectively.</w:t>
      </w:r>
      <w:r>
        <w:t xml:space="preserve"> </w:t>
      </w:r>
      <m:oMath>
        <m:r>
          <m:t>D</m:t>
        </m:r>
        <m:r>
          <m:t>O</m:t>
        </m:r>
        <m:r>
          <m:t>Y</m:t>
        </m:r>
      </m:oMath>
      <w:r>
        <w:t xml:space="preserve"> </w:t>
      </w:r>
      <w:r>
        <w:t xml:space="preserve">are the modeled days of year (</w:t>
      </w:r>
      <w:r>
        <w:rPr>
          <w:iCs/>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Cs/>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Cs/>
          <w:i/>
        </w:rPr>
        <w:t xml:space="preserve">We note that the DOY on which maximum growth occurs,</w:t>
      </w:r>
      <w:r>
        <w:rPr>
          <w:iCs/>
          <w:i/>
        </w:rPr>
        <w:t xml:space="preserve"> </w:t>
      </w:r>
      <m:oMath>
        <m:r>
          <m:t>D</m:t>
        </m:r>
        <m:r>
          <m:t>O</m:t>
        </m:r>
        <m:sSub>
          <m:e>
            <m:r>
              <m:t>Y</m:t>
            </m:r>
          </m:e>
          <m:sub>
            <m:sSub>
              <m:e>
                <m:r>
                  <m:t>g</m:t>
                </m:r>
              </m:e>
              <m:sub>
                <m:r>
                  <m:t>m</m:t>
                </m:r>
                <m:r>
                  <m:t>a</m:t>
                </m:r>
                <m:r>
                  <m:t>x</m:t>
                </m:r>
              </m:sub>
            </m:sSub>
          </m:sub>
        </m:sSub>
      </m:oMath>
      <w:r>
        <w:rPr>
          <w:iCs/>
          <w:i/>
        </w:rPr>
        <w:t xml:space="preserve"> </w:t>
      </w:r>
      <w:r>
        <w:rPr>
          <w:iCs/>
          <w:i/>
        </w:rPr>
        <w:t xml:space="preserve">(Fig. 1) occurs on</w:t>
      </w:r>
      <w:r>
        <w:rPr>
          <w:iCs/>
          <w:i/>
        </w:rPr>
        <w:t xml:space="preserve"> </w:t>
      </w:r>
      <m:oMath>
        <m:r>
          <m:t>D</m:t>
        </m:r>
        <m:r>
          <m:t>O</m:t>
        </m:r>
        <m:sSub>
          <m:e>
            <m:r>
              <m:t>Y</m:t>
            </m:r>
          </m:e>
          <m:sub>
            <m:r>
              <m:t>i</m:t>
            </m:r>
            <m:r>
              <m:t>p</m:t>
            </m:r>
          </m:sub>
        </m:sSub>
      </m:oMath>
      <w:r>
        <w:rPr>
          <w:iCs/>
          <w:i/>
        </w:rPr>
        <w:t xml:space="preserve"> </w:t>
      </w:r>
      <w:r>
        <w:rPr>
          <w:iCs/>
          <w:i/>
        </w:rPr>
        <w:t xml:space="preserve">only when</w:t>
      </w:r>
      <w:r>
        <w:rPr>
          <w:iCs/>
          <w:i/>
        </w:rPr>
        <w:t xml:space="preserve"> </w:t>
      </w:r>
      <m:oMath>
        <m:r>
          <m:t>θ</m:t>
        </m:r>
        <m:r>
          <m:rPr>
            <m:sty m:val="p"/>
          </m:rPr>
          <m:t>=</m:t>
        </m:r>
        <m:r>
          <m:t>1</m:t>
        </m:r>
      </m:oMath>
      <w:r>
        <w:rPr>
          <w:iCs/>
          <w:i/>
        </w:rPr>
        <w:t xml:space="preserve">.</w:t>
      </w:r>
      <w:r>
        <w:t xml:space="preserve"> </w:t>
      </w:r>
      <w:r>
        <w:t xml:space="preserve">Using the optimized parameters for each tree-year, we then modeled</w:t>
      </w:r>
      <w:r>
        <w:t xml:space="preserve"> </w:t>
      </w:r>
      <m:oMath>
        <m:r>
          <m:t>D</m:t>
        </m:r>
        <m:r>
          <m:t>B</m:t>
        </m:r>
        <m:r>
          <m:t>H</m:t>
        </m:r>
      </m:oMath>
      <w:r>
        <w:t xml:space="preserve"> </w:t>
      </w:r>
      <w:r>
        <w:t xml:space="preserve">throughout the year and extracted the intra-annual growth variables of interest (Fig. 1).</w:t>
      </w:r>
    </w:p>
    <w:p>
      <w:pPr>
        <w:pStyle w:val="BodyText"/>
      </w:pPr>
      <w:r>
        <w:t xml:space="preserve">After fitting the</w:t>
      </w:r>
      <w:r>
        <w:rPr>
          <w:vertAlign w:val="superscript"/>
        </w:rPr>
        <w:t xml:space="preserve">25</w:t>
      </w:r>
      <w:r>
        <w:t xml:space="preserve"> </w:t>
      </w:r>
      <w:r>
        <w:t xml:space="preserve">model, we used a script to remove poorly fit models.</w:t>
      </w:r>
      <w:r>
        <w:t xml:space="preserve"> </w:t>
      </w:r>
      <w:r>
        <w:t xml:space="preserve">Models were judged to be poorly fit if certain modeled growth characteristics fell outside of the acceptable range we determined.</w:t>
      </w:r>
      <w:r>
        <w:t xml:space="preserve"> </w:t>
      </w:r>
      <w:r>
        <w:t xml:space="preserve">Modeled fits for tree-years were removed under five conditions:</w:t>
      </w:r>
      <w:r>
        <w:t xml:space="preserve"> </w:t>
      </w:r>
      <w:r>
        <w:t xml:space="preserve">(1) single day growth rates were higher than 2 standard deviations away from the mean for each wood-type (SCBI = 2, HF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62, HF = 106);</w:t>
      </w:r>
      <w:r>
        <w:t xml:space="preserve"> </w:t>
      </w:r>
      <w:r>
        <w:t xml:space="preserve">(3) tree-years with small or negligible total growth (</w:t>
      </w:r>
      <m:oMath>
        <m:r>
          <m:t>Δ</m:t>
        </m:r>
        <m:r>
          <m:t>D</m:t>
        </m:r>
        <m:r>
          <m:t>B</m:t>
        </m:r>
        <m:r>
          <m:t>H</m:t>
        </m:r>
      </m:oMath>
      <w:r>
        <w:t xml:space="preserve"> </w:t>
      </w:r>
      <w:r>
        <w:t xml:space="preserve">&lt; 0.02 mm; SCBI = 0, HF = 66);</w:t>
      </w:r>
      <w:r>
        <w:t xml:space="preserve"> </w:t>
      </w:r>
      <w:r>
        <w:t xml:space="preserve">(4) model fit predicted total yearly growth to take longer than 365 days, indicating poor model fit (SCBI = 181, HF = 199);</w:t>
      </w:r>
      <w:r>
        <w:t xml:space="preserve"> </w:t>
      </w:r>
      <w:r>
        <w:t xml:space="preserve">and (5) models with unexplained sharp spikes in growth rate (SCBI = 0, HF = 3).</w:t>
      </w:r>
      <w:r>
        <w:t xml:space="preserve"> </w:t>
      </w:r>
      <w:r>
        <w:t xml:space="preserve">At Harvard Forest the tag years removed through this method was proportional to the original sample size, indicating that no species or size class was disproportionately removed compared to others</w:t>
      </w:r>
      <w:r>
        <w:t xml:space="preserve"> </w:t>
      </w:r>
      <w:r>
        <w:rPr>
          <w:iCs/>
          <w:i/>
        </w:rPr>
        <w:t xml:space="preserve">(SI figure? data_cleaning_figure_hf in manuscript folder)</w:t>
      </w:r>
      <w:r>
        <w:t xml:space="preserve">.</w:t>
      </w:r>
      <w:r>
        <w:t xml:space="preserve"> </w:t>
      </w:r>
      <w:r>
        <w:t xml:space="preserve">At SCBI a higher proportion of RP trees were removed–the majority in step 4</w:t>
      </w:r>
      <w:r>
        <w:t xml:space="preserve"> </w:t>
      </w:r>
      <w:r>
        <w:rPr>
          <w:iCs/>
          <w:i/>
        </w:rPr>
        <w:t xml:space="preserve">(data_cleaning_figure_scbi)</w:t>
      </w:r>
      <w:r>
        <w:t xml:space="preserve">.</w:t>
      </w:r>
    </w:p>
    <w:bookmarkEnd w:id="33"/>
    <w:bookmarkStart w:id="34" w:name="Tree"/>
    <w:p>
      <w:pPr>
        <w:pStyle w:val="Heading3"/>
      </w:pPr>
      <w:r>
        <w:t xml:space="preserve">Tree rings</w:t>
      </w:r>
    </w:p>
    <w:p>
      <w:pPr>
        <w:pStyle w:val="FirstParagraph"/>
      </w:pPr>
      <w:r>
        <w:t xml:space="preserve">Dominant tree species were cored at both sites following sampling designs that covered a broad range of</w:t>
      </w:r>
      <w:r>
        <w:t xml:space="preserve"> </w:t>
      </w:r>
      <m:oMath>
        <m:r>
          <m:t>D</m:t>
        </m:r>
        <m:r>
          <m:t>B</m:t>
        </m:r>
        <m:r>
          <m:t>H</m:t>
        </m:r>
      </m:oMath>
      <w:r>
        <w:t xml:space="preserve">.</w:t>
      </w:r>
      <w:r>
        <w:t xml:space="preserve"> </w:t>
      </w:r>
      <w:r>
        <w:t xml:space="preserve">We analyzed records for the dominant ring- and diffuse- porous species at each site (Extended Data Table 1), excluding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(L.) Carrière at Harvard Forest)</w:t>
      </w:r>
      <w:r>
        <w:t xml:space="preserve"> </w:t>
      </w:r>
      <w:r>
        <w:t xml:space="preserve">At SCBI, cores were collected as described in.</w:t>
      </w:r>
      <w:r>
        <w:rPr>
          <w:vertAlign w:val="superscript"/>
        </w:rPr>
        <w:t xml:space="preserve">24</w:t>
      </w:r>
      <w:r>
        <w:t xml:space="preserve"> </w:t>
      </w:r>
      <w:r>
        <w:t xml:space="preserve">Briefly, cores were taken from living or recently dead trees</w:t>
      </w:r>
      <w:r>
        <w:t xml:space="preserve"> </w:t>
      </w:r>
      <m:oMath>
        <m:r>
          <m:rPr>
            <m:sty m:val="p"/>
          </m:rPr>
          <m:t>≥</m:t>
        </m:r>
      </m:oMath>
      <w:r>
        <w:t xml:space="preserve"> </w:t>
      </w:r>
      <w:r>
        <w:t xml:space="preserve">10 cm</w:t>
      </w:r>
      <w:r>
        <w:t xml:space="preserve"> </w:t>
      </w:r>
      <m:oMath>
        <m:r>
          <m:t>D</m:t>
        </m:r>
        <m:r>
          <m:t>B</m:t>
        </m:r>
        <m:r>
          <m:t>H</m:t>
        </m:r>
      </m:oMath>
      <w:r>
        <w:t xml:space="preserve">, including a randomly sampled subset of all dominant species within the ForestGEO plot [live trees in 2010-2011;]</w:t>
      </w:r>
      <w:r>
        <w:rPr>
          <w:vertAlign w:val="superscript"/>
        </w:rPr>
        <w:t xml:space="preserve">30</w:t>
      </w:r>
      <w:r>
        <w:t xml:space="preserve"> and trees found newly dead in annual tree mortality in 2016 and 2017.</w:t>
      </w:r>
      <w:r>
        <w:rPr>
          <w:vertAlign w:val="superscript"/>
        </w:rPr>
        <w:t xml:space="preserve">24</w:t>
      </w:r>
      <w:r>
        <w:t xml:space="preserve"> </w:t>
      </w:r>
      <w:r>
        <w:t xml:space="preserve">At Harvard Forest, …(</w:t>
      </w:r>
      <w:r>
        <w:rPr>
          <w:iCs/>
          <w:i/>
        </w:rPr>
        <w:t xml:space="preserve">Neil can write this easily, or KAT probably has the info</w:t>
      </w:r>
      <w:r>
        <w:t xml:space="preserve">)</w:t>
      </w:r>
      <w:r>
        <w:t xml:space="preserve"> </w:t>
      </w:r>
      <w:r>
        <w:t xml:space="preserve">In total, we analyzed 926 cores from eleven species at SCBI and three species at Harvard Forest (Extended Data Table 1).</w:t>
      </w:r>
    </w:p>
    <w:p>
      <w:pPr>
        <w:pStyle w:val="BodyText"/>
      </w:pPr>
      <w:r>
        <w:t xml:space="preserve">The tree-ring records from our focal sites were complemented with a much larger collection spanning</w:t>
      </w:r>
      <w:r>
        <w:t xml:space="preserve"> </w:t>
      </w:r>
      <w:r>
        <w:rPr>
          <w:bCs/>
          <w:b/>
        </w:rPr>
        <w:t xml:space="preserve">#</w:t>
      </w:r>
      <w:r>
        <w:t xml:space="preserve"> </w:t>
      </w:r>
      <w:r>
        <w:t xml:space="preserve">deciduous and mixed forest sites in Eastern North America.</w:t>
      </w:r>
      <w:r>
        <w:t xml:space="preserve"> </w:t>
      </w:r>
      <w:r>
        <w:t xml:space="preserve">Again, species were limited to broadleaf deciduous species with clearly defined xylem porosity (i.e., excluding semi-ring porous).</w:t>
      </w:r>
    </w:p>
    <w:p>
      <w:pPr>
        <w:pStyle w:val="BodyText"/>
      </w:pPr>
      <w:r>
        <w:t xml:space="preserve">All cores were mounted, sanded, cross-dated, and measured using standard methodology.</w:t>
      </w:r>
      <w:r>
        <w:t xml:space="preserve"> </w:t>
      </w: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31,32</w:t>
      </w:r>
      <w:r>
        <w:t xml:space="preserve"> </w:t>
      </w:r>
      <w:r>
        <w:rPr>
          <w:iCs/>
          <w:i/>
        </w:rPr>
        <w:t xml:space="preserve">The following italic text is self-plagarized from Helcoski and needs to be reworded:)</w:t>
      </w:r>
      <w:r>
        <w:t xml:space="preserve"> </w:t>
      </w:r>
      <w:r>
        <w:rPr>
          <w:iCs/>
          <w:i/>
        </w:rPr>
        <w:t xml:space="preserve">The influence of outliers in all series was reduced using the adaptive power transformation, which also stabilises the variance over time.</w:t>
      </w:r>
      <w:r>
        <w:rPr>
          <w:vertAlign w:val="superscript"/>
          <w:iCs/>
          <w:i/>
        </w:rPr>
        <w:t xml:space="preserve">33</w:t>
      </w:r>
      <w:r>
        <w:rPr>
          <w:iCs/>
          <w:i/>
        </w:rPr>
        <w:t xml:space="preserve"> Next, each series was stabilised using either the average correlation between raw ring-width series (rbar) method or a 1/3rds spline method to adjust changes in variance as series replication decreased towards the earlier portion of each chronology.</w:t>
      </w:r>
      <w:r>
        <w:rPr>
          <w:vertAlign w:val="superscript"/>
          <w:iCs/>
          <w:i/>
        </w:rPr>
        <w:t xml:space="preserve">34</w:t>
      </w:r>
      <w:r>
        <w:rPr>
          <w:iCs/>
          <w:i/>
        </w:rPr>
        <w:t xml:space="preserve"> The 1/3rds spline method was chosen when replication in the inner portion of each chronology (c. the inner 30–50 yr of each record depending on full chronology length) dropped below three trees. Once that step was complete, a robust biweight mean chronology for each species was calculated from the ring-width indices.</w:t>
      </w:r>
      <w:r>
        <w:rPr>
          <w:vertAlign w:val="superscript"/>
          <w:iCs/>
          <w:i/>
        </w:rPr>
        <w:t xml:space="preserve">31</w:t>
      </w:r>
      <w:r>
        <w:rPr>
          <w:iCs/>
          <w:i/>
        </w:rPr>
        <w:t xml:space="preserve"> We chose to use residual chronologies because the autoregressive standardisation process in creating them removes much of the tree-level autocorrelation in growth and these chronologies would most likely contain the most conservative information on drivers of interannual growth.</w:t>
      </w:r>
      <w:r>
        <w:rPr>
          <w:vertAlign w:val="superscript"/>
          <w:iCs/>
          <w:i/>
        </w:rPr>
        <w:t xml:space="preserve">31</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bookmarkEnd w:id="34"/>
    <w:bookmarkStart w:id="37" w:name="Climate"/>
    <w:p>
      <w:pPr>
        <w:pStyle w:val="Heading3"/>
      </w:pPr>
      <w:r>
        <w:t xml:space="preserve">Climate</w:t>
      </w:r>
    </w:p>
    <w:p>
      <w:pPr>
        <w:pStyle w:val="FirstParagraph"/>
      </w:pPr>
      <w:r>
        <w:t xml:space="preserve">For the dendrometer band analysis, we used climate data from local weather stations.</w:t>
      </w:r>
      <w:r>
        <w:t xml:space="preserve"> </w:t>
      </w:r>
      <w:r>
        <w:t xml:space="preserve">Daily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for SCBI were obtained from a meteorological tower adjacent to the SCBI ForestGEO plot, via the ForestGEO Climate Data Portal v1.0 [</w:t>
      </w:r>
      <w:hyperlink r:id="rId35">
        <w:r>
          <w:rPr>
            <w:rStyle w:val="Hyperlink"/>
          </w:rPr>
          <w:t xml:space="preserve">https://forestgeo.github.io/Climate/</w:t>
        </w:r>
      </w:hyperlink>
      <w:r>
        <w:t xml:space="preserve">;].</w:t>
      </w:r>
      <w:r>
        <w:rPr>
          <w:vertAlign w:val="superscript"/>
        </w:rPr>
        <w:t xml:space="preserve">35</w:t>
      </w:r>
      <w:r>
        <w:t xml:space="preserve"> </w:t>
      </w:r>
      <w:r>
        <w:t xml:space="preserve">Daily temperature records for Harvard Forest were obtained from the Harvard Forest weather station (Boose &amp; Gould, 2004; Boose, 2018).</w:t>
      </w:r>
      <w:r>
        <w:t xml:space="preserve"> </w:t>
      </w:r>
      <w:r>
        <w:t xml:space="preserve">The R package climpact () was used to plot temperatures for visual inspection.</w:t>
      </w:r>
      <w:r>
        <w:t xml:space="preserve"> </w:t>
      </w:r>
      <w:r>
        <w:t xml:space="preserve">Climpact also identifies readings that were greater than 3 standard deviations away from yearly means. These points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36">
        <w:r>
          <w:rPr>
            <w:rStyle w:val="Hyperlink"/>
          </w:rPr>
          <w:t xml:space="preserve">https://www.ncdc.noaa.gov/cdo-web/datasets/GHCND/stations/GHCND:USC00443229/detail</w:t>
        </w:r>
      </w:hyperlink>
      <w:r>
        <w:t xml:space="preserve">).</w:t>
      </w:r>
      <w:r>
        <w:t xml:space="preserve"> </w:t>
      </w:r>
      <w:r>
        <w:t xml:space="preserve">(</w:t>
      </w:r>
      <w:r>
        <w:rPr>
          <w:iCs/>
          <w:i/>
        </w:rPr>
        <w:t xml:space="preserve">how were gaps filled for Harvard? Or was the record good?</w:t>
      </w:r>
      <w:r>
        <w:t xml:space="preserve">)</w:t>
      </w:r>
    </w:p>
    <w:p>
      <w:pPr>
        <w:pStyle w:val="BodyText"/>
      </w:pPr>
      <w:r>
        <w:t xml:space="preserve">For the tree-ring analysis,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36</w:t>
      </w:r>
      <w:r>
        <w:t xml:space="preserve"> again via the ForestGEO Climate Data Portal v1.0.</w:t>
      </w:r>
      <w:r>
        <w:rPr>
          <w:vertAlign w:val="superscript"/>
        </w:rPr>
        <w:t xml:space="preserve">35</w:t>
      </w:r>
    </w:p>
    <w:bookmarkEnd w:id="37"/>
    <w:bookmarkEnd w:id="38"/>
    <w:bookmarkStart w:id="39" w:name="Determining"/>
    <w:p>
      <w:pPr>
        <w:pStyle w:val="Heading2"/>
      </w:pPr>
      <w:r>
        <w:t xml:space="preserve">Determining critical temperature windows</w:t>
      </w:r>
    </w:p>
    <w:p>
      <w:pPr>
        <w:pStyle w:val="FirstParagraph"/>
      </w:pPr>
      <w:r>
        <w:t xml:space="preserve">The period where the phenology milestone(s) were most affected by changes in early spring temperature was determined using the R package</w:t>
      </w:r>
      <w:r>
        <w:t xml:space="preserve"> </w:t>
      </w:r>
      <w:r>
        <w:rPr>
          <w:iCs/>
          <w:i/>
        </w:rPr>
        <w:t xml:space="preserve">climwin</w:t>
      </w:r>
      <w:r>
        <w:t xml:space="preserve">.</w:t>
      </w:r>
      <w:r>
        <w:rPr>
          <w:vertAlign w:val="superscript"/>
        </w:rPr>
        <w:t xml:space="preserve">37</w:t>
      </w:r>
      <w:r>
        <w:t xml:space="preserve"> </w:t>
      </w:r>
      <w:r>
        <w:t xml:space="preserve">This package tests the correlation between one or more climate variables and a biological variable over all consecutive time windows within a specified time-frame, reporting correlation and $Delta AIC$ 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and site (Extended Data Table 2).</w:t>
      </w:r>
      <w:r>
        <w:t xml:space="preserve"> </w:t>
      </w:r>
      <w:r>
        <w:rPr>
          <w:iCs/>
          <w:i/>
        </w:rPr>
        <w:t xml:space="preserve">The critical time window is determined based on the subset of models that fall within the 95% confidence set.</w:t>
      </w:r>
      <w:r>
        <w:t xml:space="preserve"> </w:t>
      </w:r>
      <w:r>
        <w:t xml:space="preserve">Here, we focused on defining critical temperature windows for</w:t>
      </w:r>
      <w:r>
        <w:t xml:space="preserve"> </w:t>
      </w:r>
      <m:oMath>
        <m:r>
          <m:t>D</m:t>
        </m:r>
        <m:r>
          <m:t>O</m:t>
        </m:r>
        <m:sSub>
          <m:e>
            <m:r>
              <m:t>Y</m:t>
            </m:r>
          </m:e>
          <m:sub>
            <m:r>
              <m:t>25</m:t>
            </m:r>
          </m:sub>
        </m:sSub>
      </m:oMath>
      <w:r>
        <w:t xml:space="preserve">, as opposed to other growth phenology parameters (Figure 1), because we were interested in the influence of temperature on the initiation of woody growth.</w:t>
      </w:r>
      <w:r>
        <w:t xml:space="preserve"> </w:t>
      </w:r>
      <w:r>
        <w:t xml:space="preserve">We note that other growth parameters would be controlled by different critical temperature windows; for example, at SCBI</w:t>
      </w:r>
      <w:r>
        <w:t xml:space="preserve"> </w:t>
      </w:r>
      <m:oMath>
        <m:r>
          <m:t>Δ</m:t>
        </m:r>
        <m:r>
          <m:t>D</m:t>
        </m:r>
        <m:r>
          <m:t>B</m:t>
        </m:r>
        <m:r>
          <m:t>H</m:t>
        </m:r>
      </m:oMath>
      <w:r>
        <w:t xml:space="preserve"> </w:t>
      </w:r>
      <w:r>
        <w:t xml:space="preserve">responds most strongly to May-July climate.</w:t>
      </w:r>
      <w:r>
        <w:rPr>
          <w:vertAlign w:val="superscript"/>
        </w:rPr>
        <w:t xml:space="preserve">24</w:t>
      </w:r>
      <w:r>
        <w:t xml:space="preserve"> Determining the climate variables that most strongly control all parameters is beyond the scope of this analysis.</w:t>
      </w:r>
    </w:p>
    <w:bookmarkEnd w:id="39"/>
    <w:bookmarkStart w:id="40" w:name="Hypothesis"/>
    <w:p>
      <w:pPr>
        <w:pStyle w:val="Heading2"/>
      </w:pPr>
      <w:r>
        <w:t xml:space="preserve">Hypothesis testing</w:t>
      </w:r>
    </w:p>
    <w:p>
      <w:pPr>
        <w:pStyle w:val="FirstParagraph"/>
      </w:pPr>
      <w:r>
        <w:t xml:space="preserve">(</w:t>
      </w:r>
      <w:r>
        <w:rPr>
          <w:iCs/>
          <w:i/>
        </w:rPr>
        <w:t xml:space="preserve">This section needs more detail.</w:t>
      </w:r>
      <w:r>
        <w:t xml:space="preserve">)</w:t>
      </w:r>
    </w:p>
    <w:p>
      <w:pPr>
        <w:pStyle w:val="BodyText"/>
      </w:pPr>
      <w:r>
        <w:t xml:space="preserve">Correlation between these variables and spring temperatures were assessed using a linear mixed model in a hierarchical Bayesian framework.</w:t>
      </w:r>
    </w:p>
    <w:p>
      <w:pPr>
        <w:pStyle w:val="BodyText"/>
      </w:pPr>
      <w:r>
        <w:t xml:space="preserve">Mixed effects models were used to test the response of growth phenology variables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sub>
            </m:sSub>
            <m:r>
              <m:t>a</m:t>
            </m:r>
            <m:r>
              <m:t>x</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to fixed effects of xylem porosity and mean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during the critical temperature window selected by</w:t>
      </w:r>
      <w:r>
        <w:t xml:space="preserve"> </w:t>
      </w:r>
      <w:r>
        <w:rPr>
          <w:iCs/>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38</w:t>
      </w:r>
    </w:p>
    <w:p>
      <w:pPr>
        <w:pStyle w:val="BodyText"/>
      </w:pP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bCs/>
          <w:b/>
          <w:vertAlign w:val="superscript"/>
        </w:rPr>
        <w:t xml:space="preserve">rstanarm_2020?</w:t>
      </w:r>
      <w:r>
        <w:t xml:space="preserve"> In all cases unless otherwise specified, all prior distributions are set to be the weakly informative defaults.</w:t>
      </w:r>
      <w:r>
        <w:t xml:space="preserve"> </w:t>
      </w:r>
    </w:p>
    <w:bookmarkEnd w:id="40"/>
    <w:bookmarkEnd w:id="41"/>
    <w:bookmarkStart w:id="42" w:name="Acknowledgements"/>
    <w:p>
      <w:pPr>
        <w:pStyle w:val="Heading1"/>
      </w:pPr>
      <w:r>
        <w:t xml:space="preserve">Acknowledgements</w:t>
      </w:r>
    </w:p>
    <w:p>
      <w:pPr>
        <w:pStyle w:val="FirstParagraph"/>
      </w:pPr>
      <w:r>
        <w:t xml:space="preserve">people: (everyone who helped collect data– see list on GitHub), Jess Shue (data)</w:t>
      </w:r>
      <w:r>
        <w:t xml:space="preserve"> </w:t>
      </w:r>
      <w:r>
        <w:t xml:space="preserve">Funding: ForestGEO</w:t>
      </w:r>
    </w:p>
    <w:bookmarkEnd w:id="42"/>
    <w:bookmarkStart w:id="43" w:name="Author"/>
    <w:p>
      <w:pPr>
        <w:pStyle w:val="Heading1"/>
      </w:pPr>
      <w:r>
        <w:t xml:space="preserve">Author Contributions</w:t>
      </w:r>
    </w:p>
    <w:bookmarkEnd w:id="43"/>
    <w:bookmarkStart w:id="44"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4"/>
    <w:bookmarkStart w:id="88" w:name="References"/>
    <w:p>
      <w:pPr>
        <w:pStyle w:val="Heading1"/>
      </w:pPr>
      <w:r>
        <w:t xml:space="preserve">References</w:t>
      </w:r>
    </w:p>
    <w:bookmarkStart w:id="87" w:name="refs"/>
    <w:bookmarkStart w:id="45"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5"/>
    <w:bookmarkStart w:id="46" w:name="ref-churkina_spatial_2005"/>
    <w:p>
      <w:pPr>
        <w:pStyle w:val="Bibliography"/>
      </w:pPr>
      <w:r>
        <w:t xml:space="preserve">2.</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46"/>
    <w:bookmarkStart w:id="47" w:name="ref-keenan_net_2014"/>
    <w:p>
      <w:pPr>
        <w:pStyle w:val="Bibliography"/>
      </w:pPr>
      <w:r>
        <w:t xml:space="preserve">3.</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7"/>
    <w:bookmarkStart w:id="48" w:name="ref-zhou_explaining_2016"/>
    <w:p>
      <w:pPr>
        <w:pStyle w:val="Bibliography"/>
      </w:pPr>
      <w:r>
        <w:t xml:space="preserve">4.</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48"/>
    <w:bookmarkStart w:id="49" w:name="ref-menzel_growing_1999"/>
    <w:p>
      <w:pPr>
        <w:pStyle w:val="Bibliography"/>
      </w:pPr>
      <w:r>
        <w:t xml:space="preserve">5.</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49"/>
    <w:bookmarkStart w:id="50" w:name="ref-menzel_european_2006"/>
    <w:p>
      <w:pPr>
        <w:pStyle w:val="Bibliography"/>
      </w:pPr>
      <w:r>
        <w:t xml:space="preserve">6.</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0"/>
    <w:bookmarkStart w:id="51" w:name="ref-ibanez_forecasting_2010"/>
    <w:p>
      <w:pPr>
        <w:pStyle w:val="Bibliography"/>
      </w:pPr>
      <w:r>
        <w:t xml:space="preserve">7.</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1"/>
    <w:bookmarkStart w:id="52" w:name="ref-keeling_increased_1996"/>
    <w:p>
      <w:pPr>
        <w:pStyle w:val="Bibliography"/>
      </w:pPr>
      <w:r>
        <w:t xml:space="preserve">8.</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2"/>
    <w:bookmarkStart w:id="53" w:name="ref-dragoni_evidence_2011"/>
    <w:p>
      <w:pPr>
        <w:pStyle w:val="Bibliography"/>
      </w:pPr>
      <w:r>
        <w:t xml:space="preserve">9.</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3"/>
    <w:bookmarkStart w:id="54" w:name="ref-crabbe_extreme_2016"/>
    <w:p>
      <w:pPr>
        <w:pStyle w:val="Bibliography"/>
      </w:pPr>
      <w:r>
        <w:t xml:space="preserve">10.</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4"/>
    <w:bookmarkStart w:id="56" w:name="ref-anderson-teixeira_carbon_2021"/>
    <w:p>
      <w:pPr>
        <w:pStyle w:val="Bibliography"/>
      </w:pPr>
      <w:r>
        <w:t xml:space="preserve">11.</w:t>
      </w:r>
      <w:r>
        <w:t xml:space="preserve"> </w:t>
      </w:r>
      <w:r>
        <w:t xml:space="preserve">	</w:t>
      </w:r>
      <w:r>
        <w:t xml:space="preserve">Anderson-Teixeira, K. J.</w:t>
      </w:r>
      <w:r>
        <w:t xml:space="preserve"> </w:t>
      </w:r>
      <w:r>
        <w:rPr>
          <w:iCs/>
          <w:i/>
        </w:rPr>
        <w:t xml:space="preserve">et al.</w:t>
      </w:r>
      <w:r>
        <w:t xml:space="preserve"> Carbon cycling in mature and regrowth forests globally.</w:t>
      </w:r>
      <w:r>
        <w:t xml:space="preserve"> </w:t>
      </w:r>
      <w:r>
        <w:rPr>
          <w:iCs/>
          <w:i/>
        </w:rPr>
        <w:t xml:space="preserve">Environmental Research Letters</w:t>
      </w:r>
      <w:r>
        <w:t xml:space="preserve"> </w:t>
      </w:r>
      <w:r>
        <w:t xml:space="preserve">(2021) doi:</w:t>
      </w:r>
      <w:hyperlink r:id="rId55">
        <w:r>
          <w:rPr>
            <w:rStyle w:val="Hyperlink"/>
          </w:rPr>
          <w:t xml:space="preserve">10.1088/1748-9326/abed01</w:t>
        </w:r>
      </w:hyperlink>
      <w:r>
        <w:t xml:space="preserve">.</w:t>
      </w:r>
    </w:p>
    <w:bookmarkEnd w:id="56"/>
    <w:bookmarkStart w:id="57" w:name="ref-xue_global_2017"/>
    <w:p>
      <w:pPr>
        <w:pStyle w:val="Bibliography"/>
      </w:pPr>
      <w:r>
        <w:t xml:space="preserve">12.</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57"/>
    <w:bookmarkStart w:id="58" w:name="ref-russell_residence_2014"/>
    <w:p>
      <w:pPr>
        <w:pStyle w:val="Bibliography"/>
      </w:pPr>
      <w:r>
        <w:t xml:space="preserve">13.</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58"/>
    <w:bookmarkStart w:id="59" w:name="ref-profft_forest_2009"/>
    <w:p>
      <w:pPr>
        <w:pStyle w:val="Bibliography"/>
      </w:pPr>
      <w:r>
        <w:t xml:space="preserve">14.</w:t>
      </w:r>
      <w:r>
        <w:t xml:space="preserve"> </w:t>
      </w:r>
      <w:r>
        <w:t xml:space="preserve">	</w:t>
      </w:r>
      <w:r>
        <w:t xml:space="preserve">Profft, I., Mund, M., Weber, G.-E., Weller, E. &amp; Schulze, E.-D. Forest management and carbon sequestration in wood products.</w:t>
      </w:r>
      <w:r>
        <w:t xml:space="preserve"> </w:t>
      </w:r>
      <w:r>
        <w:rPr>
          <w:iCs/>
          <w:i/>
        </w:rPr>
        <w:t xml:space="preserve">European Journal of Forest Research</w:t>
      </w:r>
      <w:r>
        <w:t xml:space="preserve"> </w:t>
      </w:r>
      <w:r>
        <w:rPr>
          <w:bCs/>
          <w:b/>
        </w:rPr>
        <w:t xml:space="preserve">128</w:t>
      </w:r>
      <w:r>
        <w:t xml:space="preserve">, 399–413 (2009).</w:t>
      </w:r>
    </w:p>
    <w:bookmarkEnd w:id="59"/>
    <w:bookmarkStart w:id="60" w:name="ref-fu_maximum_2019"/>
    <w:p>
      <w:pPr>
        <w:pStyle w:val="Bibliography"/>
      </w:pPr>
      <w:r>
        <w:t xml:space="preserve">15.</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0"/>
    <w:bookmarkStart w:id="61" w:name="ref-zohner_ongoing_2019"/>
    <w:p>
      <w:pPr>
        <w:pStyle w:val="Bibliography"/>
      </w:pPr>
      <w:r>
        <w:t xml:space="preserve">16.</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61"/>
    <w:bookmarkStart w:id="62" w:name="ref-zani_increased_2020"/>
    <w:p>
      <w:pPr>
        <w:pStyle w:val="Bibliography"/>
      </w:pPr>
      <w:r>
        <w:t xml:space="preserve">17.</w:t>
      </w:r>
      <w:r>
        <w:t xml:space="preserve"> </w:t>
      </w:r>
      <w:r>
        <w:t xml:space="preserve">	</w:t>
      </w:r>
      <w:r>
        <w:t xml:space="preserve">Zani, D., Crowther, T. W., Mo, L., Renner, S. S. &amp; Zohner, C. M. Increased growing-season productivity drives earlier autumn leaf senescence in temperate trees. 7 (2020).</w:t>
      </w:r>
    </w:p>
    <w:bookmarkEnd w:id="62"/>
    <w:bookmarkStart w:id="63" w:name="ref-arora_carbon_2020"/>
    <w:p>
      <w:pPr>
        <w:pStyle w:val="Bibliography"/>
      </w:pPr>
      <w:r>
        <w:t xml:space="preserve">18.</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63"/>
    <w:bookmarkStart w:id="64" w:name="ref-friedlingstein_global_2020"/>
    <w:p>
      <w:pPr>
        <w:pStyle w:val="Bibliography"/>
      </w:pPr>
      <w:r>
        <w:t xml:space="preserve">19.</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64"/>
    <w:bookmarkStart w:id="65" w:name="ref-parmesan_globally_2003"/>
    <w:p>
      <w:pPr>
        <w:pStyle w:val="Bibliography"/>
      </w:pPr>
      <w:r>
        <w:t xml:space="preserve">20.</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65"/>
    <w:bookmarkStart w:id="66" w:name="ref-friedl_tale_2014"/>
    <w:p>
      <w:pPr>
        <w:pStyle w:val="Bibliography"/>
      </w:pPr>
      <w:r>
        <w:t xml:space="preserve">21.</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66"/>
    <w:bookmarkStart w:id="67" w:name="ref-keenan_timing_2015"/>
    <w:p>
      <w:pPr>
        <w:pStyle w:val="Bibliography"/>
      </w:pPr>
      <w:r>
        <w:t xml:space="preserve">22.</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67"/>
    <w:bookmarkStart w:id="68" w:name="ref-vitasse_responses_2009"/>
    <w:p>
      <w:pPr>
        <w:pStyle w:val="Bibliography"/>
      </w:pPr>
      <w:r>
        <w:t xml:space="preserve">23.</w:t>
      </w:r>
      <w:r>
        <w:t xml:space="preserve"> </w:t>
      </w:r>
      <w:r>
        <w:t xml:space="preserve">	</w:t>
      </w:r>
      <w:r>
        <w:t xml:space="preserve">Vitasse, Y., Porté, A. J., Kremer, A., Michalet, R. &amp; Delzon, S. Responses of canopy duration to temperature changes in four temperate tree species: Relative contributions of spring and autumn leaf phenology.</w:t>
      </w:r>
      <w:r>
        <w:t xml:space="preserve"> </w:t>
      </w:r>
      <w:r>
        <w:rPr>
          <w:iCs/>
          <w:i/>
        </w:rPr>
        <w:t xml:space="preserve">Oecologia</w:t>
      </w:r>
      <w:r>
        <w:t xml:space="preserve"> </w:t>
      </w:r>
      <w:r>
        <w:rPr>
          <w:bCs/>
          <w:b/>
        </w:rPr>
        <w:t xml:space="preserve">161</w:t>
      </w:r>
      <w:r>
        <w:t xml:space="preserve">, 187–198 (2009).</w:t>
      </w:r>
    </w:p>
    <w:bookmarkEnd w:id="68"/>
    <w:bookmarkStart w:id="69" w:name="ref-helcoski_growing_2019"/>
    <w:p>
      <w:pPr>
        <w:pStyle w:val="Bibliography"/>
      </w:pPr>
      <w:r>
        <w:t xml:space="preserve">24.</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69"/>
    <w:bookmarkStart w:id="70" w:name="ref-mcmahon_general_2015"/>
    <w:p>
      <w:pPr>
        <w:pStyle w:val="Bibliography"/>
      </w:pPr>
      <w:r>
        <w:t xml:space="preserve">25.</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70"/>
    <w:bookmarkStart w:id="71" w:name="ref-alexander_potential_2019"/>
    <w:p>
      <w:pPr>
        <w:pStyle w:val="Bibliography"/>
      </w:pPr>
      <w:r>
        <w:t xml:space="preserve">26.</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71"/>
    <w:bookmarkStart w:id="73" w:name="ref-delgado_differences_2020"/>
    <w:p>
      <w:pPr>
        <w:pStyle w:val="Bibliography"/>
      </w:pPr>
      <w:r>
        <w:t xml:space="preserve">27.</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72">
        <w:r>
          <w:rPr>
            <w:rStyle w:val="Hyperlink"/>
          </w:rPr>
          <w:t xml:space="preserve">10.1073/pnas.2002713117</w:t>
        </w:r>
      </w:hyperlink>
      <w:r>
        <w:t xml:space="preserve">.</w:t>
      </w:r>
    </w:p>
    <w:bookmarkEnd w:id="73"/>
    <w:bookmarkStart w:id="74" w:name="ref-zhang_drought_2021"/>
    <w:p>
      <w:pPr>
        <w:pStyle w:val="Bibliography"/>
      </w:pPr>
      <w:r>
        <w:t xml:space="preserve">28.</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74"/>
    <w:bookmarkStart w:id="75" w:name="ref-zhang_extended_2020"/>
    <w:p>
      <w:pPr>
        <w:pStyle w:val="Bibliography"/>
      </w:pPr>
      <w:r>
        <w:t xml:space="preserve">29.</w:t>
      </w:r>
      <w:r>
        <w:t xml:space="preserve"> </w:t>
      </w:r>
      <w:r>
        <w:t xml:space="preserve">	</w:t>
      </w:r>
      <w:r>
        <w:t xml:space="preserve">Zhang, J.</w:t>
      </w:r>
      <w:r>
        <w:t xml:space="preserve"> </w:t>
      </w:r>
      <w:r>
        <w:rPr>
          <w:iCs/>
          <w:i/>
        </w:rPr>
        <w:t xml:space="preserve">et al.</w:t>
      </w:r>
      <w:r>
        <w:t xml:space="preserve"> Extended xylogenesis and stem biomass production in</w:t>
      </w:r>
      <w:r>
        <w:t xml:space="preserve"> </w:t>
      </w:r>
      <w:r>
        <w:t xml:space="preserve">Juniperus</w:t>
      </w:r>
      <w:r>
        <w:t xml:space="preserve"> </w:t>
      </w:r>
      <w:r>
        <w:t xml:space="preserve">przewalskii</w:t>
      </w:r>
      <w:r>
        <w:t xml:space="preserve"> </w:t>
      </w:r>
      <w:r>
        <w:t xml:space="preserve">Kom</w:t>
      </w:r>
      <w:r>
        <w:t xml:space="preserve">. During extreme late-season climatic events.</w:t>
      </w:r>
      <w:r>
        <w:t xml:space="preserve"> </w:t>
      </w:r>
      <w:r>
        <w:rPr>
          <w:iCs/>
          <w:i/>
        </w:rPr>
        <w:t xml:space="preserve">Annals of Forest Science</w:t>
      </w:r>
      <w:r>
        <w:t xml:space="preserve"> </w:t>
      </w:r>
      <w:r>
        <w:rPr>
          <w:bCs/>
          <w:b/>
        </w:rPr>
        <w:t xml:space="preserve">77</w:t>
      </w:r>
      <w:r>
        <w:t xml:space="preserve">, (2020).</w:t>
      </w:r>
    </w:p>
    <w:bookmarkEnd w:id="75"/>
    <w:bookmarkStart w:id="76" w:name="ref-bourg_initial_2013"/>
    <w:p>
      <w:pPr>
        <w:pStyle w:val="Bibliography"/>
      </w:pPr>
      <w:r>
        <w:t xml:space="preserve">30.</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76"/>
    <w:bookmarkStart w:id="77" w:name="ref-cook_time_1985"/>
    <w:p>
      <w:pPr>
        <w:pStyle w:val="Bibliography"/>
      </w:pPr>
      <w:r>
        <w:t xml:space="preserve">31.</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77"/>
    <w:bookmarkStart w:id="79" w:name="ref-cook_methods_1990"/>
    <w:p>
      <w:pPr>
        <w:pStyle w:val="Bibliography"/>
      </w:pPr>
      <w:r>
        <w:t xml:space="preserve">32.</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78">
        <w:r>
          <w:rPr>
            <w:rStyle w:val="Hyperlink"/>
          </w:rPr>
          <w:t xml:space="preserve">10.1007/978-94-015-7879-0</w:t>
        </w:r>
      </w:hyperlink>
      <w:r>
        <w:t xml:space="preserve">.</w:t>
      </w:r>
    </w:p>
    <w:bookmarkEnd w:id="79"/>
    <w:bookmarkStart w:id="80" w:name="ref-cook_calculating_1997"/>
    <w:p>
      <w:pPr>
        <w:pStyle w:val="Bibliography"/>
      </w:pPr>
      <w:r>
        <w:t xml:space="preserve">33.</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80"/>
    <w:bookmarkStart w:id="81" w:name="ref-jones_estimating_1997"/>
    <w:p>
      <w:pPr>
        <w:pStyle w:val="Bibliography"/>
      </w:pPr>
      <w:r>
        <w:t xml:space="preserve">34.</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81"/>
    <w:bookmarkStart w:id="83" w:name="ref-anderson-teixeira_forestgeo_2020"/>
    <w:p>
      <w:pPr>
        <w:pStyle w:val="Bibliography"/>
      </w:pPr>
      <w:r>
        <w:t xml:space="preserve">35.</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82">
        <w:r>
          <w:rPr>
            <w:rStyle w:val="Hyperlink"/>
          </w:rPr>
          <w:t xml:space="preserve">10.5281/ZENODO.4041609</w:t>
        </w:r>
      </w:hyperlink>
      <w:r>
        <w:t xml:space="preserve">.</w:t>
      </w:r>
    </w:p>
    <w:bookmarkEnd w:id="83"/>
    <w:bookmarkStart w:id="84" w:name="ref-harris_version_2020"/>
    <w:p>
      <w:pPr>
        <w:pStyle w:val="Bibliography"/>
      </w:pPr>
      <w:r>
        <w:t xml:space="preserve">36.</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84"/>
    <w:bookmarkStart w:id="85" w:name="ref-vandepol_identifying_2016"/>
    <w:p>
      <w:pPr>
        <w:pStyle w:val="Bibliography"/>
      </w:pPr>
      <w:r>
        <w:t xml:space="preserve">37.</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85"/>
    <w:bookmarkStart w:id="86" w:name="ref-bates_fitting_2015"/>
    <w:p>
      <w:pPr>
        <w:pStyle w:val="Bibliography"/>
      </w:pPr>
      <w:r>
        <w:t xml:space="preserve">38.</w:t>
      </w:r>
      <w:r>
        <w:t xml:space="preserve"> </w:t>
      </w:r>
      <w:r>
        <w:t xml:space="preserve">	</w:t>
      </w:r>
      <w:r>
        <w:t xml:space="preserve">Bates, D., Mächler, M., Bolker, B. &amp; Walker, S. Fitting</w:t>
      </w:r>
      <w:r>
        <w:t xml:space="preserve"> </w:t>
      </w:r>
      <w:r>
        <w:t xml:space="preserve">Linear Mixed</w:t>
      </w:r>
      <w:r>
        <w:t xml:space="preserve">-</w:t>
      </w:r>
      <w:r>
        <w:t xml:space="preserve">Effects Models Using</w:t>
      </w:r>
      <w:r>
        <w:t xml:space="preserve"> </w:t>
      </w:r>
      <w:r>
        <w:rPr>
          <w:bCs/>
          <w:b/>
        </w:rPr>
        <w:t xml:space="preserve">Lme4</w:t>
      </w:r>
      <w:r>
        <w:t xml:space="preserve">.</w:t>
      </w:r>
      <w:r>
        <w:t xml:space="preserve"> </w:t>
      </w:r>
      <w:r>
        <w:rPr>
          <w:iCs/>
          <w:i/>
        </w:rPr>
        <w:t xml:space="preserve">Journal of Statistical Software</w:t>
      </w:r>
      <w:r>
        <w:t xml:space="preserve"> </w:t>
      </w:r>
      <w:r>
        <w:rPr>
          <w:bCs/>
          <w:b/>
        </w:rPr>
        <w:t xml:space="preserve">67</w:t>
      </w:r>
      <w:r>
        <w:t xml:space="preserve">, (2015).</w:t>
      </w:r>
    </w:p>
    <w:bookmarkEnd w:id="86"/>
    <w:bookmarkEnd w:id="87"/>
    <w:bookmarkEnd w:id="88"/>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4" Target="media/rId24.png" /><Relationship Type="http://schemas.openxmlformats.org/officeDocument/2006/relationships/image" Id="rId22" Target="media/rId22.png" /><Relationship Type="http://schemas.openxmlformats.org/officeDocument/2006/relationships/image" Id="rId27" Target="media/rId27.png" /><Relationship Type="http://schemas.openxmlformats.org/officeDocument/2006/relationships/hyperlink" Id="rId78" Target="https://doi.org/10.1007/978-94-015-7879-0" TargetMode="External" /><Relationship Type="http://schemas.openxmlformats.org/officeDocument/2006/relationships/hyperlink" Id="rId72" Target="https://doi.org/10.1073/pnas.2002713117" TargetMode="External" /><Relationship Type="http://schemas.openxmlformats.org/officeDocument/2006/relationships/hyperlink" Id="rId55" Target="https://doi.org/10.1088/1748-9326/abed01" TargetMode="External" /><Relationship Type="http://schemas.openxmlformats.org/officeDocument/2006/relationships/hyperlink" Id="rId82" Target="https://doi.org/10.5281/ZENODO.4041609" TargetMode="External" /><Relationship Type="http://schemas.openxmlformats.org/officeDocument/2006/relationships/hyperlink" Id="rId35" Target="https://forestgeo.github.io/Climate/" TargetMode="External" /><Relationship Type="http://schemas.openxmlformats.org/officeDocument/2006/relationships/hyperlink" Id="rId28" Target="https://github.com/EcoClimLab/growth_phenology/issues/49" TargetMode="External" /><Relationship Type="http://schemas.openxmlformats.org/officeDocument/2006/relationships/hyperlink" Id="rId25" Target="https://github.com/EcoClimLab/growth_phenology/issues/50" TargetMode="External" /><Relationship Type="http://schemas.openxmlformats.org/officeDocument/2006/relationships/hyperlink" Id="rId36"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78" Target="https://doi.org/10.1007/978-94-015-7879-0" TargetMode="External" /><Relationship Type="http://schemas.openxmlformats.org/officeDocument/2006/relationships/hyperlink" Id="rId72" Target="https://doi.org/10.1073/pnas.2002713117" TargetMode="External" /><Relationship Type="http://schemas.openxmlformats.org/officeDocument/2006/relationships/hyperlink" Id="rId55" Target="https://doi.org/10.1088/1748-9326/abed01" TargetMode="External" /><Relationship Type="http://schemas.openxmlformats.org/officeDocument/2006/relationships/hyperlink" Id="rId82" Target="https://doi.org/10.5281/ZENODO.4041609" TargetMode="External" /><Relationship Type="http://schemas.openxmlformats.org/officeDocument/2006/relationships/hyperlink" Id="rId35" Target="https://forestgeo.github.io/Climate/" TargetMode="External" /><Relationship Type="http://schemas.openxmlformats.org/officeDocument/2006/relationships/hyperlink" Id="rId28" Target="https://github.com/EcoClimLab/growth_phenology/issues/49" TargetMode="External" /><Relationship Type="http://schemas.openxmlformats.org/officeDocument/2006/relationships/hyperlink" Id="rId25" Target="https://github.com/EcoClimLab/growth_phenology/issues/50" TargetMode="External" /><Relationship Type="http://schemas.openxmlformats.org/officeDocument/2006/relationships/hyperlink" Id="rId36"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2021-04-28T16:27:09Z</dcterms:created>
  <dcterms:modified xsi:type="dcterms:W3CDTF">2021-04-28T16:27:09Z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