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19</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w:t>
      </w:r>
      <w:r>
        <w:rPr>
          <w:vertAlign w:val="superscript"/>
        </w:rPr>
        <w:t xml:space="preserve"> </w:t>
      </w:r>
      <w:r>
        <w:rPr>
          <w:vertAlign w:val="superscript"/>
        </w:rPr>
        <w:t xml:space="preserve">27</w:t>
      </w:r>
      <w:r>
        <w:t xml:space="preserve"> </w:t>
      </w:r>
      <w:r>
        <w:t xml:space="preserve">and increased annual growth in mesic climates</w:t>
      </w:r>
      <w:r>
        <w:rPr>
          <w:vertAlign w:val="superscript"/>
        </w:rPr>
        <w:t xml:space="preserve">28–31</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32,33</w:t>
      </w:r>
      <w:r>
        <w:t xml:space="preserve">, and annual growth is more closely linked to conditions within the growing season than to growing season length</w:t>
      </w:r>
      <w:r>
        <w:rPr>
          <w:vertAlign w:val="superscript"/>
        </w:rPr>
        <w:t xml:space="preserve">34</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17,25,35</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evidence that warmer springs may have a modest, but usually insignificant, positive effect on growth</w:t>
      </w:r>
      <w:r>
        <w:rPr>
          <w:vertAlign w:val="superscript"/>
        </w:rPr>
        <w:t xml:space="preserve">31,37</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growth rate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33,39</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for all combinations of consecutive weeks 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m:oMath>
        <m:sSub>
          <m:e>
            <m:r>
              <m:t>T</m:t>
            </m:r>
          </m:e>
          <m:sub>
            <m:r>
              <m:t>m</m:t>
            </m:r>
            <m:r>
              <m:t>a</m:t>
            </m:r>
            <m:r>
              <m:t>x</m:t>
            </m:r>
          </m:sub>
        </m:sSub>
      </m:oMath>
      <w:r>
        <w:t xml:space="preserve"> </w:t>
      </w:r>
      <w:r>
        <w:t xml:space="preserve">during this period (CTW</w:t>
      </w:r>
      <w:r>
        <w:t xml:space="preserve"> </w:t>
      </w:r>
      <m:oMath>
        <m:sSub>
          <m:e>
            <m:r>
              <m:t>T</m:t>
            </m:r>
          </m:e>
          <m:sub>
            <m:r>
              <m:t>m</m:t>
            </m:r>
            <m:r>
              <m:t>a</m:t>
            </m:r>
            <m:r>
              <m:t>x</m:t>
            </m:r>
          </m:sub>
        </m:sSub>
      </m:oMath>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maximum temperature (T_{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_{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maximum temperature (</w:t>
      </w:r>
      <m:oMath>
        <m:sSub>
          <m:e>
            <m:r>
              <m:t>T</m:t>
            </m:r>
          </m:e>
          <m:sub>
            <m:r>
              <m:t>m</m:t>
            </m:r>
            <m:r>
              <m:t>a</m:t>
            </m:r>
            <m:r>
              <m:t>x</m:t>
            </m:r>
          </m:sub>
        </m:sSub>
      </m:oMath>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m:oMath>
        <m:sSub>
          <m:e>
            <m:r>
              <m:t>T</m:t>
            </m:r>
          </m:e>
          <m:sub>
            <m:r>
              <m:t>m</m:t>
            </m:r>
            <m:r>
              <m:t>a</m:t>
            </m:r>
            <m:r>
              <m:t>x</m:t>
            </m:r>
          </m:sub>
        </m:sSub>
      </m:oMath>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CTW</w:t>
      </w:r>
      <w:r>
        <w:t xml:space="preserve"> </w:t>
      </w:r>
      <m:oMath>
        <m:sSub>
          <m:e>
            <m:r>
              <m:t>T</m:t>
            </m:r>
          </m:e>
          <m:sub>
            <m:r>
              <m:t>m</m:t>
            </m:r>
            <m:r>
              <m:t>a</m:t>
            </m:r>
            <m:r>
              <m:t>x</m:t>
            </m:r>
          </m:sub>
        </m:sSub>
      </m:oMath>
      <w:r>
        <w:t xml:space="preserve"> </w:t>
      </w:r>
      <w:r>
        <w:t xml:space="preserve">(Figs.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 CTW</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(Harvard Forest) or changes in opposite directions (SCBI) in relationship to CTW</w:t>
      </w:r>
      <w:r>
        <w:t xml:space="preserve"> </w:t>
      </w:r>
      <m:oMath>
        <m:sSub>
          <m:e>
            <m:r>
              <m:t>T</m:t>
            </m:r>
          </m:e>
          <m:sub>
            <m:r>
              <m:t>m</m:t>
            </m:r>
            <m:r>
              <m:t>a</m:t>
            </m:r>
            <m:r>
              <m:t>x</m:t>
            </m:r>
          </m:sub>
        </m:sSub>
      </m:oMath>
      <w:r>
        <w:t xml:space="preserve"> </w:t>
      </w:r>
      <w:r>
        <w:t xml:space="preserve">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CTW</w:t>
      </w:r>
      <w:r>
        <w:t xml:space="preserve"> </w:t>
      </w:r>
      <m:oMath>
        <m:sSub>
          <m:e>
            <m:r>
              <m:t>T</m:t>
            </m:r>
          </m:e>
          <m:sub>
            <m:r>
              <m:t>m</m:t>
            </m:r>
            <m:r>
              <m:t>a</m:t>
            </m:r>
            <m:r>
              <m:t>x</m:t>
            </m:r>
          </m:sub>
        </m:sSub>
      </m:oMath>
      <w:r>
        <w:t xml:space="preserve"> </w:t>
      </w:r>
      <w:r>
        <w:t xml:space="preserve">at SCBI and a weak negative relationship (-0.2-0.03 mm/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plus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40</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m:oMath>
        <m:sSub>
          <m:e>
            <m:r>
              <m:t>T</m:t>
            </m:r>
          </m:e>
          <m:sub>
            <m:r>
              <m:t>m</m:t>
            </m:r>
            <m:r>
              <m:t>a</m:t>
            </m:r>
            <m:r>
              <m:t>x</m:t>
            </m:r>
          </m:sub>
        </m:sSub>
      </m:oMath>
      <w:r>
        <w:t xml:space="preserve"> </w:t>
      </w:r>
      <w:r>
        <w:t xml:space="preserve">for 5/142 ring porous chronologies and to previous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4,34</w:t>
      </w:r>
      <w:r>
        <w:t xml:space="preserve">, is driven by cues other than photosynthate limitation, such as water stress, daylength, or sink limitation</w:t>
      </w:r>
      <w:r>
        <w:rPr>
          <w:vertAlign w:val="superscript"/>
        </w:rPr>
        <w:t xml:space="preserve">17,32,34,41,14,</w:t>
      </w:r>
      <w:r>
        <w:rPr>
          <w:vertAlign w:val="superscript"/>
        </w:rPr>
        <w:t xml:space="preserve"> </w:t>
      </w:r>
      <w:r>
        <w:rPr>
          <w:vertAlign w:val="superscript"/>
        </w:rPr>
        <w:t xml:space="preserve">25</w:t>
      </w:r>
      <w:r>
        <w:t xml:space="preserve">.</w:t>
      </w:r>
      <w:r>
        <w:t xml:space="preserve"> </w:t>
      </w:r>
      <w:r>
        <w:t xml:space="preserve">This adds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42,</w:t>
      </w:r>
      <w:r>
        <w:rPr>
          <w:bCs/>
          <w:b/>
          <w:vertAlign w:val="superscript"/>
        </w:rPr>
        <w:t xml:space="preserve">refs?</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43</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44–46</w:t>
      </w:r>
      <w:r>
        <w:t xml:space="preserve">.</w:t>
      </w:r>
      <w:r>
        <w:t xml:space="preserve"> </w:t>
      </w:r>
      <w:r>
        <w:t xml:space="preserve">Thus, it is unlikely that warm springs have a positive effect on total C content of annual rings or</w:t>
      </w:r>
      <w:r>
        <w:t xml:space="preserve"> </w:t>
      </w:r>
      <m:oMath>
        <m:r>
          <m:t>A</m:t>
        </m:r>
        <m:r>
          <m:t>N</m:t>
        </m:r>
        <m:r>
          <m:t>P</m:t>
        </m:r>
        <m:sSub>
          <m:e>
            <m:r>
              <m:t>P</m:t>
            </m:r>
          </m:e>
          <m:sub>
            <m:r>
              <m:t>w</m:t>
            </m:r>
            <m:r>
              <m:t>o</m:t>
            </m:r>
            <m:r>
              <m:t>o</m:t>
            </m:r>
            <m:r>
              <m:t>d</m:t>
            </m:r>
            <m:r>
              <m:t>y</m:t>
            </m:r>
          </m:sub>
        </m:sSub>
      </m:oMath>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35</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42</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30</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35,50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when increased atmospheric demand associated with high temperatures limits growth</w:t>
      </w:r>
      <w:r>
        <w:rPr>
          <w:vertAlign w:val="superscript"/>
        </w:rPr>
        <w:t xml:space="preserve">25,32,34,51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29,30,36,37</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31</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4,39</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30</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30</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39</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38</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38</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38,57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CTW</w:t>
      </w:r>
      <w:r>
        <w:t xml:space="preserve"> </w:t>
      </w:r>
      <m:oMath>
        <m:sSub>
          <m:e>
            <m:r>
              <m:t>T</m:t>
            </m:r>
          </m:e>
          <m:sub>
            <m:r>
              <m:t>m</m:t>
            </m:r>
            <m:r>
              <m:t>a</m:t>
            </m:r>
            <m:r>
              <m:t>x</m:t>
            </m:r>
          </m:sub>
        </m:sSub>
      </m:oMath>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37,54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27.</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cook_predicting_1991"/>
    <w:p>
      <w:pPr>
        <w:pStyle w:val="Bibliography"/>
      </w:pPr>
      <w:r>
        <w:t xml:space="preserve">28.</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7"/>
    <w:bookmarkStart w:id="78" w:name="ref-babst_twentieth_2019"/>
    <w:p>
      <w:pPr>
        <w:pStyle w:val="Bibliography"/>
      </w:pPr>
      <w:r>
        <w:t xml:space="preserve">29.</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8"/>
    <w:bookmarkStart w:id="79" w:name="ref-anderson-teixeira_joint_2021"/>
    <w:p>
      <w:pPr>
        <w:pStyle w:val="Bibliography"/>
      </w:pPr>
      <w:r>
        <w:t xml:space="preserve">30.</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79"/>
    <w:bookmarkStart w:id="81" w:name="ref-gao_earlier_2022"/>
    <w:p>
      <w:pPr>
        <w:pStyle w:val="Bibliography"/>
      </w:pPr>
      <w:r>
        <w:t xml:space="preserve">31.</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0">
        <w:r>
          <w:rPr>
            <w:rStyle w:val="Hyperlink"/>
          </w:rPr>
          <w:t xml:space="preserve">10.1038/s41559-022-01668-4</w:t>
        </w:r>
      </w:hyperlink>
      <w:r>
        <w:t xml:space="preserve">.</w:t>
      </w:r>
    </w:p>
    <w:bookmarkEnd w:id="81"/>
    <w:bookmarkStart w:id="82" w:name="ref-zweifel_why_2021"/>
    <w:p>
      <w:pPr>
        <w:pStyle w:val="Bibliography"/>
      </w:pPr>
      <w:r>
        <w:t xml:space="preserve">32.</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2"/>
    <w:bookmarkStart w:id="83" w:name="ref-tumajer_limitation_2022"/>
    <w:p>
      <w:pPr>
        <w:pStyle w:val="Bibliography"/>
      </w:pPr>
      <w:r>
        <w:t xml:space="preserve">33.</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3"/>
    <w:bookmarkStart w:id="84" w:name="ref-etzold_number_2022"/>
    <w:p>
      <w:pPr>
        <w:pStyle w:val="Bibliography"/>
      </w:pPr>
      <w:r>
        <w:t xml:space="preserve">34.</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4"/>
    <w:bookmarkStart w:id="85" w:name="ref-zohner_how_2021"/>
    <w:p>
      <w:pPr>
        <w:pStyle w:val="Bibliography"/>
      </w:pPr>
      <w:r>
        <w:t xml:space="preserve">35.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8" w:name="ref-mcmahon_general_2015"/>
    <w:p>
      <w:pPr>
        <w:pStyle w:val="Bibliography"/>
      </w:pPr>
      <w:r>
        <w:t xml:space="preserve">38.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8"/>
    <w:bookmarkStart w:id="90" w:name="ref-dorangeville_peak_2021"/>
    <w:p>
      <w:pPr>
        <w:pStyle w:val="Bibliography"/>
      </w:pPr>
      <w:r>
        <w:t xml:space="preserve">39.</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9">
        <w:r>
          <w:rPr>
            <w:rStyle w:val="Hyperlink"/>
          </w:rPr>
          <w:t xml:space="preserve">10.1093/treephys/tpab101</w:t>
        </w:r>
      </w:hyperlink>
      <w:r>
        <w:t xml:space="preserve">.</w:t>
      </w:r>
    </w:p>
    <w:bookmarkEnd w:id="90"/>
    <w:bookmarkStart w:id="91" w:name="ref-richardson_seasonal_2013"/>
    <w:p>
      <w:pPr>
        <w:pStyle w:val="Bibliography"/>
      </w:pPr>
      <w:r>
        <w:t xml:space="preserve">40.</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1"/>
    <w:bookmarkStart w:id="92" w:name="ref-keenan_timing_2015"/>
    <w:p>
      <w:pPr>
        <w:pStyle w:val="Bibliography"/>
      </w:pPr>
      <w:r>
        <w:t xml:space="preserve">41.</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2"/>
    <w:bookmarkStart w:id="93" w:name="ref-jiang_fate_2020"/>
    <w:p>
      <w:pPr>
        <w:pStyle w:val="Bibliography"/>
      </w:pPr>
      <w:r>
        <w:t xml:space="preserve">42.</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3"/>
    <w:bookmarkStart w:id="94"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4"/>
    <w:bookmarkStart w:id="95" w:name="ref-tardif_influence_2006"/>
    <w:p>
      <w:pPr>
        <w:pStyle w:val="Bibliography"/>
      </w:pPr>
      <w:r>
        <w:t xml:space="preserve">44.</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5"/>
    <w:bookmarkStart w:id="96" w:name="ref-roibu_climatic_2020"/>
    <w:p>
      <w:pPr>
        <w:pStyle w:val="Bibliography"/>
      </w:pPr>
      <w:r>
        <w:t xml:space="preserve">45.</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6"/>
    <w:bookmarkStart w:id="97" w:name="ref-kern_multiple_2013"/>
    <w:p>
      <w:pPr>
        <w:pStyle w:val="Bibliography"/>
      </w:pPr>
      <w:r>
        <w:t xml:space="preserve">46.</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7"/>
    <w:bookmarkStart w:id="98"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_development_team_stan_2019"/>
    <w:p>
      <w:pPr>
        <w:pStyle w:val="Bibliography"/>
      </w:pPr>
      <w:r>
        <w:t xml:space="preserve">65.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3"/>
    <w:bookmarkStart w:id="124"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4"/>
    <w:bookmarkStart w:id="125"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1"/>
    <w:bookmarkStart w:id="132"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4"/>
    <w:bookmarkStart w:id="135"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9"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9"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2022-03-19T13:01:46Z</dcterms:created>
  <dcterms:modified xsi:type="dcterms:W3CDTF">2022-03-19T13:01:46Z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