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 Orcid ID : 0000-0002-8365-598X)</w:t>
      </w:r>
    </w:p>
    <w:p>
      <w:pPr>
        <w:pStyle w:val="BodyText"/>
      </w:pPr>
      <w:r>
        <w:t xml:space="preserve">Albert Y. Kim</w:t>
      </w:r>
      <w:r>
        <w:rPr>
          <w:vertAlign w:val="superscript"/>
        </w:rPr>
        <w:t xml:space="preserve">1,3</w:t>
      </w:r>
      <w:r>
        <w:t xml:space="preserve"> </w:t>
      </w:r>
      <w:r>
        <w:t xml:space="preserve">( Orcid ID : 0000-0001-7824-306X)</w:t>
      </w:r>
    </w:p>
    <w:p>
      <w:pPr>
        <w:pStyle w:val="BodyText"/>
      </w:pPr>
      <w:r>
        <w:t xml:space="preserve">Loïc D’Orangeville</w:t>
      </w:r>
      <w:r>
        <w:rPr>
          <w:vertAlign w:val="superscript"/>
        </w:rPr>
        <w:t xml:space="preserve">4,5</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6</w:t>
      </w:r>
      <w:r>
        <w:t xml:space="preserve"> </w:t>
      </w:r>
      <w:r>
        <w:t xml:space="preserve">( 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 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1–6</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1,4,5,7–9</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2,4,10–14</w:t>
      </w:r>
      <w:r>
        <w:rPr>
          <w:bCs/>
          <w:b/>
        </w:rPr>
        <w:t xml:space="preserve">.</w:t>
      </w:r>
      <w:r>
        <w:t xml:space="preserve"> </w:t>
      </w:r>
      <w:r>
        <w:rPr>
          <w:bCs/>
          <w:b/>
        </w:rPr>
        <w:t xml:space="preserve">However, less is known about how spring temperatures affect tree stem growth</w:t>
      </w:r>
      <w:r>
        <w:rPr>
          <w:vertAlign w:val="superscript"/>
          <w:bCs/>
          <w:b/>
        </w:rPr>
        <w:t xml:space="preserve">15</w:t>
      </w:r>
      <w:r>
        <w:rPr>
          <w:bCs/>
          <w:b/>
        </w:rPr>
        <w:t xml:space="preserve">, which sequesters carbon (C) in wood that has a long residence time in the ecosystem</w:t>
      </w:r>
      <w:r>
        <w:rPr>
          <w:vertAlign w:val="superscript"/>
          <w:bCs/>
          <w:b/>
        </w:rPr>
        <w:t xml:space="preserve">16,17</w:t>
      </w:r>
      <w:r>
        <w:rPr>
          <w:bCs/>
          <w:b/>
        </w:rPr>
        <w:t xml:space="preserve">.</w:t>
      </w:r>
      <w:r>
        <w:t xml:space="preserve"> </w:t>
      </w:r>
      <w:r>
        <w:rPr>
          <w:bCs/>
          <w:b/>
        </w:rPr>
        <w:t xml:space="preserve">Using dendrometer band measurements from 463 trees across two forests, we show that warmer spring temperatures shifted the peak stem growth of deciduous trees earlier but had no consistent effect on peak growing season length, maximum daily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10–12</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current projections from global C cycle models</w:t>
      </w:r>
      <w:r>
        <w:rPr>
          <w:vertAlign w:val="superscript"/>
          <w:bCs/>
          <w:b/>
        </w:rPr>
        <w:t xml:space="preserve">2,3,18,19</w:t>
      </w:r>
      <w:r>
        <w:rPr>
          <w:bCs/>
          <w:b/>
        </w:rPr>
        <w:t xml:space="preserve">, our empirical results imply that warming spring temperatures are unlikely to increase woody productivity or strengthen the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Earth’s forests have sequestered ~20% of anthropogenic CO</w:t>
      </w:r>
      <w:r>
        <w:rPr>
          <w:vertAlign w:val="subscript"/>
        </w:rPr>
        <w:t xml:space="preserve">2</w:t>
      </w:r>
      <w:r>
        <w:t xml:space="preserve"> </w:t>
      </w:r>
      <w:r>
        <w:t xml:space="preserve">emissions, thereby slowing the pace of atmospheric CO</w:t>
      </w:r>
      <w:r>
        <w:rPr>
          <w:vertAlign w:val="subscript"/>
        </w:rPr>
        <w:t xml:space="preserve">2</w:t>
      </w:r>
      <w:r>
        <w:t xml:space="preserve"> </w:t>
      </w:r>
      <w:r>
        <w:t xml:space="preserve">accumulation and climate change</w:t>
      </w:r>
      <w:r>
        <w:rPr>
          <w:vertAlign w:val="superscript"/>
        </w:rPr>
        <w:t xml:space="preserve">20,21</w:t>
      </w:r>
      <w:r>
        <w:t xml:space="preserve">.</w:t>
      </w:r>
      <w:r>
        <w:t xml:space="preserve"> </w:t>
      </w:r>
      <w:r>
        <w:t xml:space="preserve">A substantive portion of this CO</w:t>
      </w:r>
      <w:r>
        <w:rPr>
          <w:vertAlign w:val="subscript"/>
        </w:rPr>
        <w:t xml:space="preserve">2</w:t>
      </w:r>
      <w:r>
        <w:t xml:space="preserve"> </w:t>
      </w:r>
      <w:r>
        <w:t xml:space="preserve">sink occurs in temperate deciduous forests, which sequester &gt;300 Tg C yr</w:t>
      </w:r>
      <w:r>
        <w:rPr>
          <w:vertAlign w:val="superscript"/>
        </w:rPr>
        <w:t xml:space="preserve">-1</w:t>
      </w:r>
      <w:r>
        <w:t xml:space="preserve">.</w:t>
      </w:r>
      <w:r>
        <w:rPr>
          <w:vertAlign w:val="superscript"/>
        </w:rPr>
        <w:t xml:space="preserve">22</w:t>
      </w:r>
      <w:r>
        <w:t xml:space="preserve"> </w:t>
      </w:r>
      <w:r>
        <w:t xml:space="preserve"> </w:t>
      </w:r>
      <w:r>
        <w:t xml:space="preserve">The future behavior of this CO</w:t>
      </w:r>
      <w:r>
        <w:rPr>
          <w:vertAlign w:val="subscript"/>
        </w:rPr>
        <w:t xml:space="preserve">2</w:t>
      </w:r>
      <w:r>
        <w:t xml:space="preserve"> </w:t>
      </w:r>
      <w:r>
        <w:t xml:space="preserve">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23,24</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1,7–9</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w:t>
      </w:r>
      <w:r>
        <w:t xml:space="preserve">.</w:t>
      </w:r>
      <w:r>
        <w:t xml:space="preserve"> </w:t>
      </w:r>
      <w:r>
        <w:t xml:space="preserve">Current models assume that longer growing seasons lead to increasing annual net CO</w:t>
      </w:r>
      <w:r>
        <w:rPr>
          <w:vertAlign w:val="subscript"/>
        </w:rPr>
        <w:t xml:space="preserve">2</w:t>
      </w:r>
      <w:r>
        <w:t xml:space="preserve"> </w:t>
      </w:r>
      <w:r>
        <w:t xml:space="preserve">uptake (i.e., net ecosystem exchange,</w:t>
      </w:r>
      <w:r>
        <w:t xml:space="preserve"> </w:t>
      </w:r>
      <w:r>
        <w:rPr>
          <w:iCs/>
          <w:i/>
        </w:rPr>
        <w:t xml:space="preserve">NEE</w:t>
      </w:r>
      <w:r>
        <w:t xml:space="preserve">)</w:t>
      </w:r>
      <w:r>
        <w:rPr>
          <w:vertAlign w:val="superscript"/>
        </w:rPr>
        <w:t xml:space="preserve">2,3,18</w:t>
      </w:r>
      <w:r>
        <w:t xml:space="preserve">.</w:t>
      </w:r>
      <w:r>
        <w:t xml:space="preserve"> </w:t>
      </w:r>
      <w:r>
        <w:t xml:space="preserve">However, recent experimental and observational findings show that annual stem growth is not correlated with growing season length</w:t>
      </w:r>
      <w:r>
        <w:rPr>
          <w:vertAlign w:val="superscript"/>
        </w:rPr>
        <w:t xml:space="preserve">25</w:t>
      </w:r>
      <w:r>
        <w:t xml:space="preserve">, but rather can be limited by sink factors</w:t>
      </w:r>
      <w:r>
        <w:rPr>
          <w:vertAlign w:val="superscript"/>
        </w:rPr>
        <w:t xml:space="preserve">18,26–28</w:t>
      </w:r>
      <w:r>
        <w:t xml:space="preserve">,</w:t>
      </w:r>
      <w:r>
        <w:t xml:space="preserve"> </w:t>
      </w:r>
      <w:r>
        <w:t xml:space="preserve">and that positive effects of warm springs can be compensated by negative effects of accumulation of seasonal water deficits</w:t>
      </w:r>
      <w:r>
        <w:rPr>
          <w:vertAlign w:val="superscript"/>
        </w:rPr>
        <w:t xml:space="preserve">3</w:t>
      </w:r>
      <w:r>
        <w:t xml:space="preserve">.</w:t>
      </w:r>
      <w:r>
        <w:t xml:space="preserve"> </w:t>
      </w:r>
      <w:r>
        <w:t xml:space="preserve">These studies suggest that warmer spring temperatures may not have the expected positive effect on forest CO</w:t>
      </w:r>
      <w:r>
        <w:rPr>
          <w:vertAlign w:val="subscript"/>
        </w:rPr>
        <w:t xml:space="preserve">2</w:t>
      </w:r>
      <w:r>
        <w:t xml:space="preserve"> </w:t>
      </w:r>
      <w:r>
        <w:t xml:space="preserve">sequestration.</w:t>
      </w:r>
    </w:p>
    <w:p>
      <w:pPr>
        <w:pStyle w:val="BodyText"/>
      </w:pPr>
      <w:r>
        <w:t xml:space="preserve">While responses of leaf phenology and seasonal</w:t>
      </w:r>
      <w:r>
        <w:t xml:space="preserve"> </w:t>
      </w:r>
      <w:r>
        <w:rPr>
          <w:iCs/>
          <w:i/>
        </w:rPr>
        <w:t xml:space="preserve">NEE</w:t>
      </w:r>
      <w:r>
        <w:t xml:space="preserve"> </w:t>
      </w:r>
      <w:r>
        <w:t xml:space="preserve">to warming spring temperatures have been documented in the temperate deciduous biome and beyond,</w:t>
      </w:r>
      <w:r>
        <w:rPr>
          <w:vertAlign w:val="superscript"/>
        </w:rPr>
        <w:t xml:space="preserve">1–4,7–9</w:t>
      </w:r>
      <w:r>
        <w:t xml:space="preserve"> little is known about how the longest-lived component of fixed C in trees, the woody stem growth, is responding to warming spring temperatures in deciduous forests</w:t>
      </w:r>
      <w:r>
        <w:rPr>
          <w:vertAlign w:val="superscript"/>
        </w:rPr>
        <w:t xml:space="preserve">15</w:t>
      </w:r>
      <w:r>
        <w:t xml:space="preserve"> </w:t>
      </w:r>
      <w:r>
        <w:t xml:space="preserve">(but see Refs.</w:t>
      </w:r>
      <w:r>
        <w:rPr>
          <w:vertAlign w:val="superscript"/>
        </w:rPr>
        <w:t xml:space="preserve">29–31</w:t>
      </w:r>
      <w:r>
        <w:t xml:space="preserve"> </w:t>
      </w:r>
      <w:r>
        <w:t xml:space="preserve">for influence of spring temperatures on timing of growth in conifers).</w:t>
      </w:r>
      <w:r>
        <w:t xml:space="preserve"> </w:t>
      </w:r>
      <w:r>
        <w:t xml:space="preserve">The timing of angiosperm stem growth and its climate sensitivity is linked to annual growth</w:t>
      </w:r>
      <w:r>
        <w:rPr>
          <w:vertAlign w:val="superscript"/>
        </w:rPr>
        <w:t xml:space="preserve">25,28,32–34</w:t>
      </w:r>
      <w:r>
        <w:t xml:space="preserve">; however, the role of spring temperatures in shaping the timing and amount of growth remains unclear</w:t>
      </w:r>
      <w:r>
        <w:rPr>
          <w:vertAlign w:val="superscript"/>
        </w:rPr>
        <w:t xml:space="preserve">15</w:t>
      </w:r>
      <w:r>
        <w:t xml:space="preserve">.</w:t>
      </w:r>
    </w:p>
    <w:p>
      <w:pPr>
        <w:pStyle w:val="BodyText"/>
      </w:pPr>
      <w:r>
        <w:t xml:space="preserve"> </w:t>
      </w:r>
      <w:r>
        <w:t xml:space="preserve">Three cambial processes drive the relationship between stem growth and woody productivity: cell differentiation, cell enlargement, and cell wall thickening. Irreversible stem expansion occurs as a result of differentiation (20% of stem growth) and expansion (80% of stem growth), and accounts for ~10% of annual woody productivity</w:t>
      </w:r>
      <w:r>
        <w:rPr>
          <w:vertAlign w:val="superscript"/>
        </w:rPr>
        <w:t xml:space="preserve">35</w:t>
      </w:r>
      <w:r>
        <w:t xml:space="preserve">. The remaining 90% of woody productivity is caused by cell wall thickening. It would stand to reason that years with identical stem growth have a similar number of cells which are similarly sized (increased latewood can be an issue here, as you acknowledge). If we assume that cell wall thickness is controlled by processes within the tree (ie. hormonal responses instead of external climate drivers), then we can predict that cell wall thickness is relatively uniform within each cell type (early wood and late wood). Therefore, years with a similar amount of stem growth would sequester a similar amount of carbon during cell wall thickening, and we can say that stem growth equates to woody productivity.</w:t>
      </w:r>
    </w:p>
    <w:p>
      <w:pPr>
        <w:pStyle w:val="BodyText"/>
      </w:pPr>
      <w:r>
        <w:t xml:space="preserve">Tree-ring records, which can be used to examine relationships of annual growth to temperature but not to understand growth seasonality, reveal that growth of temperate deciduous trees tends to be most sensitive to temperature or potential evapotranspiration between late spring and early summer</w:t>
      </w:r>
      <w:r>
        <w:rPr>
          <w:vertAlign w:val="superscript"/>
        </w:rPr>
        <w:t xml:space="preserve">36,37</w:t>
      </w:r>
      <w:r>
        <w:t xml:space="preserve">, with some hints that warmer springs may have a modest positive effect on growth</w:t>
      </w:r>
      <w:r>
        <w:rPr>
          <w:vertAlign w:val="superscript"/>
        </w:rPr>
        <w:t xml:space="preserve">37</w:t>
      </w:r>
      <w:r>
        <w:t xml:space="preserve">.</w:t>
      </w:r>
      <w:r>
        <w:t xml:space="preserve"> </w:t>
      </w:r>
      <w:r>
        <w:t xml:space="preserve">Thus, tree-ring evidence does not necessarily align with the finding that warming spring temperatures increase annual forest CO</w:t>
      </w:r>
      <w:r>
        <w:rPr>
          <w:vertAlign w:val="subscript"/>
        </w:rPr>
        <w:t xml:space="preserve">2</w:t>
      </w:r>
      <w:r>
        <w:t xml:space="preserve"> </w:t>
      </w:r>
      <w:r>
        <w:t xml:space="preserve">uptake</w:t>
      </w:r>
      <w:r>
        <w:rPr>
          <w:vertAlign w:val="superscript"/>
        </w:rPr>
        <w:t xml:space="preserve">2</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early spring temperatures affect peak stem growth timing, growth rates, and annual growth of temperate deciduous trees across eastern North America.</w:t>
      </w:r>
      <w:r>
        <w:t xml:space="preserve"> </w:t>
      </w:r>
      <w:r>
        <w:t xml:space="preserve">To test whether warmer springs extend the period of peak stem growth, we used dendrometer band measurements on 463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123 trees from 2011-2020) and Harvard Forest (Massachusetts, USA; n = 340 trees from 1998-2003), we fit a logistic growth model</w:t>
      </w:r>
      <w:r>
        <w:rPr>
          <w:vertAlign w:val="superscript"/>
        </w:rPr>
        <w:t xml:space="preserve">38</w:t>
      </w:r>
      <w:r>
        <w:t xml:space="preserve"> </w:t>
      </w:r>
      <w:r>
        <w:t xml:space="preserve">to determine the days of year (DOY)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the maximum daily growth rates (</w:t>
      </w:r>
      <m:oMath>
        <m:sSub>
          <m:e>
            <m:r>
              <m:t>g</m:t>
            </m:r>
          </m:e>
          <m:sub>
            <m:r>
              <m:t>m</m:t>
            </m:r>
            <m:r>
              <m:t>a</m:t>
            </m:r>
            <m:r>
              <m:t>x</m:t>
            </m:r>
          </m:sub>
        </m:sSub>
      </m:oMath>
      <w:r>
        <w:t xml:space="preserve">) and the DOY on which it occurred (</w:t>
      </w:r>
      <m:oMath>
        <m:r>
          <m:t>D</m:t>
        </m:r>
        <m:r>
          <m:t>O</m:t>
        </m:r>
        <m:sSub>
          <m:e>
            <m:r>
              <m:t>Y</m:t>
            </m:r>
          </m:e>
          <m:sub>
            <m:sSub>
              <m:e>
                <m:r>
                  <m:t>g</m:t>
                </m:r>
              </m:e>
              <m:sub>
                <m:r>
                  <m:t>m</m:t>
                </m:r>
                <m:r>
                  <m:t>a</m:t>
                </m:r>
                <m:r>
                  <m:t>x</m:t>
                </m:r>
              </m:sub>
            </m:sSub>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(69 trees at SCBI and 138 trees at Harvard Forest) and diffuse-porous (54 trees at SCBI and 202 trees at Harvard Forest) species, which differ in the seasonal timing of growth</w:t>
      </w:r>
      <w:r>
        <w:rPr>
          <w:vertAlign w:val="superscript"/>
        </w:rPr>
        <w:t xml:space="preserve">32,33</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6964679"/>
            <wp:effectExtent b="0" l="0" r="0" t="0"/>
            <wp:docPr descr="Figure 1 | Summary of temperate deciduous tree growth responses to warmer spring temperatures. (a) Schematic illustrating parameters of interest and summarizing how each responds to warmer maximum temperatures during a ‘critical temperature window’, defined as the period with the strongest control over DOY_{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significant increases and decreases, respectively,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6964679"/>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significant increases and decreases, respectively,</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Seasonal milestones for both canopy foliage phenology and stem growth occurred 6-10 days earlier, on average, at SCBI than at Harvard Forest (Fig. 2, Extended Data Table 2).</w:t>
      </w:r>
      <w:r>
        <w:t xml:space="preserve"> </w:t>
      </w:r>
      <w:r>
        <w:t xml:space="preserve">Consistent with the results of Ref</w:t>
      </w:r>
      <w:r>
        <w:rPr>
          <w:vertAlign w:val="superscript"/>
        </w:rPr>
        <w:t xml:space="preserve">32</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Peak 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 plot, where G = Greenup, M=Mid-greenup, P=peak, and S=Senescence (i.e., beginning of green-down). Panels (c-d) show the dates at which stem growth milestones were achieved, on average, for sampled populations of ring-porous and diffuse-porous trees at SCBI (2011-2020) and Harvard Forest (1998-2003). Mean DOY_{25}, DOY_{50}, and DOY_{75} were estimated using the Bayesian model visualized, with confidence intervals, in Extended Data Figure 4. Mean temperature was calculated for each xylem architecture/site combination over the respective critical T_{max} window, then turned into a ratio and assigned a color on a gradient where the coldest year in the sample is blue and the warmest is red. Leaf phenology years are colored according to temperature in the critical T_{max} window which had the best correlation with timing of greenup (ring-porous window at HF and diffuse-porous at SCBI)."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 plot, where G = Greenup, M=Mid-greenup, P=peak, and S=Senescence (i.e., beginning of green-down). Panels (c-d) show the dates at which stem growth milestones were achieved, on average, for sampled populations of ring-porous and diffuse-porous trees at SCBI (2011-2020) and Harvard Forest (1998-2003). Mean</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were estimated using the Bayesian model visualized, with confidence intervals, in Extended Data Figure 4. Mean temperature was calculated for each xylem architecture/site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 Leaf phenology years are colored according to temperature in the critical</w:t>
      </w:r>
      <w:r>
        <w:t xml:space="preserve"> </w:t>
      </w:r>
      <m:oMath>
        <m:sSub>
          <m:e>
            <m:r>
              <m:t>T</m:t>
            </m:r>
          </m:e>
          <m:sub>
            <m:r>
              <m:t>m</m:t>
            </m:r>
            <m:r>
              <m:t>a</m:t>
            </m:r>
            <m:r>
              <m:t>x</m:t>
            </m:r>
          </m:sub>
        </m:sSub>
      </m:oMath>
      <w:r>
        <w:t xml:space="preserve"> </w:t>
      </w:r>
      <w:r>
        <w:t xml:space="preserve">window which had the best correlation with timing of greenup (ring-porous window at HF and diffuse-porous at SCBI).</w:t>
      </w:r>
    </w:p>
    <w:p>
      <w:pPr>
        <w:pStyle w:val="BodyText"/>
      </w:pPr>
      <w:r>
        <w:t xml:space="preserve">Both MODIS-derived canopy foliage phenology and dendrometer band measurements of stem growth timing generally shifted backwards as spring temperatures increased (Fig. 2, Extended Data Figures 4-5).</w:t>
      </w:r>
      <w:r>
        <w:t xml:space="preserve"> </w:t>
      </w:r>
      <w:r>
        <w:t xml:space="preserve">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 growth timing were found using</w:t>
      </w:r>
      <w:r>
        <w:t xml:space="preserve"> </w:t>
      </w:r>
      <m:oMath>
        <m:sSub>
          <m:e>
            <m:r>
              <m:t>T</m:t>
            </m:r>
          </m:e>
          <m:sub>
            <m:r>
              <m:t>m</m:t>
            </m:r>
            <m:r>
              <m:t>a</m:t>
            </m:r>
            <m:r>
              <m:t>x</m:t>
            </m:r>
          </m:sub>
        </m:sSub>
      </m:oMath>
      <w:r>
        <w:t xml:space="preserve"> </w:t>
      </w:r>
      <w:r>
        <w:t xml:space="preserve">during a critical temperature window (CTW).</w:t>
      </w:r>
      <w:r>
        <w:t xml:space="preserve"> </w:t>
      </w:r>
      <w:r>
        <w:t xml:space="preserve">CTW was identified by measuring the correlation between all combinations of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from January 1 to mean</w:t>
      </w:r>
      <w:r>
        <w:t xml:space="preserve"> </w:t>
      </w:r>
      <m:oMath>
        <m:r>
          <m:t>D</m:t>
        </m:r>
        <m:r>
          <m:t>O</m:t>
        </m:r>
        <m:sSub>
          <m:e>
            <m:r>
              <m:t>Y</m:t>
            </m:r>
          </m:e>
          <m:sub>
            <m:r>
              <m:t>25</m:t>
            </m:r>
          </m:sub>
        </m:sSub>
      </m:oMath>
      <w:r>
        <w:t xml:space="preserve"> </w:t>
      </w:r>
      <w:r>
        <w:t xml:space="preserve">for each xylem architecture-site combination (Extended Data Figure 3).</w:t>
      </w:r>
      <w:r>
        <w:t xml:space="preserve"> </w:t>
      </w:r>
      <w:r>
        <w:t xml:space="preserve">The CTW was defined as the week(s) which had the strongest correlation with</w:t>
      </w:r>
      <w:r>
        <w:t xml:space="preserve"> </w:t>
      </w:r>
      <m:oMath>
        <m:r>
          <m:t>D</m:t>
        </m:r>
        <m:r>
          <m:t>O</m:t>
        </m:r>
        <m:sSub>
          <m:e>
            <m:r>
              <m:t>Y</m:t>
            </m:r>
          </m:e>
          <m:sub>
            <m:r>
              <m:t>25</m:t>
            </m:r>
          </m:sub>
        </m:sSub>
      </m:oMath>
      <w:r>
        <w:t xml:space="preserve">.</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CTW resulted in earlier achievement of phenological milestones.</w:t>
      </w:r>
      <w:r>
        <w:t xml:space="preserve"> </w:t>
      </w:r>
      <w:r>
        <w:t xml:space="preserve">Consistent with findings from previous studies</w:t>
      </w:r>
      <w:r>
        <w:rPr>
          <w:vertAlign w:val="superscript"/>
        </w:rPr>
        <w:t xml:space="preserve">40</w:t>
      </w:r>
      <w:r>
        <w:t xml:space="preserve">, leaf phenological milestones advanced at both sites (Fig. 2a-b, Extended Data Table 2), with greenup (DOY when EVI2 first crossed 15% of the segment EVI2 amplitude) advancing 4.5 days/</w:t>
      </w:r>
      <m:oMath>
        <m:sSup>
          <m:e>
            <m:r>
              <m:t>​</m:t>
            </m:r>
          </m:e>
          <m:sup>
            <m:r>
              <m:rPr>
                <m:sty m:val="p"/>
              </m:rPr>
              <m:t>∘</m:t>
            </m:r>
          </m:sup>
        </m:sSup>
      </m:oMath>
      <w:r>
        <w:t xml:space="preserve">C at SCBI (p=0.001) and 2.4 days/</w:t>
      </w:r>
      <w:r>
        <w:t xml:space="preserve"> </w:t>
      </w:r>
      <m:oMath>
        <m:sSup>
          <m:e>
            <m:r>
              <m:t>​</m:t>
            </m:r>
          </m:e>
          <m:sup>
            <m:r>
              <m:rPr>
                <m:sty m:val="p"/>
              </m:rPr>
              <m:t>∘</m:t>
            </m:r>
          </m:sup>
        </m:sSup>
      </m:oMath>
      <w:r>
        <w:t xml:space="preserve">C at Harvard Forest (p=0.1).</w:t>
      </w:r>
      <w:r>
        <w:t xml:space="preserve"> </w:t>
      </w:r>
      <w:r>
        <w:t xml:space="preserve">Similarly, at both sites, the stem growth milestones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(Figs. 1, 2c-d;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1.1-1.9 days/</w:t>
      </w:r>
      <w:r>
        <w:t xml:space="preserve"> </w:t>
      </w:r>
      <m:oMath>
        <m:sSup>
          <m:e>
            <m:r>
              <m:t>​</m:t>
            </m:r>
          </m:e>
          <m:sup>
            <m:r>
              <m:rPr>
                <m:sty m:val="p"/>
              </m:rPr>
              <m:t>∘</m:t>
            </m:r>
          </m:sup>
        </m:sSup>
      </m:oMath>
      <w:r>
        <w:t xml:space="preserve">C for ring-porous species and 3.5-3.6 days/</w:t>
      </w:r>
      <w:r>
        <w:t xml:space="preserve"> </w:t>
      </w:r>
      <m:oMath>
        <m:sSup>
          <m:e>
            <m:r>
              <m:t>​</m:t>
            </m:r>
          </m:e>
          <m:sup>
            <m:r>
              <m:rPr>
                <m:sty m:val="p"/>
              </m:rPr>
              <m:t>∘</m:t>
            </m:r>
          </m:sup>
        </m:sSup>
      </m:oMath>
      <w:r>
        <w:t xml:space="preserve">C for diffuse-porous species at SCBI, and 2.8-7.2 days/</w:t>
      </w:r>
      <w:r>
        <w:t xml:space="preserve"> </w:t>
      </w:r>
      <m:oMath>
        <m:sSup>
          <m:e>
            <m:r>
              <m:t>​</m:t>
            </m:r>
          </m:e>
          <m:sup>
            <m:r>
              <m:rPr>
                <m:sty m:val="p"/>
              </m:rPr>
              <m:t>∘</m:t>
            </m:r>
          </m:sup>
        </m:sSup>
      </m:oMath>
      <w:r>
        <w:t xml:space="preserve">C for ring-porous species and 6.6-7.9 days/</w:t>
      </w:r>
      <w:r>
        <w:t xml:space="preserve"> </w:t>
      </w:r>
      <m:oMath>
        <m:sSup>
          <m:e>
            <m:r>
              <m:t>​</m:t>
            </m:r>
          </m:e>
          <m:sup>
            <m:r>
              <m:rPr>
                <m:sty m:val="p"/>
              </m:rPr>
              <m:t>∘</m:t>
            </m:r>
          </m:sup>
        </m:sSup>
      </m:oMath>
      <w:r>
        <w:t xml:space="preserve">C for diffuse-porous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2a-b),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rPr>
                <m:sty m:val="p"/>
              </m:rP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37</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36</w:t>
      </w:r>
      <w:r>
        <w:t xml:space="preserve">.</w:t>
      </w:r>
      <w:r>
        <w:t xml:space="preserve"> </w:t>
      </w:r>
      <w:r>
        <w:t xml:space="preserve">In total, our analysis included 207 chronologies representing 24 broadleaf species at 108 sites distributed from Alabama (Lat = 34.35) to Michigan (Lat = 45.56)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the standardized ring-width index (RWI) was significantly (at p</w:t>
      </w:r>
      <w:r>
        <w:t xml:space="preserve"> </w:t>
      </w:r>
      <m:oMath>
        <m:r>
          <m:rPr>
            <m:sty m:val="p"/>
          </m:rP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ring-porous and 4 of 66 diffuse-porous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ring-porous and diffuse-porous species, respectively.</w:t>
      </w:r>
      <w:r>
        <w:t xml:space="preserve"> </w:t>
      </w:r>
      <m:oMath>
        <m:sSub>
          <m:e>
            <m:r>
              <m:t>T</m:t>
            </m:r>
          </m:e>
          <m:sub>
            <m:r>
              <m:t>m</m:t>
            </m:r>
            <m:r>
              <m:t>i</m:t>
            </m:r>
            <m:r>
              <m:t>n</m:t>
            </m:r>
          </m:sub>
        </m:sSub>
      </m:oMath>
      <w:r>
        <w:t xml:space="preserve"> </w:t>
      </w:r>
      <w:r>
        <w:t xml:space="preserve">generally exibited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4% of chronologies and significant negative correlations with June-July</w:t>
      </w:r>
      <w:r>
        <w:t xml:space="preserve"> </w:t>
      </w:r>
      <m:oMath>
        <m:sSub>
          <m:e>
            <m:r>
              <m:t>T</m:t>
            </m:r>
          </m:e>
          <m:sub>
            <m:r>
              <m:t>m</m:t>
            </m:r>
            <m:r>
              <m:t>a</m:t>
            </m:r>
            <m:r>
              <m:t>x</m:t>
            </m:r>
          </m:sub>
        </m:sSub>
      </m:oMath>
      <w:r>
        <w:t xml:space="preserve"> </w:t>
      </w:r>
      <w:r>
        <w:t xml:space="preserve">for 77% of chronologies, supporting that summer temperatures were the more important driver of annual stem growth (Extended Data Table 3).</w:t>
      </w:r>
    </w:p>
    <w:p>
      <w:pPr>
        <w:pStyle w:val="CaptionedFigure"/>
      </w:pPr>
      <w:r>
        <w:drawing>
          <wp:inline>
            <wp:extent cx="5943600" cy="5751078"/>
            <wp:effectExtent b="0" l="0" r="0" t="0"/>
            <wp:docPr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m:oMath>
        <m:sSub>
          <m:e>
            <m:r>
              <m:t>T</m:t>
            </m:r>
          </m:e>
          <m:sub>
            <m:r>
              <m:t>m</m:t>
            </m:r>
            <m:r>
              <m:t>a</m:t>
            </m:r>
            <m:r>
              <m:t>x</m:t>
            </m:r>
          </m:sub>
        </m:sSub>
      </m:oMath>
      <w:r>
        <w:rPr>
          <w:bCs/>
          <w:b/>
        </w:rPr>
        <w:t xml:space="preserve">), for 207 chronologies from 108 sites across eastern North America</w:t>
      </w:r>
      <w:r>
        <w:t xml:space="preserve"> </w:t>
      </w:r>
      <w:r>
        <w:t xml:space="preserve">(Extended Data Figure 1). Colors indicate the correlation between monthly</w:t>
      </w:r>
      <w:r>
        <w:t xml:space="preserve"> </w:t>
      </w:r>
      <m:oMath>
        <m:sSub>
          <m:e>
            <m:r>
              <m:t>T</m:t>
            </m:r>
          </m:e>
          <m:sub>
            <m:r>
              <m:t>m</m:t>
            </m:r>
            <m:r>
              <m:t>a</m:t>
            </m:r>
            <m:r>
              <m:t>x</m:t>
            </m:r>
          </m:sub>
        </m:sSub>
      </m:oMath>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m:oMath>
        <m:sSub>
          <m:e>
            <m:r>
              <m:t>T</m:t>
            </m:r>
          </m:e>
          <m:sub>
            <m:r>
              <m:t>m</m:t>
            </m:r>
            <m:r>
              <m:t>a</m:t>
            </m:r>
            <m:r>
              <m:t>x</m:t>
            </m:r>
          </m:sub>
        </m:sSub>
      </m:oMath>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m:oMath>
        <m:sSub>
          <m:e>
            <m:r>
              <m:t>T</m:t>
            </m:r>
          </m:e>
          <m:sub>
            <m:r>
              <m:t>m</m:t>
            </m:r>
            <m:r>
              <m:t>a</m:t>
            </m:r>
            <m:r>
              <m:t>x</m:t>
            </m:r>
          </m:sub>
        </m:sSub>
      </m:oMath>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growth but have little effect on total annual growth (Figs. 1- 3).</w:t>
      </w:r>
      <w:r>
        <w:t xml:space="preserve"> </w:t>
      </w:r>
      <w:r>
        <w:t xml:space="preserve">The observed advance in stem growth under warmer springs parallels phenological advances observed for canopy foliage (Fig. 2a-b)</w:t>
      </w:r>
      <w:r>
        <w:rPr>
          <w:vertAlign w:val="superscript"/>
        </w:rPr>
        <w:t xml:space="preserve">2,4,5</w:t>
      </w:r>
      <w:r>
        <w:t xml:space="preserve"> </w:t>
      </w:r>
      <w:r>
        <w:t xml:space="preserve">and</w:t>
      </w:r>
      <w:r>
        <w:t xml:space="preserve"> </w:t>
      </w:r>
      <w:r>
        <w:rPr>
          <w:iCs/>
          <w:i/>
        </w:rPr>
        <w:t xml:space="preserve">NEE</w:t>
      </w:r>
      <w:r>
        <w:rPr>
          <w:vertAlign w:val="superscript"/>
        </w:rPr>
        <w:t xml:space="preserve">2,4</w:t>
      </w:r>
      <w:r>
        <w:t xml:space="preserve">.</w:t>
      </w:r>
      <w:r>
        <w:t xml:space="preserve"> </w:t>
      </w:r>
      <w:r>
        <w:t xml:space="preserve">However, inconsistent with the concept that an earlier start to growth would increase annual woody productivity, we demonstrate that warmer springs hasten the cessation of stem expansion and thereby have negligible effect on total annual growth for most species and locations (Fig. 3).</w:t>
      </w:r>
      <w:r>
        <w:t xml:space="preserve"> </w:t>
      </w:r>
      <w:r>
        <w:t xml:space="preserve">We demonstrate that warmer springs either have little effect on, or even hasten, the cessation of peak stem expansion and thereby have negligible effect on total annual stem growth for most species and locations (Fig. 3).</w:t>
      </w:r>
      <w:r>
        <w:t xml:space="preserve"> </w:t>
      </w:r>
      <w:r>
        <w:t xml:space="preserve">Our observations suggest that the cessation of rapid stem expansion, which occurs mid-summer near the time of</w:t>
      </w:r>
      <w:r>
        <w:t xml:space="preserve"> </w:t>
      </w:r>
      <w:r>
        <w:t xml:space="preserve"> </w:t>
      </w:r>
      <w:r>
        <w:t xml:space="preserve">peak canopy greenness (Extended Data Figure 2)</w:t>
      </w:r>
      <w:r>
        <w:rPr>
          <w:vertAlign w:val="superscript"/>
        </w:rPr>
        <w:t xml:space="preserve">4,25</w:t>
      </w:r>
      <w:r>
        <w:t xml:space="preserve">, is likely driven by cues other than photosynthate limitation, such as water stress, daylength, or sink limitation</w:t>
      </w:r>
      <w:r>
        <w:rPr>
          <w:vertAlign w:val="superscript"/>
        </w:rPr>
        <w:t xml:space="preserve">18,25,26,28,34,41</w:t>
      </w:r>
      <w:r>
        <w:t xml:space="preserve">.</w:t>
      </w:r>
      <w:r>
        <w:t xml:space="preserve"> </w:t>
      </w:r>
      <w:r>
        <w:t xml:space="preserve">Our tree-ring analysis (Fig. 3) demonstrates that the primary effect of warming temperatures on annual ring-width is not an augmentation through an earlier start to growth, but rather a reduction associated to drought stress during the peak growing season</w:t>
      </w:r>
      <w:r>
        <w:rPr>
          <w:vertAlign w:val="superscript"/>
        </w:rPr>
        <w:t xml:space="preserve">25,36</w:t>
      </w:r>
      <w:r>
        <w:t xml:space="preserve">.</w:t>
      </w:r>
      <w:r>
        <w:t xml:space="preserve"> </w:t>
      </w:r>
      <w:r>
        <w:t xml:space="preserve">Warm springs may also amplify summer drought stress in some times and places, effectively canceling out any positive effects of an extended growing period</w:t>
      </w:r>
      <w:r>
        <w:rPr>
          <w:vertAlign w:val="superscript"/>
        </w:rPr>
        <w:t xml:space="preserve">3,42</w:t>
      </w:r>
      <w:r>
        <w:t xml:space="preserve">.</w:t>
      </w:r>
      <w:r>
        <w:t xml:space="preserve"> </w:t>
      </w:r>
      <w:r>
        <w:t xml:space="preserve">However, we did not find evidence that higher spring temperatures were correlated with summer drought stress in our dendrometer band analysis, implying that the effects of warm spring temperatures on stem growth elucidated here (Fig. 1) were not attributable to summer drought.</w:t>
      </w:r>
    </w:p>
    <w:p>
      <w:pPr>
        <w:pStyle w:val="BodyText"/>
      </w:pPr>
      <w:r>
        <w:t xml:space="preserve">Our finding that interannual variation in stem growth is more strongly linked to conditions during the peak growing season than to growing season length aligns with recent studies on annual stem growth</w:t>
      </w:r>
      <w:r>
        <w:rPr>
          <w:vertAlign w:val="superscript"/>
        </w:rPr>
        <w:t xml:space="preserve">25,28,33</w:t>
      </w:r>
      <w:r>
        <w:t xml:space="preserve"> </w:t>
      </w:r>
      <w:r>
        <w:t xml:space="preserve">and with parallel findings for</w:t>
      </w:r>
      <w:r>
        <w:t xml:space="preserve"> </w:t>
      </w:r>
      <w:r>
        <w:rPr>
          <w:iCs/>
          <w:i/>
        </w:rPr>
        <w:t xml:space="preserve">NEE</w:t>
      </w:r>
      <w:r>
        <w:rPr>
          <w:vertAlign w:val="superscript"/>
        </w:rPr>
        <w:t xml:space="preserve">13,14</w:t>
      </w:r>
      <w:r>
        <w:t xml:space="preserve">.</w:t>
      </w:r>
      <w:r>
        <w:t xml:space="preserve"> </w:t>
      </w:r>
      <w:r>
        <w:t xml:space="preserve">However, there is also a disconnect with findings that</w:t>
      </w:r>
      <w:r>
        <w:t xml:space="preserve"> </w:t>
      </w:r>
      <w:r>
        <w:rPr>
          <w:iCs/>
          <w:i/>
        </w:rPr>
        <w:t xml:space="preserve">NEE</w:t>
      </w:r>
      <w:r>
        <w:t xml:space="preserve"> </w:t>
      </w:r>
      <w:r>
        <w:t xml:space="preserve">is at least modestly greater in years with warm springs</w:t>
      </w:r>
      <w:r>
        <w:rPr>
          <w:vertAlign w:val="superscript"/>
        </w:rPr>
        <w:t xml:space="preserve">2</w:t>
      </w:r>
      <w:r>
        <w:t xml:space="preserve"> </w:t>
      </w:r>
      <w:r>
        <w:t xml:space="preserve">or long growing seasons</w:t>
      </w:r>
      <w:r>
        <w:rPr>
          <w:vertAlign w:val="superscript"/>
        </w:rPr>
        <w:t xml:space="preserve">4,13,14</w:t>
      </w:r>
      <w:r>
        <w:t xml:space="preserve">.</w:t>
      </w:r>
      <w:r>
        <w:t xml:space="preserve"> </w:t>
      </w:r>
      <w:r>
        <w:t xml:space="preserve">Warming advances spring phenology and may advance or delay autumn senescence depending on timing of warming and water availability</w:t>
      </w:r>
      <w:r>
        <w:rPr>
          <w:vertAlign w:val="superscript"/>
        </w:rPr>
        <w:t xml:space="preserve">12,43,44</w:t>
      </w:r>
      <w:r>
        <w:t xml:space="preserve">, with delays more common across eastern North America,</w:t>
      </w:r>
      <w:r>
        <w:rPr>
          <w:vertAlign w:val="superscript"/>
        </w:rPr>
        <w:t xml:space="preserve">2–4</w:t>
      </w:r>
      <w:r>
        <w:t xml:space="preserve"> implying that warming temperatures are lengthening the period from peak stem growth to the cessation of CO</w:t>
      </w:r>
      <w:r>
        <w:rPr>
          <w:vertAlign w:val="subscript"/>
        </w:rPr>
        <w:t xml:space="preserve">2</w:t>
      </w:r>
      <w:r>
        <w:t xml:space="preserve"> </w:t>
      </w:r>
      <w:r>
        <w:t xml:space="preserve">uptake by the ecosystem.</w:t>
      </w:r>
      <w:r>
        <w:t xml:space="preserve"> </w:t>
      </w:r>
      <w:r>
        <w:t xml:space="preserve">We show that the extra C fixation in years with warm springs does not substantially augment stem growth, but it remains unclear how it is allocated within the ecosystem.</w:t>
      </w:r>
      <w:r>
        <w:t xml:space="preserve"> </w:t>
      </w:r>
      <w:r>
        <w:t xml:space="preserve">There are two main possibilities, which hold contrasting implications for the response of forest C balance to rising spring temperatures.</w:t>
      </w:r>
    </w:p>
    <w:p>
      <w:pPr>
        <w:pStyle w:val="BodyText"/>
      </w:pPr>
      <w:r>
        <w:t xml:space="preserve">One possibility is that extra photosynthate in years with warm springs may be allocated to woody growth without affecting diameter growth in the current year.</w:t>
      </w:r>
      <w:r>
        <w:t xml:space="preserve"> </w:t>
      </w:r>
      <w:r>
        <w:t xml:space="preserve">It is theoretically possible that extra C is allocated to cell wall thickening, a process that lags behind stem expansion</w:t>
      </w:r>
      <w:r>
        <w:rPr>
          <w:vertAlign w:val="superscript"/>
        </w:rPr>
        <w:t xml:space="preserve">35</w:t>
      </w:r>
      <w:r>
        <w:t xml:space="preserve">, or to a thicker layer of higher-density latewood, resulting in formation of more C-dense wood in years with warm springs.</w:t>
      </w:r>
      <w:r>
        <w:t xml:space="preserve"> </w:t>
      </w:r>
      <w:r>
        <w:t xml:space="preserve">However, existing evidence indicates that warm springs have a neutral or negative effect on latewood width</w:t>
      </w:r>
      <w:r>
        <w:rPr>
          <w:vertAlign w:val="superscript"/>
        </w:rPr>
        <w:t xml:space="preserve">45–47</w:t>
      </w:r>
      <w:r>
        <w:t xml:space="preserve">, which is more strongly controlled by summer drought stress</w:t>
      </w:r>
      <w:r>
        <w:rPr>
          <w:vertAlign w:val="superscript"/>
        </w:rPr>
        <w:t xml:space="preserve">45,46</w:t>
      </w:r>
      <w:r>
        <w:t xml:space="preserve">, suggesting that a positive effect of warm springs on the total C content of annual rings is unlikely.</w:t>
      </w:r>
      <w:r>
        <w:t xml:space="preserve"> </w:t>
      </w:r>
      <w:r>
        <w:t xml:space="preserve">Extra C could also be saved within trees as non-structural carbohydrates and used towards growth the following year</w:t>
      </w:r>
      <w:r>
        <w:rPr>
          <w:vertAlign w:val="superscript"/>
        </w:rPr>
        <w:t xml:space="preserve">48,49</w:t>
      </w:r>
      <w:r>
        <w:t xml:space="preserve">, potentially including an earlier start to growth</w:t>
      </w:r>
      <w:r>
        <w:rPr>
          <w:vertAlign w:val="superscript"/>
        </w:rPr>
        <w:t xml:space="preserve">41</w:t>
      </w:r>
      <w:r>
        <w:t xml:space="preserve">.</w:t>
      </w:r>
      <w:r>
        <w:t xml:space="preserve"> </w:t>
      </w:r>
      <w:r>
        <w:t xml:space="preserve">Extension of our tree-ring analysis revealed weak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7), although predominantly positive (non-significant) correlations in RP species suggests that this dynamic may weakly influence their annual growth.</w:t>
      </w:r>
      <w:r>
        <w:t xml:space="preserve"> </w:t>
      </w:r>
      <w:r>
        <w:t xml:space="preserve">Thus, warm springs are unlikely to provide substantial, sustained C sinks under warming spring temperatures.</w:t>
      </w:r>
    </w:p>
    <w:p>
      <w:pPr>
        <w:pStyle w:val="BodyText"/>
      </w:pPr>
      <w:r>
        <w:t xml:space="preserve">A second possibility is that any additional C fixed during years with warm springs may be allocated to plant functions other than stem growth, including respiration, reproduction, and production of foliage, roots</w:t>
      </w:r>
      <w:r>
        <w:rPr>
          <w:vertAlign w:val="superscript"/>
        </w:rPr>
        <w:t xml:space="preserve">27</w:t>
      </w:r>
      <w:r>
        <w:t xml:space="preserve">, or root exudates.</w:t>
      </w:r>
      <w:r>
        <w:t xml:space="preserve"> </w:t>
      </w:r>
      <w:r>
        <w:t xml:space="preserve">Much of this C would have a relatively short residence time within the ecosystem, and C loss through fall or winter respiration may offset gains from an earlier spring</w:t>
      </w:r>
      <w:r>
        <w:rPr>
          <w:vertAlign w:val="superscript"/>
        </w:rPr>
        <w:t xml:space="preserve">3,50</w:t>
      </w:r>
      <w:r>
        <w:t xml:space="preserve">.</w:t>
      </w:r>
      <w:r>
        <w:t xml:space="preserve"> </w:t>
      </w:r>
      <w:r>
        <w:t xml:space="preserve">However, C allocated to nonstructural carbohydrates or relatively short-lived plant tissues would typically remain in the ecosystem beyond the end of the year</w:t>
      </w:r>
      <w:r>
        <w:rPr>
          <w:vertAlign w:val="superscript"/>
        </w:rPr>
        <w:t xml:space="preserve">48</w:t>
      </w:r>
      <w:r>
        <w:t xml:space="preserve">, such that the long-term effect of warm springs on the forest C balance would not be captured in analyses of interannual variation</w:t>
      </w:r>
      <w:r>
        <w:rPr>
          <w:vertAlign w:val="superscript"/>
        </w:rPr>
        <w:t xml:space="preserve">2,13,14</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2,4,10,11</w:t>
      </w:r>
      <w:r>
        <w:t xml:space="preserve"> </w:t>
      </w:r>
      <w:r>
        <w:t xml:space="preserve">– as opposed to their interannual variation – showed increasing trends in both variables, suggesting that the C not allocated to woody productivity within the current year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As discussed above, temporal lags between C uptake and release imply that the full effects of warm spring temperatures on forest woody productivity and C cycling are unlikely to be apparent in analyses of interannual variation (including this analysis)</w:t>
      </w:r>
      <w:r>
        <w:rPr>
          <w:vertAlign w:val="superscript"/>
        </w:rPr>
        <w:t xml:space="preserve">51</w:t>
      </w:r>
      <w:r>
        <w:t xml:space="preserve">.</w:t>
      </w:r>
      <w:r>
        <w:t xml:space="preserve"> </w:t>
      </w:r>
      <w:r>
        <w:t xml:space="preserve">Moreover, acclimation of trees to warming temperatures</w:t>
      </w:r>
      <w:r>
        <w:rPr>
          <w:vertAlign w:val="superscript"/>
        </w:rPr>
        <w:t xml:space="preserve">52</w:t>
      </w:r>
      <w:r>
        <w:t xml:space="preserve"> </w:t>
      </w:r>
      <w:r>
        <w:t xml:space="preserve">and, on longer time scales, species adaptations and shifts in community composition</w:t>
      </w:r>
      <w:r>
        <w:rPr>
          <w:vertAlign w:val="superscript"/>
        </w:rPr>
        <w:t xml:space="preserve">53</w:t>
      </w:r>
      <w:r>
        <w:t xml:space="preserve"> </w:t>
      </w:r>
      <w:r>
        <w:t xml:space="preserve">are likely to alter the seasonality of forest C cycling.</w:t>
      </w:r>
      <w:r>
        <w:t xml:space="preserve"> </w:t>
      </w:r>
      <w:r>
        <w:t xml:space="preserve">If we look across spatial gradients where the latter have had time to play out, we see that warmer spring temperatures are associated with earlier leaf-out</w:t>
      </w:r>
      <w:r>
        <w:rPr>
          <w:vertAlign w:val="superscript"/>
        </w:rPr>
        <w:t xml:space="preserve">6</w:t>
      </w:r>
      <w:r>
        <w:t xml:space="preserve"> </w:t>
      </w:r>
      <w:r>
        <w:t xml:space="preserve">and longer growing seasons, which in turn are correlated with greater tree growth</w:t>
      </w:r>
      <w:r>
        <w:rPr>
          <w:vertAlign w:val="superscript"/>
        </w:rPr>
        <w:t xml:space="preserve">54</w:t>
      </w:r>
      <w:r>
        <w:t xml:space="preserve">, woody productivity</w:t>
      </w:r>
      <w:r>
        <w:rPr>
          <w:vertAlign w:val="superscript"/>
        </w:rPr>
        <w:t xml:space="preserve">55</w:t>
      </w:r>
      <w:r>
        <w:t xml:space="preserve">, and</w:t>
      </w:r>
      <w:r>
        <w:t xml:space="preserve"> </w:t>
      </w:r>
      <w:r>
        <w:rPr>
          <w:iCs/>
          <w:i/>
        </w:rPr>
        <w:t xml:space="preserve">NEE</w:t>
      </w:r>
      <w:r>
        <w:rPr>
          <w:vertAlign w:val="superscript"/>
        </w:rPr>
        <w:t xml:space="preserve">56</w:t>
      </w:r>
      <w:r>
        <w:t xml:space="preserve">.</w:t>
      </w:r>
      <w:r>
        <w:t xml:space="preserve"> </w:t>
      </w:r>
      <w:r>
        <w:t xml:space="preserve">Thus, warming spring temperatures are expected to increase the biophysical potential for annual tree growth, but that potential is not being realized on an interannual time frame.</w:t>
      </w:r>
    </w:p>
    <w:p>
      <w:pPr>
        <w:pStyle w:val="BodyText"/>
      </w:pPr>
      <w:r>
        <w:t xml:space="preserve">As climate change accelerates and spring temperatures become increasingly warmer, growing seasons will start earlier; however, barring rapid acclimation of forests to the warming conditions, an earlier onset of growth in the spring is unlikely to provide the sustained increase in CO</w:t>
      </w:r>
      <w:r>
        <w:rPr>
          <w:vertAlign w:val="subscript"/>
        </w:rPr>
        <w:t xml:space="preserve">2</w:t>
      </w:r>
      <w:r>
        <w:t xml:space="preserve"> </w:t>
      </w:r>
      <w:r>
        <w:t xml:space="preserve">sequestration and ensuant negative climate change feedback that is anticipated in most climate forecasting models</w:t>
      </w:r>
      <w:r>
        <w:rPr>
          <w:vertAlign w:val="superscript"/>
        </w:rPr>
        <w:t xml:space="preserve">2,3,18,19</w:t>
      </w:r>
      <w:r>
        <w:t xml:space="preserve">.</w:t>
      </w:r>
      <w:r>
        <w:t xml:space="preserve"> </w:t>
      </w:r>
      <w:r>
        <w:t xml:space="preserve">Rather, the dominant effect of rising temperatures on forest woody productivity will be a negative effect of high summer temperatures,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57</w:t>
      </w:r>
      <w:r>
        <w:t xml:space="preserve"> </w:t>
      </w:r>
      <w:r>
        <w:t xml:space="preserve">and Harvard Forest</w:t>
      </w:r>
      <w:r>
        <w:rPr>
          <w:vertAlign w:val="superscript"/>
        </w:rPr>
        <w:t xml:space="preserve">4,32</w:t>
      </w:r>
      <w:r>
        <w:t xml:space="preserve">, both part of the Forest Global Earth Observatory (ForestGEO)</w:t>
      </w:r>
      <w:r>
        <w:rPr>
          <w:vertAlign w:val="superscript"/>
        </w:rPr>
        <w:t xml:space="preserve">58,59</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57</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37</w:t>
      </w:r>
      <w:r>
        <w:t xml:space="preserve">.</w:t>
      </w:r>
      <w:r>
        <w:t xml:space="preserve"> </w:t>
      </w:r>
      <w:r>
        <w:t xml:space="preserve">The climate is humid temperate, with 1950-2019 mean annual precipitation of 1018 mm and temperatures averaging 1° C in January and 24° C in July</w:t>
      </w:r>
      <w:r>
        <w:rPr>
          <w:vertAlign w:val="superscript"/>
        </w:rPr>
        <w:t xml:space="preserve">54</w:t>
      </w:r>
      <w:r>
        <w:t xml:space="preserv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 C in January and 22° C in July</w:t>
      </w:r>
      <w:r>
        <w:rPr>
          <w:vertAlign w:val="superscript"/>
        </w:rPr>
        <w:t xml:space="preserve">54</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ring-porous species at SCBI and eight diffuse- and three ring-porous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Timing of measurements at Harvard Forest were similar, with the median start date of April 23 and median end date of October 30.</w:t>
      </w:r>
      <w:r>
        <w:t xml:space="preserve"> </w:t>
      </w:r>
      <w:r>
        <w:t xml:space="preserve">1999 was an anomalous year where initial measurements were taken on January 5, but not taken again until April 15.</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manually inspected before analysis.</w:t>
      </w:r>
      <w:r>
        <w:t xml:space="preserve"> </w:t>
      </w:r>
      <w:r>
        <w:t xml:space="preserve">We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p>
    <w:p>
      <w:pPr>
        <w:pStyle w:val="BodyText"/>
      </w:pPr>
      <w:r>
        <w:t xml:space="preserve">We fit a five-parameter logistic growth model</w:t>
      </w:r>
      <w:r>
        <w:rPr>
          <w:vertAlign w:val="superscript"/>
        </w:rPr>
        <w:t xml:space="preserve">38</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The DOY on which maximum growth occurs,</w:t>
      </w:r>
      <w:r>
        <w:t xml:space="preserve"> </w:t>
      </w:r>
      <m:oMath>
        <m:r>
          <m:t>D</m:t>
        </m:r>
        <m:r>
          <m:t>O</m:t>
        </m:r>
        <m:sSub>
          <m:e>
            <m:r>
              <m:t>Y</m:t>
            </m:r>
          </m:e>
          <m:sub>
            <m:sSub>
              <m:e>
                <m:r>
                  <m:t>g</m:t>
                </m:r>
              </m:e>
              <m:sub>
                <m:r>
                  <m:t>m</m:t>
                </m:r>
                <m:r>
                  <m:t>a</m:t>
                </m:r>
                <m:r>
                  <m:t>x</m:t>
                </m:r>
              </m:sub>
            </m:sSub>
          </m:sub>
        </m:sSub>
      </m:oMath>
      <w:r>
        <w:t xml:space="preserve"> </w:t>
      </w:r>
      <w:r>
        <w:t xml:space="preserve">(Fig. 1), occurs on</w:t>
      </w:r>
      <w:r>
        <w:t xml:space="preserve"> </w:t>
      </w:r>
      <m:oMath>
        <m:r>
          <m:t>D</m:t>
        </m:r>
        <m:r>
          <m:t>O</m:t>
        </m:r>
        <m:sSub>
          <m:e>
            <m:r>
              <m:t>Y</m:t>
            </m:r>
          </m:e>
          <m:sub>
            <m:r>
              <m:t>i</m:t>
            </m:r>
            <m:r>
              <m:t>p</m:t>
            </m:r>
          </m:sub>
        </m:sSub>
      </m:oMath>
      <w:r>
        <w:t xml:space="preserve"> </w:t>
      </w:r>
      <w:r>
        <w:t xml:space="preserve">when</w:t>
      </w:r>
      <w:r>
        <w:t xml:space="preserve"> </w:t>
      </w:r>
      <m:oMath>
        <m:r>
          <m:t>θ</m:t>
        </m:r>
        <m:r>
          <m:rPr>
            <m:sty m:val="p"/>
          </m:rPr>
          <m:t>=</m:t>
        </m:r>
        <m:r>
          <m:t>1</m:t>
        </m:r>
      </m:oMath>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38</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38,60</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certain modeled growth characteristics fell outside of the logical range.</w:t>
      </w:r>
      <w:r>
        <w:t xml:space="preserve"> </w:t>
      </w:r>
      <w:r>
        <w:t xml:space="preserve">Modeled fits for tree-years were removed under five conditions:</w:t>
      </w:r>
      <w:r>
        <w:t xml:space="preserve"> </w:t>
      </w:r>
      <w:r>
        <w:t xml:space="preserve">(1) single day growth rates were</w:t>
      </w:r>
      <w:r>
        <w:t xml:space="preserve"> </w:t>
      </w:r>
      <m:oMath>
        <m:r>
          <m:rPr>
            <m:sty m:val="p"/>
          </m:rPr>
          <m:t>≥</m:t>
        </m:r>
        <m:r>
          <m:t>2</m:t>
        </m:r>
      </m:oMath>
      <w:r>
        <w:t xml:space="preserve"> </w:t>
      </w:r>
      <w:r>
        <w:t xml:space="preserve">standard deviations away from the mean for each xylem architecture (SCBI = 26, Harvard Forest = 24);</w:t>
      </w:r>
      <w:r>
        <w:t xml:space="preserve"> </w:t>
      </w:r>
      <w:r>
        <w:t xml:space="preserve">(2) timing variables (</w:t>
      </w:r>
      <m:oMath>
        <m:r>
          <m:t>D</m:t>
        </m:r>
        <m:r>
          <m:t>O</m:t>
        </m:r>
        <m:sSub>
          <m:e>
            <m:r>
              <m:t>Y</m:t>
            </m:r>
          </m:e>
          <m:sub>
            <m:r>
              <m:t>i</m:t>
            </m:r>
            <m:r>
              <m:t>p</m:t>
            </m:r>
          </m:sub>
        </m:sSub>
      </m:oMath>
      <w:r>
        <w:t xml:space="preserve">,</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were</w:t>
      </w:r>
      <w:r>
        <w:t xml:space="preserve"> </w:t>
      </w:r>
      <m:oMath>
        <m:r>
          <m:rPr>
            <m:sty m:val="p"/>
          </m:rPr>
          <m:t>≥</m:t>
        </m:r>
        <m:r>
          <m:t>3</m:t>
        </m:r>
      </m:oMath>
      <w:r>
        <w:t xml:space="preserve"> </w:t>
      </w:r>
      <w:r>
        <w:t xml:space="preserve">standard deviations away from the means for their xylem architecture group, year, and site (SCBI = 71, Harvard Forest = 226);</w:t>
      </w:r>
      <w:r>
        <w:t xml:space="preserve"> </w:t>
      </w:r>
      <w:r>
        <w:t xml:space="preserve">(3) tree-years with small or negligible total growth (</w:t>
      </w:r>
      <m:oMath>
        <m:r>
          <m:t>Δ</m:t>
        </m:r>
        <m:r>
          <m:t>D</m:t>
        </m:r>
        <m:r>
          <m:t>B</m:t>
        </m:r>
        <m:r>
          <m:t>H</m:t>
        </m:r>
      </m:oMath>
      <w:r>
        <w:t xml:space="preserve"> </w:t>
      </w:r>
      <m:oMath>
        <m:r>
          <m:rPr>
            <m:sty m:val="p"/>
          </m:rPr>
          <m:t>≤</m:t>
        </m:r>
        <m:r>
          <m:t>0.05</m:t>
        </m:r>
      </m:oMath>
      <w:r>
        <w:t xml:space="preserve"> </w:t>
      </w:r>
      <w:r>
        <w:t xml:space="preserve">mm; SCBI = 8, Harvard Forest = 137);</w:t>
      </w:r>
      <w:r>
        <w:t xml:space="preserve"> </w:t>
      </w:r>
      <w:r>
        <w:t xml:space="preserve">(4) tree years where first intraannual measurement was later than the first spring survey (trees that were missed in the initial census; SCBI = 20, HF = 6).</w:t>
      </w:r>
      <w:r>
        <w:t xml:space="preserve"> </w:t>
      </w:r>
      <w:r>
        <w:t xml:space="preserve">At both sites the tag years removed through this method were proportional to the original sample size, indicating that no species or size class was disproportionately removed compared to others.</w:t>
      </w:r>
      <w:r>
        <w:t xml:space="preserve"> </w:t>
      </w:r>
      <w:r>
        <w:t xml:space="preserve">This process was repeated using 2.5 and 3 standard deviations and the results of analyses were not qualitatively different.</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61</w:t>
      </w:r>
      <w:r>
        <w:t xml:space="preserve"> </w:t>
      </w:r>
      <w:r>
        <w:t xml:space="preserve">via Google Earth Engine.</w:t>
      </w:r>
      <w:r>
        <w:t xml:space="preserve"> </w:t>
      </w:r>
      <w:r>
        <w:t xml:space="preserve">For each year at each site, we extracted data from the pixel containing the center of each forest plot (resolution of 500m).</w:t>
      </w:r>
      <w:r>
        <w:t xml:space="preserve"> </w:t>
      </w:r>
      <w:r>
        <w:t xml:space="preserve">Using the daily MODIS 2-band Enhanced Vegetation Index data (EVI2), the product yields the timing of phenometrics (vegetation phenology) over each year, including timing of greenup, midgreenup, and senescence as used in this study.</w:t>
      </w:r>
      <w:r>
        <w:t xml:space="preserve"> </w:t>
      </w:r>
      <w:r>
        <w:t xml:space="preserve">Data points were kept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62</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63</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64,65</w:t>
      </w:r>
      <w:r>
        <w:t xml:space="preserve">.</w:t>
      </w:r>
      <w:r>
        <w:t xml:space="preserve"> </w:t>
      </w:r>
      <w:r>
        <w:t xml:space="preserve">For each site, we used records of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p>
    <w:p>
      <w:pPr>
        <w:pStyle w:val="BodyText"/>
      </w:pPr>
      <w:r>
        <w:t xml:space="preserve">The critical temperature window (CTW,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Cs/>
          <w:i/>
        </w:rPr>
        <w:t xml:space="preserve">climwin</w:t>
      </w:r>
      <w:r>
        <w:rPr>
          <w:vertAlign w:val="superscript"/>
        </w:rPr>
        <w:t xml:space="preserve">66</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defined CTW for</w:t>
      </w:r>
      <w:r>
        <w:t xml:space="preserve"> </w:t>
      </w:r>
      <m:oMath>
        <m:r>
          <m:t>D</m:t>
        </m:r>
        <m:r>
          <m:t>O</m:t>
        </m:r>
        <m:sSub>
          <m:e>
            <m:r>
              <m:t>Y</m:t>
            </m:r>
          </m:e>
          <m:sub>
            <m:r>
              <m:t>25</m:t>
            </m:r>
          </m:sub>
        </m:sSub>
      </m:oMath>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to be the month of April.</w:t>
      </w:r>
      <w:r>
        <w:t xml:space="preserve"> </w:t>
      </w:r>
      <w:r>
        <w:t xml:space="preserve">This was consistent with the periods identified by</w:t>
      </w:r>
      <w:r>
        <w:t xml:space="preserve"> </w:t>
      </w:r>
      <w:r>
        <w:rPr>
          <w:iCs/>
          <w:i/>
        </w:rPr>
        <w:t xml:space="preserve">climwin</w:t>
      </w:r>
      <w:r>
        <w:t xml:space="preserve"> </w:t>
      </w:r>
      <w:r>
        <w:t xml:space="preserve">for ring- and diffuse-porous species groups at both sites, all of which included all or part of April (Extended Data Table 2).</w:t>
      </w:r>
    </w:p>
    <w:p>
      <w:pPr>
        <w:pStyle w:val="BodyText"/>
      </w:pPr>
      <w:r>
        <w:t xml:space="preserve">Correlation between the dendrometer 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r>
                  <m:t>a</m:t>
                </m:r>
                <m:r>
                  <m:t>x</m:t>
                </m:r>
              </m:sub>
            </m:sSub>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CTW, along with random effects of species and of individual tree.</w:t>
      </w:r>
      <w:r>
        <w:t xml:space="preserve"> </w:t>
      </w:r>
      <w:r>
        <w:t xml:space="preserve">We ran separate models for each site, and for the response of all growth parameters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67,68</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Standardized Precipitation Evapotranspiration Index</w:t>
      </w:r>
      <w:r>
        <w:rPr>
          <w:vertAlign w:val="superscript"/>
        </w:rPr>
        <w:t xml:space="preserve">69</w:t>
      </w:r>
      <w:r>
        <w:t xml:space="preserve">.</w:t>
      </w:r>
      <w:r>
        <w:t xml:space="preserve"> </w:t>
      </w:r>
      <w:r>
        <w:t xml:space="preserve">The latter was obtained from the ForestGEO Climate Data Portal v1.0 (</w:t>
      </w:r>
      <w:hyperlink r:id="rId27">
        <w:r>
          <w:rPr>
            <w:rStyle w:val="Hyperlink"/>
          </w:rPr>
          <w:t xml:space="preserve">https://forestgeo.github.io/Climate/</w:t>
        </w:r>
      </w:hyperlink>
      <w:r>
        <w:t xml:space="preserve">)</w:t>
      </w:r>
      <w:r>
        <w:rPr>
          <w:vertAlign w:val="superscript"/>
        </w:rPr>
        <w:t xml:space="preserve">62,70,71</w:t>
      </w:r>
      <w:r>
        <w:t xml:space="preserve">.</w:t>
      </w:r>
      <w:r>
        <w:t xml:space="preserve"> </w:t>
      </w:r>
      <w:r>
        <w:t xml:space="preserve">Linear models were run with 4-, 6-, and 12-month SPEI values of June, July, and August vs April</w:t>
      </w:r>
      <w:r>
        <w:t xml:space="preserve"> </w:t>
      </w:r>
      <m:oMath>
        <m:sSub>
          <m:e>
            <m:r>
              <m:t>T</m:t>
            </m:r>
          </m:e>
          <m:sub>
            <m:r>
              <m:t>m</m:t>
            </m:r>
            <m:r>
              <m:t>a</m:t>
            </m:r>
            <m:r>
              <m:t>x</m:t>
            </m:r>
          </m:sub>
        </m:sSub>
      </m:oMath>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72</w:t>
      </w:r>
      <w:r>
        <w:t xml:space="preserve">.</w:t>
      </w:r>
    </w:p>
    <w:p>
      <w:pPr>
        <w:pStyle w:val="BodyText"/>
      </w:pPr>
      <w:r>
        <w:t xml:space="preserve">Dominant tree species were cored at both SCBI</w:t>
      </w:r>
      <w:r>
        <w:rPr>
          <w:vertAlign w:val="superscript"/>
        </w:rPr>
        <w:t xml:space="preserve">37,57</w:t>
      </w:r>
      <w:r>
        <w:t xml:space="preserve"> </w:t>
      </w:r>
      <w:r>
        <w:t xml:space="preserve">and Harvard Forest</w:t>
      </w:r>
      <w:r>
        <w:rPr>
          <w:vertAlign w:val="superscript"/>
        </w:rPr>
        <w:t xml:space="preserve">4,73,74</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36,75</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76</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76,77</w:t>
      </w:r>
      <w:r>
        <w:t xml:space="preserve">.</w:t>
      </w:r>
      <w:r>
        <w:t xml:space="preserve"> </w:t>
      </w:r>
      <w:r>
        <w:t xml:space="preserve">An adaptive power transformation, a process that also stabilises the variance over time</w:t>
      </w:r>
      <w:r>
        <w:rPr>
          <w:vertAlign w:val="superscript"/>
        </w:rPr>
        <w:t xml:space="preserve">78</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79</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77</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80</w:t>
      </w:r>
      <w:r>
        <w:t xml:space="preserve"> </w:t>
      </w:r>
      <w:r>
        <w:t xml:space="preserve">Correlations between monthly climate and</w:t>
      </w:r>
      <w:r>
        <w:t xml:space="preserve"> </w:t>
      </w:r>
      <m:oMath>
        <m:r>
          <m:t>R</m:t>
        </m:r>
        <m:r>
          <m:t>W</m:t>
        </m:r>
        <m:r>
          <m:t>I</m:t>
        </m:r>
      </m:oMath>
      <w:r>
        <w:t xml:space="preserve"> </w:t>
      </w:r>
      <w:r>
        <w:t xml:space="preserve">were assessed using</w:t>
      </w:r>
      <w:r>
        <w:t xml:space="preserve"> </w:t>
      </w:r>
      <w:r>
        <w:rPr>
          <w:iCs/>
          <w:i/>
        </w:rPr>
        <w:t xml:space="preserve">dplR</w:t>
      </w:r>
      <w:r>
        <w:rPr>
          <w:vertAlign w:val="superscript"/>
        </w:rPr>
        <w:t xml:space="preserve">81</w:t>
      </w:r>
      <w:r>
        <w:t xml:space="preserve"> </w:t>
      </w:r>
      <w:r>
        <w:t xml:space="preserve">and</w:t>
      </w:r>
      <w:r>
        <w:t xml:space="preserve"> </w:t>
      </w:r>
      <w:r>
        <w:rPr>
          <w:iCs/>
          <w:i/>
        </w:rPr>
        <w:t xml:space="preserve">bootRes</w:t>
      </w:r>
      <w:r>
        <w:rPr>
          <w:vertAlign w:val="superscript"/>
        </w:rPr>
        <w:t xml:space="preserve">82</w:t>
      </w:r>
      <w:r>
        <w:t xml:space="preserve"> </w:t>
      </w:r>
      <w:r>
        <w:t xml:space="preserve">in R v 4.0 (R Core Team, 2020), which correlated functions and bootstrapped confidence intervals for these relationships</w:t>
      </w:r>
      <w:r>
        <w:rPr>
          <w:vertAlign w:val="superscript"/>
        </w:rPr>
        <w:t xml:space="preserve">83</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April-August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and members of the ForestGEO Ecosystems &amp; Climate Lab at SCBI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3"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5">
        <w:r>
          <w:rPr>
            <w:rStyle w:val="Hyperlink"/>
          </w:rPr>
          <w:t xml:space="preserve">https://github.com/SCBI-ForestGEO/Dendrobands</w:t>
        </w:r>
      </w:hyperlink>
      <w:r>
        <w:t xml:space="preserve">), which is archived in Zenodo (DOI 10.5281/zenodo.5551143), and for Harvard Forest via the Harvard Forest Data Archive (</w:t>
      </w:r>
      <w:hyperlink r:id="rId36">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7">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 downloaded on [DATE].</w:t>
      </w:r>
      <w:r>
        <w:t xml:space="preserve"> </w:t>
      </w:r>
      <w:r>
        <w:t xml:space="preserve">Weather data for Harvard Forest are available through the Harvard Forest Data Archive (</w:t>
      </w:r>
      <w:hyperlink r:id="rId38">
        <w:r>
          <w:rPr>
            <w:rStyle w:val="Hyperlink"/>
          </w:rPr>
          <w:t xml:space="preserve">https://harvardforest1.fas.harvard.edu/exist/apps/datasets/showData.html?id=HF001</w:t>
        </w:r>
      </w:hyperlink>
      <w:r>
        <w:t xml:space="preserve"> </w:t>
      </w:r>
      <w:r>
        <w:t xml:space="preserve">AND</w:t>
      </w:r>
      <w:r>
        <w:t xml:space="preserve"> </w:t>
      </w:r>
      <w:hyperlink r:id="rId39">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0">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1">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2">
        <w:r>
          <w:rPr>
            <w:rStyle w:val="Hyperlink"/>
          </w:rPr>
          <w:t xml:space="preserve">https://developers.google.com/earth-engine/datasets/catalog/MODIS_006_MCD12Q2#description</w:t>
        </w:r>
      </w:hyperlink>
      <w:r>
        <w:t xml:space="preserve">).</w:t>
      </w:r>
      <w:r>
        <w:t xml:space="preserve"> </w:t>
      </w:r>
      <w:r>
        <w:t xml:space="preserve">Original tree cores are archived at the institutions of various members of the author team and will be made available upon reasonable request.</w:t>
      </w:r>
      <w:r>
        <w:t xml:space="preserve"> </w:t>
      </w:r>
    </w:p>
    <w:bookmarkEnd w:id="43"/>
    <w:bookmarkStart w:id="46"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4">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45">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6"/>
    <w:bookmarkStart w:id="4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7"/>
    <w:bookmarkStart w:id="142" w:name="References"/>
    <w:p>
      <w:pPr>
        <w:pStyle w:val="Heading1"/>
      </w:pPr>
      <w:r>
        <w:t xml:space="preserve">References</w:t>
      </w:r>
    </w:p>
    <w:bookmarkStart w:id="141" w:name="refs"/>
    <w:bookmarkStart w:id="4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8"/>
    <w:bookmarkStart w:id="4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9"/>
    <w:bookmarkStart w:id="5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0"/>
    <w:bookmarkStart w:id="51"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1"/>
    <w:bookmarkStart w:id="52"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52"/>
    <w:bookmarkStart w:id="54" w:name="ref-delgado_differences_2020"/>
    <w:p>
      <w:pPr>
        <w:pStyle w:val="Bibliography"/>
      </w:pPr>
      <w:r>
        <w:t xml:space="preserve">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53">
        <w:r>
          <w:rPr>
            <w:rStyle w:val="Hyperlink"/>
          </w:rPr>
          <w:t xml:space="preserve">10.1073/pnas.2002713117</w:t>
        </w:r>
      </w:hyperlink>
      <w:r>
        <w:t xml:space="preserve">.</w:t>
      </w:r>
    </w:p>
    <w:bookmarkEnd w:id="54"/>
    <w:bookmarkStart w:id="55" w:name="ref-menzel_growing_1999"/>
    <w:p>
      <w:pPr>
        <w:pStyle w:val="Bibliography"/>
      </w:pPr>
      <w:r>
        <w:t xml:space="preserve">7.</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55"/>
    <w:bookmarkStart w:id="56" w:name="ref-menzel_european_2006"/>
    <w:p>
      <w:pPr>
        <w:pStyle w:val="Bibliography"/>
      </w:pPr>
      <w:r>
        <w:t xml:space="preserve">8.</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6"/>
    <w:bookmarkStart w:id="57" w:name="ref-ibanez_forecasting_2010"/>
    <w:p>
      <w:pPr>
        <w:pStyle w:val="Bibliography"/>
      </w:pPr>
      <w:r>
        <w:t xml:space="preserve">9.</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57"/>
    <w:bookmarkStart w:id="58" w:name="ref-keeling_increased_1996"/>
    <w:p>
      <w:pPr>
        <w:pStyle w:val="Bibliography"/>
      </w:pPr>
      <w:r>
        <w:t xml:space="preserve">10.</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8"/>
    <w:bookmarkStart w:id="59" w:name="ref-dragoni_evidence_2011"/>
    <w:p>
      <w:pPr>
        <w:pStyle w:val="Bibliography"/>
      </w:pPr>
      <w:r>
        <w:t xml:space="preserve">11.</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9"/>
    <w:bookmarkStart w:id="60" w:name="ref-crabbe_extreme_2016"/>
    <w:p>
      <w:pPr>
        <w:pStyle w:val="Bibliography"/>
      </w:pPr>
      <w:r>
        <w:t xml:space="preserve">12.</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60"/>
    <w:bookmarkStart w:id="61" w:name="ref-zhou_explaining_2016"/>
    <w:p>
      <w:pPr>
        <w:pStyle w:val="Bibliography"/>
      </w:pPr>
      <w:r>
        <w:t xml:space="preserve">13.</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61"/>
    <w:bookmarkStart w:id="62" w:name="ref-fu_maximum_2019"/>
    <w:p>
      <w:pPr>
        <w:pStyle w:val="Bibliography"/>
      </w:pPr>
      <w:r>
        <w:t xml:space="preserve">14.</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62"/>
    <w:bookmarkStart w:id="63" w:name="ref-savage_coordination_2021"/>
    <w:p>
      <w:pPr>
        <w:pStyle w:val="Bibliography"/>
      </w:pPr>
      <w:r>
        <w:t xml:space="preserve">15.</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63"/>
    <w:bookmarkStart w:id="64" w:name="ref-xue_global_2017"/>
    <w:p>
      <w:pPr>
        <w:pStyle w:val="Bibliography"/>
      </w:pPr>
      <w:r>
        <w:t xml:space="preserve">16.</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4"/>
    <w:bookmarkStart w:id="65" w:name="ref-russell_residence_2014"/>
    <w:p>
      <w:pPr>
        <w:pStyle w:val="Bibliography"/>
      </w:pPr>
      <w:r>
        <w:t xml:space="preserve">17.</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5"/>
    <w:bookmarkStart w:id="66" w:name="ref-zani_increased_2020"/>
    <w:p>
      <w:pPr>
        <w:pStyle w:val="Bibliography"/>
      </w:pPr>
      <w:r>
        <w:t xml:space="preserve">18.</w:t>
      </w:r>
      <w:r>
        <w:t xml:space="preserve"> </w:t>
      </w:r>
      <w:r>
        <w:t xml:space="preserve">	</w:t>
      </w:r>
      <w:r>
        <w:t xml:space="preserve">Zani, D., Crowther, T. W., Mo, L., Renner, S. S. &amp; Zohner, C. M. Increased growing-season productivity drives earlier autumn leaf senescence in temperate trees. 7 (2020).</w:t>
      </w:r>
    </w:p>
    <w:bookmarkEnd w:id="66"/>
    <w:bookmarkStart w:id="67" w:name="ref-ahlstrom_robustness_2012"/>
    <w:p>
      <w:pPr>
        <w:pStyle w:val="Bibliography"/>
      </w:pPr>
      <w:r>
        <w:t xml:space="preserve">19.</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7"/>
    <w:bookmarkStart w:id="69" w:name="ref-friedlingstein_global_2021"/>
    <w:p>
      <w:pPr>
        <w:pStyle w:val="Bibliography"/>
      </w:pPr>
      <w:r>
        <w:t xml:space="preserve">20.</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2021.</w:t>
      </w:r>
      <w:r>
        <w:t xml:space="preserve"> </w:t>
      </w:r>
      <w:r>
        <w:rPr>
          <w:iCs/>
          <w:i/>
        </w:rPr>
        <w:t xml:space="preserve">Earth System Science Data Discussions</w:t>
      </w:r>
      <w:r>
        <w:t xml:space="preserve"> </w:t>
      </w:r>
      <w:r>
        <w:t xml:space="preserve">1–191 (2021) doi:</w:t>
      </w:r>
      <w:hyperlink r:id="rId68">
        <w:r>
          <w:rPr>
            <w:rStyle w:val="Hyperlink"/>
          </w:rPr>
          <w:t xml:space="preserve">10.5194/essd-2021-386</w:t>
        </w:r>
      </w:hyperlink>
      <w:r>
        <w:t xml:space="preserve">.</w:t>
      </w:r>
    </w:p>
    <w:bookmarkEnd w:id="69"/>
    <w:bookmarkStart w:id="71" w:name="ref-harris_global_2021"/>
    <w:p>
      <w:pPr>
        <w:pStyle w:val="Bibliography"/>
      </w:pPr>
      <w:r>
        <w:t xml:space="preserve">21.</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70">
        <w:r>
          <w:rPr>
            <w:rStyle w:val="Hyperlink"/>
          </w:rPr>
          <w:t xml:space="preserve">10.1038/s41558-020-00976-6</w:t>
        </w:r>
      </w:hyperlink>
      <w:r>
        <w:t xml:space="preserve">.</w:t>
      </w:r>
    </w:p>
    <w:bookmarkEnd w:id="71"/>
    <w:bookmarkStart w:id="72" w:name="ref-pugh_role_2019"/>
    <w:p>
      <w:pPr>
        <w:pStyle w:val="Bibliography"/>
      </w:pPr>
      <w:r>
        <w:t xml:space="preserve">22.</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72"/>
    <w:bookmarkStart w:id="73" w:name="ref-arora_carbon_2020"/>
    <w:p>
      <w:pPr>
        <w:pStyle w:val="Bibliography"/>
      </w:pPr>
      <w:r>
        <w:t xml:space="preserve">23.</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73"/>
    <w:bookmarkStart w:id="74" w:name="ref-friedlingstein_global_2020"/>
    <w:p>
      <w:pPr>
        <w:pStyle w:val="Bibliography"/>
      </w:pPr>
      <w:r>
        <w:t xml:space="preserve">24.</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4"/>
    <w:bookmarkStart w:id="75" w:name="ref-etzold_number_2022"/>
    <w:p>
      <w:pPr>
        <w:pStyle w:val="Bibliography"/>
      </w:pPr>
      <w:r>
        <w:t xml:space="preserve">25.</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n/a</w:t>
      </w:r>
      <w:r>
        <w:t xml:space="preserve">, (2022).</w:t>
      </w:r>
    </w:p>
    <w:bookmarkEnd w:id="75"/>
    <w:bookmarkStart w:id="76" w:name="ref-keenan_timing_2015"/>
    <w:p>
      <w:pPr>
        <w:pStyle w:val="Bibliography"/>
      </w:pPr>
      <w:r>
        <w:t xml:space="preserve">26.</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76"/>
    <w:bookmarkStart w:id="77" w:name="ref-zohner_how_2021"/>
    <w:p>
      <w:pPr>
        <w:pStyle w:val="Bibliography"/>
      </w:pPr>
      <w:r>
        <w:t xml:space="preserve">27.</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77"/>
    <w:bookmarkStart w:id="78" w:name="ref-delpierre_wood_2016"/>
    <w:p>
      <w:pPr>
        <w:pStyle w:val="Bibliography"/>
      </w:pPr>
      <w:r>
        <w:t xml:space="preserve">28.</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8"/>
    <w:bookmarkStart w:id="79" w:name="ref-huang_photoperiod_2020"/>
    <w:p>
      <w:pPr>
        <w:pStyle w:val="Bibliography"/>
      </w:pPr>
      <w:r>
        <w:t xml:space="preserve">29.</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79"/>
    <w:bookmarkStart w:id="80" w:name="ref-delpierre_chilling_2019"/>
    <w:p>
      <w:pPr>
        <w:pStyle w:val="Bibliography"/>
      </w:pPr>
      <w:r>
        <w:t xml:space="preserve">30.</w:t>
      </w:r>
      <w:r>
        <w:t xml:space="preserve"> </w:t>
      </w:r>
      <w:r>
        <w:t xml:space="preserve">	</w:t>
      </w:r>
      <w:r>
        <w:t xml:space="preserve">Delpierre, N.</w:t>
      </w:r>
      <w:r>
        <w:t xml:space="preserve"> </w:t>
      </w:r>
      <w:r>
        <w:rPr>
          <w:iCs/>
          <w:i/>
        </w:rPr>
        <w:t xml:space="preserve">et al.</w:t>
      </w:r>
      <w:r>
        <w:t xml:space="preserve"> Chilling and forcing temperatures interact to predict the onset of wood formation in</w:t>
      </w:r>
      <w:r>
        <w:t xml:space="preserve"> </w:t>
      </w:r>
      <w:r>
        <w:t xml:space="preserve">Northern Hemisphere</w:t>
      </w:r>
      <w:r>
        <w:t xml:space="preserve"> </w:t>
      </w:r>
      <w:r>
        <w:t xml:space="preserve">conifers.</w:t>
      </w:r>
      <w:r>
        <w:t xml:space="preserve"> </w:t>
      </w:r>
      <w:r>
        <w:rPr>
          <w:iCs/>
          <w:i/>
        </w:rPr>
        <w:t xml:space="preserve">Global Change Biology</w:t>
      </w:r>
      <w:r>
        <w:t xml:space="preserve"> </w:t>
      </w:r>
      <w:r>
        <w:rPr>
          <w:bCs/>
          <w:b/>
        </w:rPr>
        <w:t xml:space="preserve">25</w:t>
      </w:r>
      <w:r>
        <w:t xml:space="preserve">, 1089–1105 (2019).</w:t>
      </w:r>
    </w:p>
    <w:bookmarkEnd w:id="80"/>
    <w:bookmarkStart w:id="81" w:name="ref-rossi_critical_2008"/>
    <w:p>
      <w:pPr>
        <w:pStyle w:val="Bibliography"/>
      </w:pPr>
      <w:r>
        <w:t xml:space="preserve">31.</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81"/>
    <w:bookmarkStart w:id="83" w:name="ref-dorangeville_peak_2021"/>
    <w:p>
      <w:pPr>
        <w:pStyle w:val="Bibliography"/>
      </w:pPr>
      <w:r>
        <w:t xml:space="preserve">32.</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82">
        <w:r>
          <w:rPr>
            <w:rStyle w:val="Hyperlink"/>
          </w:rPr>
          <w:t xml:space="preserve">10.1093/treephys/tpab101</w:t>
        </w:r>
      </w:hyperlink>
      <w:r>
        <w:t xml:space="preserve">.</w:t>
      </w:r>
    </w:p>
    <w:bookmarkEnd w:id="83"/>
    <w:bookmarkStart w:id="84" w:name="ref-tumajer_limitation_2022"/>
    <w:p>
      <w:pPr>
        <w:pStyle w:val="Bibliography"/>
      </w:pPr>
      <w:r>
        <w:t xml:space="preserve">33.</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n/a</w:t>
      </w:r>
      <w:r>
        <w:t xml:space="preserve">, (2022).</w:t>
      </w:r>
    </w:p>
    <w:bookmarkEnd w:id="84"/>
    <w:bookmarkStart w:id="85" w:name="ref-zweifel_why_2021"/>
    <w:p>
      <w:pPr>
        <w:pStyle w:val="Bibliography"/>
      </w:pPr>
      <w:r>
        <w:t xml:space="preserve">34.</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85"/>
    <w:bookmarkStart w:id="86" w:name="ref-cuny_woody_2015"/>
    <w:p>
      <w:pPr>
        <w:pStyle w:val="Bibliography"/>
      </w:pPr>
      <w:r>
        <w:t xml:space="preserve">35.</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86"/>
    <w:bookmarkStart w:id="87" w:name="ref-dorangeville_drought_2018"/>
    <w:p>
      <w:pPr>
        <w:pStyle w:val="Bibliography"/>
      </w:pPr>
      <w:r>
        <w:t xml:space="preserve">36.</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7"/>
    <w:bookmarkStart w:id="88" w:name="ref-helcoski_growing_2019"/>
    <w:p>
      <w:pPr>
        <w:pStyle w:val="Bibliography"/>
      </w:pPr>
      <w:r>
        <w:t xml:space="preserve">37.</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88"/>
    <w:bookmarkStart w:id="89" w:name="ref-mcmahon_general_2015"/>
    <w:p>
      <w:pPr>
        <w:pStyle w:val="Bibliography"/>
      </w:pPr>
      <w:r>
        <w:t xml:space="preserve">38.</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89"/>
    <w:bookmarkStart w:id="90" w:name="ref-parmesan_globally_2003"/>
    <w:p>
      <w:pPr>
        <w:pStyle w:val="Bibliography"/>
      </w:pPr>
      <w:r>
        <w:t xml:space="preserve">39.</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90"/>
    <w:bookmarkStart w:id="91" w:name="ref-friedl_tale_2014"/>
    <w:p>
      <w:pPr>
        <w:pStyle w:val="Bibliography"/>
      </w:pPr>
      <w:r>
        <w:t xml:space="preserve">40.</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91"/>
    <w:bookmarkStart w:id="92" w:name="ref-fu_variation_2014"/>
    <w:p>
      <w:pPr>
        <w:pStyle w:val="Bibliography"/>
      </w:pPr>
      <w:r>
        <w:t xml:space="preserve">41.</w:t>
      </w:r>
      <w:r>
        <w:t xml:space="preserve"> </w:t>
      </w:r>
      <w:r>
        <w:t xml:space="preserve">	</w:t>
      </w:r>
      <w:r>
        <w:t xml:space="preserve">Fu, Y. S. H.</w:t>
      </w:r>
      <w:r>
        <w:t xml:space="preserve"> </w:t>
      </w:r>
      <w:r>
        <w:rPr>
          <w:iCs/>
          <w:i/>
        </w:rPr>
        <w:t xml:space="preserve">et al.</w:t>
      </w:r>
      <w:r>
        <w:t xml:space="preserve"> Variation in leaf flushing date influences autumnal senescence and next year’s flushing date in two temperate tree species.</w:t>
      </w:r>
      <w:r>
        <w:t xml:space="preserve"> </w:t>
      </w:r>
      <w:r>
        <w:rPr>
          <w:iCs/>
          <w:i/>
        </w:rPr>
        <w:t xml:space="preserve">Proceedings of the National Academy of Sciences</w:t>
      </w:r>
      <w:r>
        <w:t xml:space="preserve"> </w:t>
      </w:r>
      <w:r>
        <w:rPr>
          <w:bCs/>
          <w:b/>
        </w:rPr>
        <w:t xml:space="preserve">111</w:t>
      </w:r>
      <w:r>
        <w:t xml:space="preserve">, 7355–7360 (2014).</w:t>
      </w:r>
    </w:p>
    <w:bookmarkEnd w:id="92"/>
    <w:bookmarkStart w:id="93" w:name="ref-zhang_drought_2021"/>
    <w:p>
      <w:pPr>
        <w:pStyle w:val="Bibliography"/>
      </w:pPr>
      <w:r>
        <w:t xml:space="preserve">42.</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93"/>
    <w:bookmarkStart w:id="94" w:name="ref-zohner_ongoing_2019"/>
    <w:p>
      <w:pPr>
        <w:pStyle w:val="Bibliography"/>
      </w:pPr>
      <w:r>
        <w:t xml:space="preserve">43.</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94"/>
    <w:bookmarkStart w:id="95" w:name="ref-xie_predicting_2018"/>
    <w:p>
      <w:pPr>
        <w:pStyle w:val="Bibliography"/>
      </w:pPr>
      <w:r>
        <w:t xml:space="preserve">44.</w:t>
      </w:r>
      <w:r>
        <w:t xml:space="preserve"> </w:t>
      </w:r>
      <w:r>
        <w:t xml:space="preserve">	</w:t>
      </w:r>
      <w:r>
        <w:t xml:space="preserve">Xie, Y., Wang, X., Wilson, A. M. &amp; Silander, J. A. Predicting autumn phenology:</w:t>
      </w:r>
      <w:r>
        <w:t xml:space="preserve"> </w:t>
      </w:r>
      <w:r>
        <w:t xml:space="preserve">How</w:t>
      </w:r>
      <w:r>
        <w:t xml:space="preserve"> </w:t>
      </w:r>
      <w:r>
        <w:t xml:space="preserve">deciduous tree species respond to weather stressors.</w:t>
      </w:r>
      <w:r>
        <w:t xml:space="preserve"> </w:t>
      </w:r>
      <w:r>
        <w:rPr>
          <w:iCs/>
          <w:i/>
        </w:rPr>
        <w:t xml:space="preserve">Agricultural and Forest Meteorology</w:t>
      </w:r>
      <w:r>
        <w:t xml:space="preserve"> </w:t>
      </w:r>
      <w:r>
        <w:rPr>
          <w:bCs/>
          <w:b/>
        </w:rPr>
        <w:t xml:space="preserve">250–251</w:t>
      </w:r>
      <w:r>
        <w:t xml:space="preserve">, 127–137 (2018).</w:t>
      </w:r>
    </w:p>
    <w:bookmarkEnd w:id="95"/>
    <w:bookmarkStart w:id="96" w:name="ref-tardif_influence_2006"/>
    <w:p>
      <w:pPr>
        <w:pStyle w:val="Bibliography"/>
      </w:pPr>
      <w:r>
        <w:t xml:space="preserve">45.</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96"/>
    <w:bookmarkStart w:id="97" w:name="ref-roibu_climatic_2020"/>
    <w:p>
      <w:pPr>
        <w:pStyle w:val="Bibliography"/>
      </w:pPr>
      <w:r>
        <w:t xml:space="preserve">46.</w:t>
      </w:r>
      <w:r>
        <w:t xml:space="preserve"> </w:t>
      </w:r>
      <w:r>
        <w:t xml:space="preserve">	</w:t>
      </w:r>
      <w:r>
        <w:t xml:space="preserve">Roibu, C.-C.</w:t>
      </w:r>
      <w:r>
        <w:t xml:space="preserve"> </w:t>
      </w:r>
      <w:r>
        <w:rPr>
          <w:iCs/>
          <w:i/>
        </w:rPr>
        <w:t xml:space="preserve">et al.</w:t>
      </w:r>
      <w:r>
        <w:t xml:space="preserve"> The</w:t>
      </w:r>
      <w:r>
        <w:t xml:space="preserve"> </w:t>
      </w:r>
      <w:r>
        <w:t xml:space="preserve">Climatic Response</w:t>
      </w:r>
      <w:r>
        <w:t xml:space="preserve"> </w:t>
      </w:r>
      <w:r>
        <w:t xml:space="preserve">of</w:t>
      </w:r>
      <w:r>
        <w:t xml:space="preserve"> </w:t>
      </w:r>
      <w:r>
        <w:t xml:space="preserve">Tree Ring Width Components</w:t>
      </w:r>
      <w:r>
        <w:t xml:space="preserve"> </w:t>
      </w:r>
      <w:r>
        <w:t xml:space="preserve">of</w:t>
      </w:r>
      <w:r>
        <w:t xml:space="preserve"> </w:t>
      </w:r>
      <w:r>
        <w:t xml:space="preserve">Ash</w:t>
      </w:r>
      <w:r>
        <w:t xml:space="preserve"> </w:t>
      </w:r>
      <w:r>
        <w:t xml:space="preserve">(</w:t>
      </w:r>
      <w:r>
        <w:t xml:space="preserve">Fraxinus</w:t>
      </w:r>
      <w:r>
        <w:t xml:space="preserve"> </w:t>
      </w:r>
      <w:r>
        <w:t xml:space="preserve">excelsior</w:t>
      </w:r>
      <w:r>
        <w:t xml:space="preserve"> </w:t>
      </w:r>
      <w:r>
        <w:t xml:space="preserve">L</w:t>
      </w:r>
      <w:r>
        <w:t xml:space="preserve">.) And</w:t>
      </w:r>
      <w:r>
        <w:t xml:space="preserve"> </w:t>
      </w:r>
      <w:r>
        <w:t xml:space="preserve">Common Oak</w:t>
      </w:r>
      <w:r>
        <w:t xml:space="preserve"> </w:t>
      </w:r>
      <w:r>
        <w:t xml:space="preserve">(</w:t>
      </w:r>
      <w:r>
        <w:t xml:space="preserve">Quercus</w:t>
      </w:r>
      <w:r>
        <w:t xml:space="preserve"> </w:t>
      </w:r>
      <w:r>
        <w:t xml:space="preserve">robur</w:t>
      </w:r>
      <w:r>
        <w:t xml:space="preserve"> </w:t>
      </w:r>
      <w:r>
        <w:t xml:space="preserve">L</w:t>
      </w:r>
      <w:r>
        <w:t xml:space="preserve">.) From</w:t>
      </w:r>
      <w:r>
        <w:t xml:space="preserve"> </w:t>
      </w:r>
      <w:r>
        <w:t xml:space="preserve">Eastern Europe</w:t>
      </w:r>
      <w:r>
        <w:t xml:space="preserve">.</w:t>
      </w:r>
      <w:r>
        <w:t xml:space="preserve"> </w:t>
      </w:r>
      <w:r>
        <w:rPr>
          <w:iCs/>
          <w:i/>
        </w:rPr>
        <w:t xml:space="preserve">Forests</w:t>
      </w:r>
      <w:r>
        <w:t xml:space="preserve"> </w:t>
      </w:r>
      <w:r>
        <w:rPr>
          <w:bCs/>
          <w:b/>
        </w:rPr>
        <w:t xml:space="preserve">11</w:t>
      </w:r>
      <w:r>
        <w:t xml:space="preserve">, 600 (2020).</w:t>
      </w:r>
    </w:p>
    <w:bookmarkEnd w:id="97"/>
    <w:bookmarkStart w:id="98" w:name="ref-kern_multiple_2013"/>
    <w:p>
      <w:pPr>
        <w:pStyle w:val="Bibliography"/>
      </w:pPr>
      <w:r>
        <w:t xml:space="preserve">47.</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98"/>
    <w:bookmarkStart w:id="99" w:name="ref-trumbore_quantifying_2002"/>
    <w:p>
      <w:pPr>
        <w:pStyle w:val="Bibliography"/>
      </w:pPr>
      <w:r>
        <w:t xml:space="preserve">48.</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99"/>
    <w:bookmarkStart w:id="100" w:name="ref-richardson_seasonal_2013"/>
    <w:p>
      <w:pPr>
        <w:pStyle w:val="Bibliography"/>
      </w:pPr>
      <w:r>
        <w:t xml:space="preserve">49.</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100"/>
    <w:bookmarkStart w:id="101" w:name="ref-oishi_warmer_2018"/>
    <w:p>
      <w:pPr>
        <w:pStyle w:val="Bibliography"/>
      </w:pPr>
      <w:r>
        <w:t xml:space="preserve">50.</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101"/>
    <w:bookmarkStart w:id="102" w:name="ref-kannenberg_linking_2019"/>
    <w:p>
      <w:pPr>
        <w:pStyle w:val="Bibliography"/>
      </w:pPr>
      <w:r>
        <w:t xml:space="preserve">51.</w:t>
      </w:r>
      <w:r>
        <w:t xml:space="preserve"> </w:t>
      </w:r>
      <w:r>
        <w:t xml:space="preserve">	</w:t>
      </w:r>
      <w:r>
        <w:t xml:space="preserve">Kannenberg, S. A.</w:t>
      </w:r>
      <w:r>
        <w:t xml:space="preserve"> </w:t>
      </w:r>
      <w:r>
        <w:rPr>
          <w:iCs/>
          <w:i/>
        </w:rPr>
        <w:t xml:space="preserve">et al.</w:t>
      </w:r>
      <w:r>
        <w:t xml:space="preserve"> Linking drought legacy effects across scales:</w:t>
      </w:r>
      <w:r>
        <w:t xml:space="preserve"> </w:t>
      </w:r>
      <w:r>
        <w:t xml:space="preserve">From</w:t>
      </w:r>
      <w:r>
        <w:t xml:space="preserve"> </w:t>
      </w:r>
      <w:r>
        <w:t xml:space="preserve">leaves to tree rings to ecosystems.</w:t>
      </w:r>
      <w:r>
        <w:t xml:space="preserve"> </w:t>
      </w:r>
      <w:r>
        <w:rPr>
          <w:iCs/>
          <w:i/>
        </w:rPr>
        <w:t xml:space="preserve">Global Change Biology</w:t>
      </w:r>
      <w:r>
        <w:t xml:space="preserve"> </w:t>
      </w:r>
      <w:r>
        <w:rPr>
          <w:bCs/>
          <w:b/>
        </w:rPr>
        <w:t xml:space="preserve">25</w:t>
      </w:r>
      <w:r>
        <w:t xml:space="preserve">, 2978–2992 (2019).</w:t>
      </w:r>
    </w:p>
    <w:bookmarkEnd w:id="102"/>
    <w:bookmarkStart w:id="103" w:name="ref-gessler_way_2020"/>
    <w:p>
      <w:pPr>
        <w:pStyle w:val="Bibliography"/>
      </w:pPr>
      <w:r>
        <w:t xml:space="preserve">52.</w:t>
      </w:r>
      <w:r>
        <w:t xml:space="preserve"> </w:t>
      </w:r>
      <w:r>
        <w:t xml:space="preserve">	</w:t>
      </w:r>
      <w:r>
        <w:t xml:space="preserve">Gessler, A., Bottero, A., Marshall, J. &amp; Arend, M. The way back: Recovery of trees from drought and its implication for acclimation.</w:t>
      </w:r>
      <w:r>
        <w:t xml:space="preserve"> </w:t>
      </w:r>
      <w:r>
        <w:rPr>
          <w:iCs/>
          <w:i/>
        </w:rPr>
        <w:t xml:space="preserve">The New phytologist</w:t>
      </w:r>
      <w:r>
        <w:t xml:space="preserve"> </w:t>
      </w:r>
      <w:r>
        <w:rPr>
          <w:bCs/>
          <w:b/>
        </w:rPr>
        <w:t xml:space="preserve">228</w:t>
      </w:r>
      <w:r>
        <w:t xml:space="preserve">, 1704–1709 (2020).</w:t>
      </w:r>
    </w:p>
    <w:bookmarkEnd w:id="103"/>
    <w:bookmarkStart w:id="104" w:name="ref-fisichelli_temperate_2014"/>
    <w:p>
      <w:pPr>
        <w:pStyle w:val="Bibliography"/>
      </w:pPr>
      <w:r>
        <w:t xml:space="preserve">53.</w:t>
      </w:r>
      <w:r>
        <w:t xml:space="preserve"> </w:t>
      </w:r>
      <w:r>
        <w:t xml:space="preserve">	</w:t>
      </w:r>
      <w:r>
        <w:t xml:space="preserve">Fisichelli, N. A., Frelich, L. E. &amp; Reich, P. B. Temperate tree expansion into adjacent boreal forest patches facilitated by warmer temperatures.</w:t>
      </w:r>
      <w:r>
        <w:t xml:space="preserve"> </w:t>
      </w:r>
      <w:r>
        <w:rPr>
          <w:iCs/>
          <w:i/>
        </w:rPr>
        <w:t xml:space="preserve">Ecography</w:t>
      </w:r>
      <w:r>
        <w:t xml:space="preserve"> </w:t>
      </w:r>
      <w:r>
        <w:rPr>
          <w:bCs/>
          <w:b/>
        </w:rPr>
        <w:t xml:space="preserve">37</w:t>
      </w:r>
      <w:r>
        <w:t xml:space="preserve">, 152–161 (2014).</w:t>
      </w:r>
    </w:p>
    <w:bookmarkEnd w:id="104"/>
    <w:bookmarkStart w:id="105" w:name="ref-anderson-teixeira_joint_2021"/>
    <w:p>
      <w:pPr>
        <w:pStyle w:val="Bibliography"/>
      </w:pPr>
      <w:r>
        <w:t xml:space="preserve">54.</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105"/>
    <w:bookmarkStart w:id="107" w:name="ref-banburymorgan_global_2021"/>
    <w:p>
      <w:pPr>
        <w:pStyle w:val="Bibliography"/>
      </w:pPr>
      <w:r>
        <w:t xml:space="preserve">55.</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106">
        <w:r>
          <w:rPr>
            <w:rStyle w:val="Hyperlink"/>
          </w:rPr>
          <w:t xml:space="preserve">10.1111/gcb.15574</w:t>
        </w:r>
      </w:hyperlink>
      <w:r>
        <w:t xml:space="preserve">.</w:t>
      </w:r>
    </w:p>
    <w:bookmarkEnd w:id="107"/>
    <w:bookmarkStart w:id="108" w:name="ref-churkina_spatial_2005"/>
    <w:p>
      <w:pPr>
        <w:pStyle w:val="Bibliography"/>
      </w:pPr>
      <w:r>
        <w:t xml:space="preserve">56.</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108"/>
    <w:bookmarkStart w:id="109" w:name="ref-bourg_initial_2013"/>
    <w:p>
      <w:pPr>
        <w:pStyle w:val="Bibliography"/>
      </w:pPr>
      <w:r>
        <w:t xml:space="preserve">57.</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09"/>
    <w:bookmarkStart w:id="110" w:name="ref-anderson-teixeira_ctfsforestgeo_2015"/>
    <w:p>
      <w:pPr>
        <w:pStyle w:val="Bibliography"/>
      </w:pPr>
      <w:r>
        <w:t xml:space="preserve">58.</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10"/>
    <w:bookmarkStart w:id="111" w:name="ref-davies_forestgeo_2021"/>
    <w:p>
      <w:pPr>
        <w:pStyle w:val="Bibliography"/>
      </w:pPr>
      <w:r>
        <w:t xml:space="preserve">59.</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11"/>
    <w:bookmarkStart w:id="112" w:name="ref-herrmann_tree_2016"/>
    <w:p>
      <w:pPr>
        <w:pStyle w:val="Bibliography"/>
      </w:pPr>
      <w:r>
        <w:t xml:space="preserve">60.</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12"/>
    <w:bookmarkStart w:id="114" w:name="ref-friedl_mcd12q2_2019"/>
    <w:p>
      <w:pPr>
        <w:pStyle w:val="Bibliography"/>
      </w:pPr>
      <w:r>
        <w:t xml:space="preserve">61.</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13">
        <w:r>
          <w:rPr>
            <w:rStyle w:val="Hyperlink"/>
          </w:rPr>
          <w:t xml:space="preserve">10.5067/MODIS/MCD12Q2.006</w:t>
        </w:r>
      </w:hyperlink>
      <w:r>
        <w:t xml:space="preserve">.</w:t>
      </w:r>
    </w:p>
    <w:bookmarkEnd w:id="114"/>
    <w:bookmarkStart w:id="116" w:name="ref-anderson-teixeira_forestgeo_2020"/>
    <w:p>
      <w:pPr>
        <w:pStyle w:val="Bibliography"/>
      </w:pPr>
      <w:r>
        <w:t xml:space="preserve">62.</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5">
        <w:r>
          <w:rPr>
            <w:rStyle w:val="Hyperlink"/>
          </w:rPr>
          <w:t xml:space="preserve">10.5281/ZENODO.4041609</w:t>
        </w:r>
      </w:hyperlink>
      <w:r>
        <w:t xml:space="preserve">.</w:t>
      </w:r>
    </w:p>
    <w:bookmarkEnd w:id="116"/>
    <w:bookmarkStart w:id="117" w:name="ref-benestad_empiricalstatistical_2008"/>
    <w:p>
      <w:pPr>
        <w:pStyle w:val="Bibliography"/>
      </w:pPr>
      <w:r>
        <w:t xml:space="preserve">63.</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17"/>
    <w:bookmarkStart w:id="119" w:name="ref-boose_shaler_2021"/>
    <w:p>
      <w:pPr>
        <w:pStyle w:val="Bibliography"/>
      </w:pPr>
      <w:r>
        <w:t xml:space="preserve">64.</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18">
        <w:r>
          <w:rPr>
            <w:rStyle w:val="Hyperlink"/>
          </w:rPr>
          <w:t xml:space="preserve">10.6073/PASTA/213335F5DAA17222A738C105B9FA60C4</w:t>
        </w:r>
      </w:hyperlink>
      <w:r>
        <w:t xml:space="preserve">.</w:t>
      </w:r>
    </w:p>
    <w:bookmarkEnd w:id="119"/>
    <w:bookmarkStart w:id="121" w:name="ref-boose_fisher_2021"/>
    <w:p>
      <w:pPr>
        <w:pStyle w:val="Bibliography"/>
      </w:pPr>
      <w:r>
        <w:t xml:space="preserve">65.</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20">
        <w:r>
          <w:rPr>
            <w:rStyle w:val="Hyperlink"/>
          </w:rPr>
          <w:t xml:space="preserve">10.6073/PASTA/69E92642B512897032446CFE795CFFB8</w:t>
        </w:r>
      </w:hyperlink>
      <w:r>
        <w:t xml:space="preserve">.</w:t>
      </w:r>
    </w:p>
    <w:bookmarkEnd w:id="121"/>
    <w:bookmarkStart w:id="122" w:name="ref-vandepol_identifying_2016"/>
    <w:p>
      <w:pPr>
        <w:pStyle w:val="Bibliography"/>
      </w:pPr>
      <w:r>
        <w:t xml:space="preserve">66.</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22"/>
    <w:bookmarkStart w:id="123" w:name="ref-gabry_rstanarm_2020"/>
    <w:p>
      <w:pPr>
        <w:pStyle w:val="Bibliography"/>
      </w:pPr>
      <w:r>
        <w:t xml:space="preserve">67.</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23"/>
    <w:bookmarkStart w:id="124" w:name="ref-stan_development_team_stan_2019"/>
    <w:p>
      <w:pPr>
        <w:pStyle w:val="Bibliography"/>
      </w:pPr>
      <w:r>
        <w:t xml:space="preserve">68.</w:t>
      </w:r>
      <w:r>
        <w:t xml:space="preserve"> </w:t>
      </w:r>
      <w:r>
        <w:t xml:space="preserve">	</w:t>
      </w:r>
      <w:r>
        <w:t xml:space="preserve">Stan_Development_Team.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4"/>
    <w:bookmarkStart w:id="125" w:name="ref-vicente-serrano_multiscalar_2010"/>
    <w:p>
      <w:pPr>
        <w:pStyle w:val="Bibliography"/>
      </w:pPr>
      <w:r>
        <w:t xml:space="preserve">69.</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5"/>
    <w:bookmarkStart w:id="126" w:name="ref-begueria_standardized_2014"/>
    <w:p>
      <w:pPr>
        <w:pStyle w:val="Bibliography"/>
      </w:pPr>
      <w:r>
        <w:t xml:space="preserve">70.</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26"/>
    <w:bookmarkStart w:id="127" w:name="ref-vicente-serrano_multiscalar_2010a"/>
    <w:p>
      <w:pPr>
        <w:pStyle w:val="Bibliography"/>
      </w:pPr>
      <w:r>
        <w:t xml:space="preserve">71.</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7"/>
    <w:bookmarkStart w:id="128" w:name="ref-stokes_introduction_1968"/>
    <w:p>
      <w:pPr>
        <w:pStyle w:val="Bibliography"/>
      </w:pPr>
      <w:r>
        <w:t xml:space="preserve">72.</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28"/>
    <w:bookmarkStart w:id="129" w:name="ref-alexander_potential_2019"/>
    <w:p>
      <w:pPr>
        <w:pStyle w:val="Bibliography"/>
      </w:pPr>
      <w:r>
        <w:t xml:space="preserve">73.</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29"/>
    <w:bookmarkStart w:id="130" w:name="ref-dye_comparing_2016"/>
    <w:p>
      <w:pPr>
        <w:pStyle w:val="Bibliography"/>
      </w:pPr>
      <w:r>
        <w:t xml:space="preserve">74.</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30"/>
    <w:bookmarkStart w:id="131" w:name="ref-maxwell_sampling_2020"/>
    <w:p>
      <w:pPr>
        <w:pStyle w:val="Bibliography"/>
      </w:pPr>
      <w:r>
        <w:t xml:space="preserve">75.</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31"/>
    <w:bookmarkStart w:id="133" w:name="ref-cook_methods_1990"/>
    <w:p>
      <w:pPr>
        <w:pStyle w:val="Bibliography"/>
      </w:pPr>
      <w:r>
        <w:t xml:space="preserve">76.</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32">
        <w:r>
          <w:rPr>
            <w:rStyle w:val="Hyperlink"/>
          </w:rPr>
          <w:t xml:space="preserve">10.1007/978-94-015-7879-0</w:t>
        </w:r>
      </w:hyperlink>
      <w:r>
        <w:t xml:space="preserve">.</w:t>
      </w:r>
    </w:p>
    <w:bookmarkEnd w:id="133"/>
    <w:bookmarkStart w:id="134" w:name="ref-cook_time_1985"/>
    <w:p>
      <w:pPr>
        <w:pStyle w:val="Bibliography"/>
      </w:pPr>
      <w:r>
        <w:t xml:space="preserve">77.</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134"/>
    <w:bookmarkStart w:id="135" w:name="ref-cook_calculating_1997"/>
    <w:p>
      <w:pPr>
        <w:pStyle w:val="Bibliography"/>
      </w:pPr>
      <w:r>
        <w:t xml:space="preserve">78.</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35"/>
    <w:bookmarkStart w:id="136" w:name="ref-jones_estimating_1997"/>
    <w:p>
      <w:pPr>
        <w:pStyle w:val="Bibliography"/>
      </w:pPr>
      <w:r>
        <w:t xml:space="preserve">79.</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36"/>
    <w:bookmarkStart w:id="137" w:name="ref-harris_version_2020"/>
    <w:p>
      <w:pPr>
        <w:pStyle w:val="Bibliography"/>
      </w:pPr>
      <w:r>
        <w:t xml:space="preserve">80.</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37"/>
    <w:bookmarkStart w:id="138" w:name="ref-bunn_dendrochronology_2008"/>
    <w:p>
      <w:pPr>
        <w:pStyle w:val="Bibliography"/>
      </w:pPr>
      <w:r>
        <w:t xml:space="preserve">81.</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38"/>
    <w:bookmarkStart w:id="139" w:name="ref-zang_dendroclimatic_2013"/>
    <w:p>
      <w:pPr>
        <w:pStyle w:val="Bibliography"/>
      </w:pPr>
      <w:r>
        <w:t xml:space="preserve">82.</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39"/>
    <w:bookmarkStart w:id="140" w:name="ref-biondi_dendroclim2002_2004"/>
    <w:p>
      <w:pPr>
        <w:pStyle w:val="Bibliography"/>
      </w:pPr>
      <w:r>
        <w:t xml:space="preserve">83.</w:t>
      </w:r>
      <w:r>
        <w:t xml:space="preserve"> </w:t>
      </w:r>
      <w:r>
        <w:t xml:space="preserve">	</w:t>
      </w:r>
      <w:r>
        <w:t xml:space="preserve">Biondi, F. &amp; Waikul, K.</w:t>
      </w:r>
      <w:r>
        <w:t xml:space="preserve"> </w:t>
      </w:r>
      <w:r>
        <w:t xml:space="preserve">DENDROCLIM2002</w:t>
      </w:r>
      <w:r>
        <w:t xml:space="preserve"> </w:t>
      </w:r>
      <w:r>
        <w:t xml:space="preserve">:</w:t>
      </w:r>
      <w:r>
        <w:t xml:space="preserve"> </w:t>
      </w:r>
      <w:r>
        <w:t xml:space="preserve">A 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40"/>
    <w:bookmarkEnd w:id="141"/>
    <w:bookmarkEnd w:id="142"/>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32" Target="https://doi.org/10.1007/978-94-015-7879-0" TargetMode="External" /><Relationship Type="http://schemas.openxmlformats.org/officeDocument/2006/relationships/hyperlink" Id="rId70" Target="https://doi.org/10.1038/s41558-020-00976-6" TargetMode="External" /><Relationship Type="http://schemas.openxmlformats.org/officeDocument/2006/relationships/hyperlink" Id="rId53" Target="https://doi.org/10.1073/pnas.2002713117" TargetMode="External" /><Relationship Type="http://schemas.openxmlformats.org/officeDocument/2006/relationships/hyperlink" Id="rId82" Target="https://doi.org/10.1093/treephys/tpab101" TargetMode="External" /><Relationship Type="http://schemas.openxmlformats.org/officeDocument/2006/relationships/hyperlink" Id="rId106" Target="https://doi.org/10.1111/gcb.15574" TargetMode="External" /><Relationship Type="http://schemas.openxmlformats.org/officeDocument/2006/relationships/hyperlink" Id="rId113" Target="https://doi.org/10.5067/MODIS/MCD12Q2.006" TargetMode="External" /><Relationship Type="http://schemas.openxmlformats.org/officeDocument/2006/relationships/hyperlink" Id="rId68" Target="https://doi.org/10.5194/essd-2021-386" TargetMode="External" /><Relationship Type="http://schemas.openxmlformats.org/officeDocument/2006/relationships/hyperlink" Id="rId115" Target="https://doi.org/10.5281/ZENODO.4041609" TargetMode="External" /><Relationship Type="http://schemas.openxmlformats.org/officeDocument/2006/relationships/hyperlink" Id="rId118" Target="https://doi.org/10.6073/PASTA/213335F5DAA17222A738C105B9FA60C4" TargetMode="External" /><Relationship Type="http://schemas.openxmlformats.org/officeDocument/2006/relationships/hyperlink" Id="rId120"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32" Target="https://doi.org/10.1007/978-94-015-7879-0" TargetMode="External" /><Relationship Type="http://schemas.openxmlformats.org/officeDocument/2006/relationships/hyperlink" Id="rId70" Target="https://doi.org/10.1038/s41558-020-00976-6" TargetMode="External" /><Relationship Type="http://schemas.openxmlformats.org/officeDocument/2006/relationships/hyperlink" Id="rId53" Target="https://doi.org/10.1073/pnas.2002713117" TargetMode="External" /><Relationship Type="http://schemas.openxmlformats.org/officeDocument/2006/relationships/hyperlink" Id="rId82" Target="https://doi.org/10.1093/treephys/tpab101" TargetMode="External" /><Relationship Type="http://schemas.openxmlformats.org/officeDocument/2006/relationships/hyperlink" Id="rId106" Target="https://doi.org/10.1111/gcb.15574" TargetMode="External" /><Relationship Type="http://schemas.openxmlformats.org/officeDocument/2006/relationships/hyperlink" Id="rId113" Target="https://doi.org/10.5067/MODIS/MCD12Q2.006" TargetMode="External" /><Relationship Type="http://schemas.openxmlformats.org/officeDocument/2006/relationships/hyperlink" Id="rId68" Target="https://doi.org/10.5194/essd-2021-386" TargetMode="External" /><Relationship Type="http://schemas.openxmlformats.org/officeDocument/2006/relationships/hyperlink" Id="rId115" Target="https://doi.org/10.5281/ZENODO.4041609" TargetMode="External" /><Relationship Type="http://schemas.openxmlformats.org/officeDocument/2006/relationships/hyperlink" Id="rId118" Target="https://doi.org/10.6073/PASTA/213335F5DAA17222A738C105B9FA60C4" TargetMode="External" /><Relationship Type="http://schemas.openxmlformats.org/officeDocument/2006/relationships/hyperlink" Id="rId120"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2022-02-22T19:49:12Z</dcterms:created>
  <dcterms:modified xsi:type="dcterms:W3CDTF">2022-02-22T19:49:12Z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