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r>
        <w:t xml:space="preserve"> </w:t>
      </w:r>
      <w:r>
        <w:t xml:space="preserve">( Orcid ID : 0000-0001-7824-306X)</w:t>
      </w:r>
    </w:p>
    <w:p>
      <w:pPr>
        <w:pStyle w:val="BodyText"/>
      </w:pPr>
      <w:r>
        <w:t xml:space="preserve">Loïc D’Orangeville</w:t>
      </w:r>
      <w:r>
        <w:rPr>
          <w:vertAlign w:val="superscript"/>
        </w:rPr>
        <w:t xml:space="preserve">3,4</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r>
        <w:t xml:space="preserve"> </w:t>
      </w:r>
      <w:r>
        <w:t xml:space="preserve">(Orcid ID: 0000-0001-9195-3146)</w:t>
      </w:r>
    </w:p>
    <w:p>
      <w:pPr>
        <w:pStyle w:val="BodyText"/>
      </w:pPr>
      <w:r>
        <w:t xml:space="preserve">Ian R. McGregor</w:t>
      </w:r>
      <w:r>
        <w:rPr>
          <w:vertAlign w:val="superscript"/>
        </w:rPr>
        <w:t xml:space="preserve">1,7</w:t>
      </w:r>
      <w:r>
        <w:t xml:space="preserve"> </w:t>
      </w:r>
      <w:r>
        <w:t xml:space="preserve">(Orcid ID: 0000-0002-5763-021X)</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We’re probably pretty close to the upper length limit. The typical length of an article with 3-4 modest display items (figures and tables) is 2000-2500 words (summary paragraph plus body text). We’re currently at ~2512 words (1609 intro + results, discussion 903)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1–6</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1,4,5,7–9</w:t>
      </w:r>
      <w:r>
        <w:t xml:space="preserve"> </w:t>
      </w:r>
      <w:r>
        <w:t xml:space="preserve">and annual CO</w:t>
      </w:r>
      <w:r>
        <w:rPr>
          <w:vertAlign w:val="subscript"/>
        </w:rPr>
        <w:t xml:space="preserve">2</w:t>
      </w:r>
      <w:r>
        <w:t xml:space="preserve"> </w:t>
      </w:r>
      <w:r>
        <w:t xml:space="preserve">sequestration</w:t>
      </w:r>
      <w:r>
        <w:rPr>
          <w:vertAlign w:val="superscript"/>
        </w:rPr>
        <w:t xml:space="preserve">2,4,10–14</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15,16</w:t>
      </w:r>
      <w:r>
        <w:t xml:space="preserve"> </w:t>
      </w:r>
      <w:r>
        <w:t xml:space="preserve">Using dendrometer band measurements from</w:t>
      </w:r>
      <w:r>
        <w:t xml:space="preserve"> </w:t>
      </w:r>
      <w:r>
        <w:rPr>
          <w:iCs/>
          <w:i/>
        </w:rPr>
        <w:t xml:space="preserve">465</w:t>
      </w:r>
      <w:r>
        <w:t xml:space="preserve"> </w:t>
      </w:r>
      <w:r>
        <w:t xml:space="preserve">trees across two deciduous mid-Atlantic forests, we show that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10–12</w:t>
      </w:r>
      <w:r>
        <w:t xml:space="preserve"> </w:t>
      </w:r>
      <w:r>
        <w:t xml:space="preserve">is not allocated to long-lived woody biomass, where it could have a substantial and lasting impact on the forest C balance.</w:t>
      </w:r>
      <w:r>
        <w:t xml:space="preserve"> </w:t>
      </w:r>
      <w:r>
        <w:t xml:space="preserve">Such empirical results contradict current projections from global carbon cycle models</w:t>
      </w:r>
      <w:r>
        <w:rPr>
          <w:vertAlign w:val="superscript"/>
        </w:rPr>
        <w:t xml:space="preserve">2,3,17,18</w:t>
      </w:r>
      <w:r>
        <w:t xml:space="preserve">, and imply that warming spring temperatures are unlikely to increase the woody productivity or strengthen the carbon sink of temperate deciduous forests.</w:t>
      </w:r>
    </w:p>
    <w:bookmarkEnd w:id="21"/>
    <w:bookmarkStart w:id="28" w:name="body"/>
    <w:p>
      <w:pPr>
        <w:pStyle w:val="Heading1"/>
      </w:pPr>
      <w:r>
        <w:rPr>
          <w:rStyle w:val="SectionNumber"/>
        </w:rPr>
        <w:t xml:space="preserve">2</w:t>
      </w:r>
      <w:r>
        <w:tab/>
      </w:r>
      <w:r>
        <w:t xml:space="preserve">(Body)</w:t>
      </w:r>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20</w:t>
      </w:r>
      <w:r>
        <w:t xml:space="preserve"> </w:t>
      </w:r>
      <w:r>
        <w:rPr>
          <w:iCs/>
          <w:i/>
        </w:rPr>
        <w:t xml:space="preserve">Coauthors suggest removing this but i’m unsure. I find this distinction relevant, but if more experienced people disagree I’m fine removing - would like your opinion</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21,22</w:t>
      </w:r>
      <w:r>
        <w:t xml:space="preserve">.</w:t>
      </w:r>
    </w:p>
    <w:p>
      <w:pPr>
        <w:pStyle w:val="BodyText"/>
      </w:pPr>
      <w:r>
        <w:t xml:space="preserve">In temperate deciduous forests, spring warming generally lengthens the growing season, measured as the period over which trees have photosynthetically active leaves</w:t>
      </w:r>
      <w:r>
        <w:rPr>
          <w:vertAlign w:val="superscript"/>
        </w:rPr>
        <w:t xml:space="preserve">1,7–9</w:t>
      </w:r>
      <w:r>
        <w:t xml:space="preserve">, and extends the period where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net annual carbon sequestration (i.e., net ecosystem exchange,</w:t>
      </w:r>
      <w:r>
        <w:t xml:space="preserve"> </w:t>
      </w:r>
      <w:r>
        <w:rPr>
          <w:iCs/>
          <w:i/>
        </w:rPr>
        <w:t xml:space="preserve">NEE</w:t>
      </w:r>
      <w:r>
        <w:t xml:space="preserve">)</w:t>
      </w:r>
      <w:r>
        <w:rPr>
          <w:vertAlign w:val="superscript"/>
        </w:rPr>
        <w:t xml:space="preserve">2,3,17</w:t>
      </w:r>
      <w:r>
        <w:t xml:space="preserve">.</w:t>
      </w:r>
      <w:r>
        <w:t xml:space="preserve"> </w:t>
      </w:r>
      <w:r>
        <w:t xml:space="preserve">However, recent experimental and observational findings that sink factors can limit annual growth</w:t>
      </w:r>
      <w:r>
        <w:rPr>
          <w:vertAlign w:val="superscript"/>
        </w:rPr>
        <w:t xml:space="preserve">17,23,24</w:t>
      </w:r>
      <w:r>
        <w:t xml:space="preserve">, and that positive effects of warm springs are compensated by negative effects of accumulation of seasonal water deficits</w:t>
      </w:r>
      <w:r>
        <w:rPr>
          <w:vertAlign w:val="superscript"/>
        </w:rPr>
        <w:t xml:space="preserve">3</w:t>
      </w:r>
      <w:r>
        <w:t xml:space="preserve">, suggest that warmer spring temperatures may not have the expected positive effect on C sequestration in trees.</w:t>
      </w:r>
    </w:p>
    <w:p>
      <w:pPr>
        <w:pStyle w:val="BodyText"/>
      </w:pPr>
      <w:r>
        <w:t xml:space="preserve">While the responses of leaf phenology and seasonal</w:t>
      </w:r>
      <w:r>
        <w:t xml:space="preserve"> </w:t>
      </w:r>
      <w:r>
        <w:rPr>
          <w:iCs/>
          <w:i/>
        </w:rPr>
        <w:t xml:space="preserve">ecosystem (?)</w:t>
      </w:r>
      <w:r>
        <w:t xml:space="preserve"> </w:t>
      </w:r>
      <w:r>
        <w:t xml:space="preserve">CO</w:t>
      </w:r>
      <w:r>
        <w:rPr>
          <w:vertAlign w:val="subscript"/>
        </w:rPr>
        <w:t xml:space="preserve">2</w:t>
      </w:r>
      <w:r>
        <w:t xml:space="preserve"> </w:t>
      </w:r>
      <w:r>
        <w:t xml:space="preserve">sequestration to warming spring temperatures have been relatively well-studied</w:t>
      </w:r>
      <w:r>
        <w:rPr>
          <w:vertAlign w:val="superscript"/>
        </w:rPr>
        <w:t xml:space="preserve">1–3,7–9</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Cs/>
          <w:i/>
        </w:rPr>
        <w:t xml:space="preserve">(to our knowledge)</w:t>
      </w:r>
      <w:r>
        <w:rPr>
          <w:vertAlign w:val="superscript"/>
        </w:rPr>
        <w:t xml:space="preserve">25</w:t>
      </w:r>
      <w:r>
        <w:t xml:space="preserve">.</w:t>
      </w:r>
      <w:r>
        <w:t xml:space="preserve"> </w:t>
      </w:r>
      <w:r>
        <w:t xml:space="preserve"> </w:t>
      </w:r>
      <w:r>
        <w:t xml:space="preserve">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24</w:t>
      </w:r>
      <w:r>
        <w:t xml:space="preserve"> </w:t>
      </w:r>
      <w:r>
        <w:t xml:space="preserve">for a controlled sapling experiment).</w:t>
      </w:r>
    </w:p>
    <w:p>
      <w:pPr>
        <w:pStyle w:val="BodyText"/>
      </w:pPr>
      <w:r>
        <w:t xml:space="preserve">Tree-ring records, which can be used to examine correlations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26,27</w:t>
      </w:r>
      <w:r>
        <w:t xml:space="preserve">,</w:t>
      </w:r>
      <w:r>
        <w:t xml:space="preserve"> </w:t>
      </w:r>
      <w:r>
        <w:t xml:space="preserve"> </w:t>
      </w:r>
      <w:r>
        <w:t xml:space="preserve">with some hints that warmer springs may have a modest positive effect on growth</w:t>
      </w:r>
      <w:r>
        <w:rPr>
          <w:vertAlign w:val="superscript"/>
        </w:rPr>
        <w:t xml:space="preserve">27</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in two forests and annual growth across forests spanning eastern North America. To test the assumption that warmer springs lead to an extension of the growing season we used measurements from 465 dendrometer bands across two decidious mid-atlantic forests. To test whether spring temperatrues were consistently positively correlated with annual ring-width Index (RWI; tree-ring width which has been standardized for age) we used 207 tree-ring chronologies from 108 forests across eastern North America.</w:t>
      </w:r>
    </w:p>
    <w:bookmarkStart w:id="24"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w:t>
      </w:r>
      <w:r>
        <w:t xml:space="preserve"> </w:t>
      </w:r>
      <w:r>
        <w:rPr>
          <w:bCs/>
          <w:b/>
        </w:rPr>
        <w:t xml:space="preserve">125</w:t>
      </w:r>
      <w:r>
        <w:t xml:space="preserve"> </w:t>
      </w:r>
      <w:r>
        <w:t xml:space="preserve">trees from 2011-2020) and Harvard Forest (Massachusetts, USA; n =</w:t>
      </w:r>
      <w:r>
        <w:t xml:space="preserve"> </w:t>
      </w:r>
      <w:r>
        <w:rPr>
          <w:bCs/>
          <w:b/>
        </w:rPr>
        <w:t xml:space="preserve">340</w:t>
      </w:r>
      <w:r>
        <w:t xml:space="preserve"> </w:t>
      </w:r>
      <w:r>
        <w:t xml:space="preserve">trees from 1998-2003), we fit a logistic growth model</w:t>
      </w:r>
      <w:r>
        <w:rPr>
          <w:vertAlign w:val="superscript"/>
        </w:rPr>
        <w:t xml:space="preserve">28</w:t>
      </w:r>
      <w:r>
        <w:t xml:space="preserve"> </w:t>
      </w:r>
      <w:r>
        <w:t xml:space="preserve">to determine the days of year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25</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ree growth changes under warmer spring temperatures. (a) Schematic illustrating parameters of interest and summarizing how each responds to warmer maximum temperatures during a ‘critical temperature window’, defined as the period with the strongest control over DOY_{25}; (b) Variable definitions and summary responses to warmer spring temperatures at two temperate forests and for two groups of broadleaf deciduous species (RP=ring porous; DP=diffuse porous), where up and down arrows indicate significant (determined by whether the posterior credible interval included 0 or no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significant (determined by whether the posterior credible interval included 0 or not)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25</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&lt;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dendrometerband measurements of stem growth phenology generally shifted backwards as spring temperatures increased (Fig. 2, Extended Data Figures 4-5).</w:t>
      </w:r>
    </w:p>
    <w:p>
      <w:pPr>
        <w:pStyle w:val="BodyText"/>
      </w:pP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 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and</w:t>
      </w:r>
      <w:r>
        <w:t xml:space="preserve"> </w:t>
      </w:r>
      <m:oMath>
        <m:r>
          <m:t>D</m:t>
        </m:r>
        <m:r>
          <m:t>O</m:t>
        </m:r>
        <m:sSub>
          <m:e>
            <m:r>
              <m:t>Y</m:t>
            </m:r>
          </m:e>
          <m:sub>
            <m:r>
              <m:t>25</m:t>
            </m:r>
          </m:sub>
        </m:sSub>
      </m:oMath>
      <w:r>
        <w:t xml:space="preserve"> </w:t>
      </w:r>
      <w:r>
        <w:t xml:space="preserve">(Extended Data Figure 3). 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growth milestones (Figs. 1, Extended Data Figure 4),</w:t>
      </w:r>
      <w:r>
        <w:t xml:space="preserve"> </w:t>
      </w:r>
      <w:r>
        <w:t xml:space="preserve">which is consistent with findings from previous studies</w:t>
      </w:r>
      <w:r>
        <w:rPr>
          <w:vertAlign w:val="superscript"/>
        </w:rPr>
        <w:t xml:space="preserve">30</w:t>
      </w:r>
      <w:r>
        <w:t xml:space="preserve"> </w:t>
      </w:r>
      <w:r>
        <w:t xml:space="preserve">Specifically, greenup</w:t>
      </w:r>
      <w:r>
        <w:t xml:space="preserve"> </w:t>
      </w:r>
      <w:r>
        <w:rPr>
          <w:iCs/>
          <w:i/>
        </w:rPr>
        <w:t xml:space="preserve">(DOY when EVI2 first crossed 15% of the segment EVI2 amplitude)</w:t>
      </w:r>
      <w:r>
        <w:t xml:space="preserve"> </w:t>
      </w:r>
      <w:r>
        <w:t xml:space="preserve">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while mid-greenup also advanced but to a lesser extent (Fig. 2, Extended Data Table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4"/>
    <w:bookmarkStart w:id="26"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chronologies: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the enhancement of growth by warmer spring temperatrues,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temperatrues were the more important driver of annual stem growth (Extended Data Table 3).</w:t>
      </w:r>
    </w:p>
    <w:p>
      <w:pPr>
        <w:pStyle w:val="CaptionedFigure"/>
      </w:pPr>
      <w:r>
        <w:drawing>
          <wp:inline>
            <wp:extent cx="5943600" cy="581368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81368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SI Table 1.</w:t>
      </w:r>
    </w:p>
    <w:bookmarkEnd w:id="26"/>
    <w:bookmarkStart w:id="27"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w:t>
      </w:r>
      <w:r>
        <w:rPr>
          <w:vertAlign w:val="superscript"/>
        </w:rPr>
        <w:t xml:space="preserve">2,4,5</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a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carbon limitation, such as daylength or sink limitation, which also play an important role in autumn leaf senescence</w:t>
      </w:r>
      <w:r>
        <w:rPr>
          <w:vertAlign w:val="superscript"/>
        </w:rPr>
        <w:t xml:space="preserve">17,23,31</w:t>
      </w:r>
      <w:r>
        <w:t xml:space="preserve">.</w:t>
      </w:r>
      <w:r>
        <w:t xml:space="preserve"> </w:t>
      </w:r>
      <w:r>
        <w:t xml:space="preserve">Rather than lengthening the growing season, the primary effect of warming temperature on annual growth is a negative correlation with</w:t>
      </w:r>
      <w:r>
        <w:t xml:space="preserve"> </w:t>
      </w:r>
      <m:oMath>
        <m:sSub>
          <m:e>
            <m:r>
              <m:t>T</m:t>
            </m:r>
          </m:e>
          <m:sub>
            <m:r>
              <m:t>m</m:t>
            </m:r>
            <m:r>
              <m:t>a</m:t>
            </m:r>
            <m:r>
              <m:t>x</m:t>
            </m:r>
          </m:sub>
        </m:sSub>
      </m:oMath>
      <w:r>
        <w:t xml:space="preserve"> </w:t>
      </w:r>
      <w:r>
        <w:t xml:space="preserve">and associated drought stress during the peak growing season</w:t>
      </w:r>
      <w:r>
        <w:rPr>
          <w:vertAlign w:val="superscript"/>
        </w:rPr>
        <w:t xml:space="preserve">26</w:t>
      </w:r>
      <w:r>
        <w:t xml:space="preserve">, offsetting any benefit of an earlier onset of growth in the spring</w:t>
      </w:r>
      <w:r>
        <w:rPr>
          <w:vertAlign w:val="superscript"/>
        </w:rPr>
        <w:t xml:space="preserve">32</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33</w:t>
      </w:r>
      <w:r>
        <w:t xml:space="preserve"> </w:t>
      </w:r>
      <w:r>
        <w:t xml:space="preserve">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13,14</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12,34,35</w:t>
      </w:r>
      <w:r>
        <w:t xml:space="preserve">, with delays more common across eastern North America,</w:t>
      </w:r>
      <w:r>
        <w:rPr>
          <w:vertAlign w:val="superscript"/>
        </w:rPr>
        <w:t xml:space="preserve">2–4</w:t>
      </w:r>
      <w:r>
        <w:t xml:space="preserve"> implying that warming temperatures are leading to a lengthening of the period from peak stem growth to the cessation of ecosystem C uptake.</w:t>
      </w:r>
      <w:r>
        <w:t xml:space="preserve"> </w:t>
      </w:r>
      <w:r>
        <w:t xml:space="preserve">As the extra C sequestration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C production in years with warm springs may be allocated to woody growth without affecting diameter growth in the current year.</w:t>
      </w:r>
      <w:r>
        <w:t xml:space="preserve"> </w:t>
      </w:r>
      <w:r>
        <w:t xml:space="preserve">It is theoretically possible that extra carbon is allocated to cell wall thickening, a process that lags behind stem expansion</w:t>
      </w:r>
      <w:r>
        <w:rPr>
          <w:vertAlign w:val="superscript"/>
        </w:rPr>
        <w:t xml:space="preserve">36</w:t>
      </w:r>
      <w:r>
        <w:t xml:space="preserve">, or to a thicker layer of higher-density latewood, resulting in formation of more carbon-dense wood in years with warm springs.</w:t>
      </w:r>
      <w:r>
        <w:t xml:space="preserve"> </w:t>
      </w:r>
      <w:r>
        <w:t xml:space="preserve">However, existing evidence indicates that warm springs have a neutral or negative effect on latewood width</w:t>
      </w:r>
      <w:r>
        <w:rPr>
          <w:vertAlign w:val="superscript"/>
        </w:rPr>
        <w:t xml:space="preserve">37–39</w:t>
      </w:r>
      <w:r>
        <w:t xml:space="preserve">, which is more strongly controlled by summer drought stress</w:t>
      </w:r>
      <w:r>
        <w:rPr>
          <w:vertAlign w:val="superscript"/>
        </w:rPr>
        <w:t xml:space="preserve">37,38</w:t>
      </w:r>
      <w:r>
        <w:t xml:space="preserve">, suggesting that a positive effect of warm springs on the total C content of annual rings is unlikely.</w:t>
      </w:r>
      <w:r>
        <w:t xml:space="preserve"> </w:t>
      </w:r>
      <w:r>
        <w:t xml:space="preserve">Extra carbon could also be saved within trees as non-structural carbohydrates and used towards growth the following year</w:t>
      </w:r>
      <w:r>
        <w:rPr>
          <w:vertAlign w:val="superscript"/>
        </w:rPr>
        <w:t xml:space="preserve">40,41</w:t>
      </w:r>
      <w:r>
        <w:t xml:space="preserve">, potentially including an earlier start to growth</w:t>
      </w:r>
      <w:r>
        <w:rPr>
          <w:vertAlign w:val="superscript"/>
        </w:rPr>
        <w:t xml:space="preserve">31</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24</w:t>
      </w:r>
      <w:r>
        <w:t xml:space="preserve">, or root exudates.</w:t>
      </w:r>
      <w:r>
        <w:t xml:space="preserve"> </w:t>
      </w:r>
      <w:r>
        <w:t xml:space="preserve">Much of this carbon would have a relatively short residence time within the ecosystem, and C loss through fall or winter respiration may offset gains from an earlier spring.</w:t>
      </w:r>
      <w:r>
        <w:rPr>
          <w:vertAlign w:val="superscript"/>
        </w:rPr>
        <w:t xml:space="preserve">3,42</w:t>
      </w:r>
      <w:r>
        <w:t xml:space="preserve"> </w:t>
      </w:r>
      <w:r>
        <w:t xml:space="preserve">However, C allocated to nonstructural carbohydrates or relatively short-lived plant tissues would typically remain in the ecosystem beyond the end of the year</w:t>
      </w:r>
      <w:r>
        <w:rPr>
          <w:vertAlign w:val="superscript"/>
        </w:rPr>
        <w:t xml:space="preserve">40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rPr>
          <w:vertAlign w:val="superscript"/>
        </w:rPr>
        <w:t xml:space="preserve">43</w:t>
      </w:r>
      <w:r>
        <w:t xml:space="preserve">.</w:t>
      </w:r>
      <w:r>
        <w:t xml:space="preserve"> </w:t>
      </w:r>
      <w:r>
        <w:t xml:space="preserve">Moreover, acclimation of trees to warming temperatures</w:t>
      </w:r>
      <w:r>
        <w:rPr>
          <w:vertAlign w:val="superscript"/>
        </w:rPr>
        <w:t xml:space="preserve">44</w:t>
      </w:r>
      <w:r>
        <w:t xml:space="preserve"> </w:t>
      </w:r>
      <w:r>
        <w:t xml:space="preserve">and, on longer time scales, species adaptations and shifts in community composition[</w:t>
      </w:r>
      <w:r>
        <w:rPr>
          <w:bCs/>
          <w:b/>
        </w:rPr>
        <w:t xml:space="preserve">REFS</w:t>
      </w:r>
      <w:r>
        <w:t xml:space="preserve">] 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45</w:t>
      </w:r>
      <w:r>
        <w:t xml:space="preserve">, woody productivity</w:t>
      </w:r>
      <w:r>
        <w:rPr>
          <w:vertAlign w:val="superscript"/>
        </w:rPr>
        <w:t xml:space="preserve">46</w:t>
      </w:r>
      <w:r>
        <w:t xml:space="preserve">, and NEE.</w:t>
      </w:r>
      <w:r>
        <w:rPr>
          <w:vertAlign w:val="superscript"/>
        </w:rPr>
        <w:t xml:space="preserve">47</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carbon 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7"/>
    <w:bookmarkEnd w:id="28"/>
    <w:bookmarkStart w:id="33" w:name="Methods"/>
    <w:p>
      <w:pPr>
        <w:pStyle w:val="Heading1"/>
      </w:pPr>
      <w:r>
        <w:t xml:space="preserve">Methods</w:t>
      </w:r>
    </w:p>
    <w:bookmarkStart w:id="31"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48</w:t>
      </w:r>
      <w:r>
        <w:t xml:space="preserve"> </w:t>
      </w:r>
      <w:r>
        <w:t xml:space="preserve">and Harvard Forest</w:t>
      </w:r>
      <w:r>
        <w:rPr>
          <w:vertAlign w:val="superscript"/>
        </w:rPr>
        <w:t xml:space="preserve">4,25</w:t>
      </w:r>
      <w:r>
        <w:t xml:space="preserve">, both part of the Forest Global Earth Observatory (ForestGEO)</w:t>
      </w:r>
      <w:r>
        <w:rPr>
          <w:vertAlign w:val="superscript"/>
        </w:rPr>
        <w:t xml:space="preserve">49,50</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48</w:t>
      </w:r>
      <w:r>
        <w:t xml:space="preserve">.</w:t>
      </w:r>
      <w:r>
        <w:t xml:space="preserve"> </w:t>
      </w:r>
      <w:r>
        <w:t xml:space="preserve">Dominant canopy species within the 25.6 ha ForestGEO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rPr>
          <w:vertAlign w:val="superscript"/>
        </w:rPr>
        <w:t xml:space="preserve">27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45</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45</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(e.g., because of tree mortality) from the census.</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had unknown causes,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28</w:t>
      </w:r>
      <w:r>
        <w:t xml:space="preserve"> </w:t>
      </w:r>
      <w:r>
        <w:t xml:space="preserve">to dendrometer band data from each tree-year to define phenological dates and growth rates (Fig. 1). In particular, we model the observed diameter at breast height (DBH) on a given day of the year (DOY; i.e.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The model was fit in R v 4.0 using the functions developed in the Rdendrom package</w:t>
      </w:r>
      <w:r>
        <w:rPr>
          <w:vertAlign w:val="superscript"/>
        </w:rPr>
        <w:t xml:space="preserve">28</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detailed in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51</w:t>
      </w:r>
      <w:r>
        <w:t xml:space="preserve"> </w:t>
      </w:r>
      <w:r>
        <w:t xml:space="preserve">via Google Earth Engine. 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p>
    <w:p>
      <w:pPr>
        <w:pStyle w:val="BodyText"/>
      </w:pPr>
      <w:r>
        <w:rPr>
          <w:iCs/>
          <w:i/>
        </w:rPr>
        <w:t xml:space="preserve">ADD SOMETHING ON HOW STANDARD PRECIPITAITON EVAPOTRANSPIRATIN INDEX WAS FOUND</w:t>
      </w:r>
      <w:r>
        <w:t xml:space="preserve">!!!!</w:t>
      </w:r>
    </w:p>
    <w:p>
      <w:pPr>
        <w:pStyle w:val="BodyText"/>
      </w:pPr>
      <w:r>
        <w:t xml:space="preserve">For the dendrometer band analysis, 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29">
        <w:r>
          <w:rPr>
            <w:rStyle w:val="Hyperlink"/>
          </w:rPr>
          <w:t xml:space="preserve">https://forestgeo.github.io/Climate/</w:t>
        </w:r>
      </w:hyperlink>
      <w:r>
        <w:t xml:space="preserve">)</w:t>
      </w:r>
      <w:r>
        <w:rPr>
          <w:vertAlign w:val="superscript"/>
        </w:rPr>
        <w:t xml:space="preserve">52</w:t>
      </w:r>
      <w:r>
        <w:t xml:space="preserve">.</w:t>
      </w:r>
      <w:r>
        <w:t xml:space="preserve"> </w:t>
      </w:r>
      <w:r>
        <w:t xml:space="preserve">The R package</w:t>
      </w:r>
      <w:r>
        <w:t xml:space="preserve"> </w:t>
      </w:r>
      <w:r>
        <w:rPr>
          <w:iCs/>
          <w:i/>
        </w:rPr>
        <w:t xml:space="preserve">clim.pact</w:t>
      </w:r>
      <w:r>
        <w:rPr>
          <w:vertAlign w:val="superscript"/>
        </w:rPr>
        <w:t xml:space="preserve">53,</w:t>
      </w:r>
      <w:r>
        <w:rPr>
          <w:bCs/>
          <w:b/>
          <w:vertAlign w:val="superscript"/>
        </w:rPr>
        <w:t xml:space="preserve">climpact_REF?</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0">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r>
        <w:t xml:space="preserve"> </w:t>
      </w:r>
      <w:r>
        <w:t xml:space="preserve">Daily temperature records for Harvard Forest were obtained from the Harvard Forest weather station</w:t>
      </w:r>
      <w:r>
        <w:rPr>
          <w:vertAlign w:val="superscript"/>
        </w:rPr>
        <w:t xml:space="preserve">54,55</w:t>
      </w:r>
      <w:r>
        <w:t xml:space="preserve">.</w:t>
      </w:r>
      <w:r>
        <w:t xml:space="preserve"> </w:t>
      </w:r>
      <w:r>
        <w:t xml:space="preserve">Climate data for Harvard Forest were complete and used as is.</w:t>
      </w:r>
    </w:p>
    <w:p>
      <w:pPr>
        <w:pStyle w:val="BodyText"/>
      </w:pPr>
      <w:r>
        <w:t xml:space="preserve">For the tree core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56</w:t>
      </w:r>
    </w:p>
    <w:p>
      <w:pPr>
        <w:pStyle w:val="BodyText"/>
      </w:pPr>
      <w:r>
        <w:t xml:space="preserve">The critical temperature window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57</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The variable and time window yielding the biggest</w:t>
      </w:r>
      <w:r>
        <w:t xml:space="preserve"> </w:t>
      </w:r>
      <m:oMath>
        <m:r>
          <m:t>Δ</m:t>
        </m:r>
        <m:r>
          <m:t>A</m:t>
        </m:r>
        <m:r>
          <m:t>I</m:t>
        </m:r>
        <m:r>
          <m:t>C</m:t>
        </m:r>
        <m:r>
          <m:t>c</m:t>
        </m:r>
      </m:oMath>
      <w:r>
        <w:t xml:space="preserve"> </w:t>
      </w:r>
      <w:r>
        <w:t xml:space="preserve">are selected for our critical temperature window. 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 We selected the critical temperature window that had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where we fixed the critical temperature window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58</w:t>
      </w:r>
      <w:r>
        <w:t xml:space="preserve">. In all cases unless otherwise specified, all prior distributions are set to be the weakly informative defaults.</w:t>
      </w:r>
      <w:r>
        <w:t xml:space="preserve"> </w:t>
      </w:r>
    </w:p>
    <w:bookmarkEnd w:id="31"/>
    <w:bookmarkStart w:id="32"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59</w:t>
      </w:r>
      <w:r>
        <w:t xml:space="preserve">.</w:t>
      </w:r>
    </w:p>
    <w:p>
      <w:pPr>
        <w:pStyle w:val="BodyText"/>
      </w:pPr>
      <w:r>
        <w:t xml:space="preserve">Dominant tree species were cored at both SCBI</w:t>
      </w:r>
      <w:r>
        <w:rPr>
          <w:vertAlign w:val="superscript"/>
        </w:rPr>
        <w:t xml:space="preserve">27,48</w:t>
      </w:r>
      <w:r>
        <w:t xml:space="preserve"> </w:t>
      </w:r>
      <w:r>
        <w:t xml:space="preserve">and Harvard Forest</w:t>
      </w:r>
      <w:r>
        <w:rPr>
          <w:vertAlign w:val="superscript"/>
        </w:rPr>
        <w:t xml:space="preserve">4,60,61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26,62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w:t>
      </w:r>
      <w:r>
        <w:rPr>
          <w:iCs/>
          <w:i/>
        </w:rPr>
        <w:t xml:space="preserve">Add this comment somewhere in here:</w:t>
      </w:r>
      <w:r>
        <w:rPr>
          <w:iCs/>
          <w:i/>
        </w:rPr>
        <w:t xml:space="preserve"> </w:t>
      </w:r>
      <w:r>
        <w:rPr>
          <w:iCs/>
          <w:i/>
        </w:rPr>
        <w:t xml:space="preserve">“</w:t>
      </w:r>
      <w:r>
        <w:rPr>
          <w:iCs/>
          <w:i/>
        </w:rPr>
        <w:t xml:space="preserve">What about mentioning</w:t>
      </w:r>
      <w:r>
        <w:rPr>
          <w:iCs/>
          <w:i/>
        </w:rPr>
        <w:t xml:space="preserve">”</w:t>
      </w:r>
      <w:r>
        <w:rPr>
          <w:iCs/>
          <w:i/>
        </w:rPr>
        <w:t xml:space="preserve">we converted the trw into a dimensionless growth index (thereafter simply referred to as RWI; see Methods) to emphasize interannual variability associated with climate (Cook &amp; Kairiukstis, 1990)" or something along those lines?"</w:t>
      </w:r>
    </w:p>
    <w:p>
      <w:pPr>
        <w:pStyle w:val="BodyText"/>
      </w:pPr>
      <w:r>
        <w:rPr>
          <w:iCs/>
          <w:i/>
        </w:rPr>
        <w:t xml:space="preserve">KRISTA can you confirm if the following sentence is describing the transformation from trw into RWI? If it is, we can define RWI here</w:t>
      </w:r>
    </w:p>
    <w:p>
      <w:pPr>
        <w:pStyle w:val="BodyText"/>
      </w:pP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63,64</w:t>
      </w:r>
      <w:r>
        <w:t xml:space="preserve"> </w:t>
      </w:r>
      <w:r>
        <w:t xml:space="preserve">Chronologies were built using the methods described in Helcoski et al. (2019)</w:t>
      </w:r>
      <w:r>
        <w:rPr>
          <w:vertAlign w:val="superscript"/>
        </w:rPr>
        <w:t xml:space="preserve">27</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65</w:t>
      </w:r>
      <w:r>
        <w:t xml:space="preserve"> </w:t>
      </w:r>
      <w:r>
        <w:t xml:space="preserve">and</w:t>
      </w:r>
      <w:r>
        <w:t xml:space="preserve"> </w:t>
      </w:r>
      <w:r>
        <w:t xml:space="preserve">‘</w:t>
      </w:r>
      <w:r>
        <w:t xml:space="preserve">bootRes</w:t>
      </w:r>
      <w:r>
        <w:t xml:space="preserve">’</w:t>
      </w:r>
      <w:r>
        <w:rPr>
          <w:vertAlign w:val="superscript"/>
        </w:rPr>
        <w:t xml:space="preserve">66</w:t>
      </w:r>
      <w:r>
        <w:t xml:space="preserve"> </w:t>
      </w:r>
      <w:r>
        <w:t xml:space="preserve">in R v 4.0 (R Core Team, 2020), which correlated functions and bootstrapped confidence intervals for these relationships</w:t>
      </w:r>
      <w:r>
        <w:rPr>
          <w:vertAlign w:val="superscript"/>
        </w:rPr>
        <w:t xml:space="preserve">67</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bookmarkEnd w:id="32"/>
    <w:bookmarkEnd w:id="33"/>
    <w:bookmarkStart w:id="34" w:name="Acknowledgements"/>
    <w:p>
      <w:pPr>
        <w:pStyle w:val="Heading1"/>
      </w:pPr>
      <w:r>
        <w:t xml:space="preserve">Acknowledgements</w:t>
      </w:r>
    </w:p>
    <w:p>
      <w:pPr>
        <w:numPr>
          <w:ilvl w:val="0"/>
          <w:numId w:val="1002"/>
        </w:numPr>
      </w:pPr>
      <w:r>
        <w:t xml:space="preserve">people: (everyone who helped collect data– see list on GitHub), Jess Shue (data)</w:t>
      </w:r>
    </w:p>
    <w:p>
      <w:pPr>
        <w:numPr>
          <w:ilvl w:val="0"/>
          <w:numId w:val="1002"/>
        </w:numPr>
      </w:pPr>
      <w:r>
        <w:t xml:space="preserve">Funding: ForestGEO</w:t>
      </w:r>
    </w:p>
    <w:p>
      <w:pPr>
        <w:pStyle w:val="FirstParagraph"/>
      </w:pPr>
      <w:r>
        <w:rPr>
          <w:bCs/>
          <w:b/>
        </w:rPr>
        <w:t xml:space="preserve">COAUTHORS, PLEASE ADD.</w:t>
      </w:r>
    </w:p>
    <w:bookmarkEnd w:id="34"/>
    <w:bookmarkStart w:id="35"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David A. Orwig,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5"/>
    <w:bookmarkStart w:id="36"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6"/>
    <w:bookmarkStart w:id="113" w:name="References"/>
    <w:p>
      <w:pPr>
        <w:pStyle w:val="Heading1"/>
      </w:pPr>
      <w:r>
        <w:t xml:space="preserve">References</w:t>
      </w:r>
    </w:p>
    <w:bookmarkStart w:id="112" w:name="refs"/>
    <w:bookmarkStart w:id="37"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7"/>
    <w:bookmarkStart w:id="38"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38"/>
    <w:bookmarkStart w:id="39"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39"/>
    <w:bookmarkStart w:id="40"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40"/>
    <w:bookmarkStart w:id="41"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41"/>
    <w:bookmarkStart w:id="43"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42">
        <w:r>
          <w:rPr>
            <w:rStyle w:val="Hyperlink"/>
          </w:rPr>
          <w:t xml:space="preserve">10.1073/pnas.2002713117</w:t>
        </w:r>
      </w:hyperlink>
      <w:r>
        <w:t xml:space="preserve">.</w:t>
      </w:r>
    </w:p>
    <w:bookmarkEnd w:id="43"/>
    <w:bookmarkStart w:id="44"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4"/>
    <w:bookmarkStart w:id="45"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5"/>
    <w:bookmarkStart w:id="46"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6"/>
    <w:bookmarkStart w:id="47"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7"/>
    <w:bookmarkStart w:id="48"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8"/>
    <w:bookmarkStart w:id="49"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9"/>
    <w:bookmarkStart w:id="50"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0"/>
    <w:bookmarkStart w:id="51"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1"/>
    <w:bookmarkStart w:id="52"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2"/>
    <w:bookmarkStart w:id="53"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3"/>
    <w:bookmarkStart w:id="54"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54"/>
    <w:bookmarkStart w:id="55"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55"/>
    <w:bookmarkStart w:id="56" w:name="ref-pan_large_2011"/>
    <w:p>
      <w:pPr>
        <w:pStyle w:val="Bibliography"/>
      </w:pPr>
      <w:r>
        <w:t xml:space="preserve">19.</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6"/>
    <w:bookmarkStart w:id="57"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7"/>
    <w:bookmarkStart w:id="58"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8"/>
    <w:bookmarkStart w:id="59"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9"/>
    <w:bookmarkStart w:id="60" w:name="ref-keenan_timing_2015"/>
    <w:p>
      <w:pPr>
        <w:pStyle w:val="Bibliography"/>
      </w:pPr>
      <w:r>
        <w:t xml:space="preserve">23.</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60"/>
    <w:bookmarkStart w:id="61" w:name="ref-zohner_how_2021"/>
    <w:p>
      <w:pPr>
        <w:pStyle w:val="Bibliography"/>
      </w:pPr>
      <w:r>
        <w:t xml:space="preserve">24.</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1"/>
    <w:bookmarkStart w:id="63" w:name="ref-dorangeville_peak_2021"/>
    <w:p>
      <w:pPr>
        <w:pStyle w:val="Bibliography"/>
      </w:pPr>
      <w:r>
        <w:t xml:space="preserve">25.</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2">
        <w:r>
          <w:rPr>
            <w:rStyle w:val="Hyperlink"/>
          </w:rPr>
          <w:t xml:space="preserve">10.1093/treephys/tpab101</w:t>
        </w:r>
      </w:hyperlink>
      <w:r>
        <w:t xml:space="preserve">.</w:t>
      </w:r>
    </w:p>
    <w:bookmarkEnd w:id="63"/>
    <w:bookmarkStart w:id="64" w:name="ref-dorangeville_drought_2018"/>
    <w:p>
      <w:pPr>
        <w:pStyle w:val="Bibliography"/>
      </w:pPr>
      <w:r>
        <w:t xml:space="preserve">26.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4"/>
    <w:bookmarkStart w:id="65"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5"/>
    <w:bookmarkStart w:id="66"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6"/>
    <w:bookmarkStart w:id="67" w:name="ref-parmesan_globally_2003"/>
    <w:p>
      <w:pPr>
        <w:pStyle w:val="Bibliography"/>
      </w:pPr>
      <w:r>
        <w:t xml:space="preserve">29.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7"/>
    <w:bookmarkStart w:id="68" w:name="ref-friedl_tale_2014"/>
    <w:p>
      <w:pPr>
        <w:pStyle w:val="Bibliography"/>
      </w:pPr>
      <w:r>
        <w:t xml:space="preserve">30.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8"/>
    <w:bookmarkStart w:id="69" w:name="ref-fu_variation_2014"/>
    <w:p>
      <w:pPr>
        <w:pStyle w:val="Bibliography"/>
      </w:pPr>
      <w:r>
        <w:t xml:space="preserve">31.</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69"/>
    <w:bookmarkStart w:id="70" w:name="ref-zhang_drought_2021"/>
    <w:p>
      <w:pPr>
        <w:pStyle w:val="Bibliography"/>
      </w:pPr>
      <w:r>
        <w:t xml:space="preserve">32.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70"/>
    <w:bookmarkStart w:id="71" w:name="ref-vicente-serrano_multiscalar_2010"/>
    <w:p>
      <w:pPr>
        <w:pStyle w:val="Bibliography"/>
      </w:pPr>
      <w:r>
        <w:t xml:space="preserve">33.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71"/>
    <w:bookmarkStart w:id="72" w:name="ref-zohner_ongoing_2019"/>
    <w:p>
      <w:pPr>
        <w:pStyle w:val="Bibliography"/>
      </w:pPr>
      <w:r>
        <w:t xml:space="preserve">34.</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72"/>
    <w:bookmarkStart w:id="73" w:name="ref-xie_predicting_2018"/>
    <w:p>
      <w:pPr>
        <w:pStyle w:val="Bibliography"/>
      </w:pPr>
      <w:r>
        <w:t xml:space="preserve">35.</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3"/>
    <w:bookmarkStart w:id="74" w:name="ref-cuny_woody_2015"/>
    <w:p>
      <w:pPr>
        <w:pStyle w:val="Bibliography"/>
      </w:pPr>
      <w:r>
        <w:t xml:space="preserve">36.</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4"/>
    <w:bookmarkStart w:id="75" w:name="ref-tardif_influence_2006"/>
    <w:p>
      <w:pPr>
        <w:pStyle w:val="Bibliography"/>
      </w:pPr>
      <w:r>
        <w:t xml:space="preserve">37.</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75"/>
    <w:bookmarkStart w:id="76" w:name="ref-roibu_climatic_2020"/>
    <w:p>
      <w:pPr>
        <w:pStyle w:val="Bibliography"/>
      </w:pPr>
      <w:r>
        <w:t xml:space="preserve">38.</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76"/>
    <w:bookmarkStart w:id="77" w:name="ref-kern_multiple_2013"/>
    <w:p>
      <w:pPr>
        <w:pStyle w:val="Bibliography"/>
      </w:pPr>
      <w:r>
        <w:t xml:space="preserve">39.</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77"/>
    <w:bookmarkStart w:id="78" w:name="ref-trumbore_quantifying_2002"/>
    <w:p>
      <w:pPr>
        <w:pStyle w:val="Bibliography"/>
      </w:pPr>
      <w:r>
        <w:t xml:space="preserve">40.</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8"/>
    <w:bookmarkStart w:id="79"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9"/>
    <w:bookmarkStart w:id="80" w:name="ref-oishi_warmer_2018"/>
    <w:p>
      <w:pPr>
        <w:pStyle w:val="Bibliography"/>
      </w:pPr>
      <w:r>
        <w:t xml:space="preserve">42.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80"/>
    <w:bookmarkStart w:id="81" w:name="ref-kannenberg_linking_2019"/>
    <w:p>
      <w:pPr>
        <w:pStyle w:val="Bibliography"/>
      </w:pPr>
      <w:r>
        <w:t xml:space="preserve">43.</w:t>
      </w:r>
      <w:r>
        <w:t xml:space="preserve"> </w:t>
      </w:r>
      <w:r>
        <w:t xml:space="preserve">	</w:t>
      </w:r>
      <w:r>
        <w:t xml:space="preserve">Kannenberg, S. A.</w:t>
      </w:r>
      <w:r>
        <w:t xml:space="preserve"> </w:t>
      </w:r>
      <w:r>
        <w:rPr>
          <w:iCs/>
          <w:i/>
        </w:rPr>
        <w:t xml:space="preserve">et al.</w:t>
      </w:r>
      <w:r>
        <w:t xml:space="preserve"> Linking drought legacy effects across scales: From leaves to tree rings to ecosystems.</w:t>
      </w:r>
      <w:r>
        <w:t xml:space="preserve"> </w:t>
      </w:r>
      <w:r>
        <w:rPr>
          <w:iCs/>
          <w:i/>
        </w:rPr>
        <w:t xml:space="preserve">Global Change Biology</w:t>
      </w:r>
      <w:r>
        <w:t xml:space="preserve"> </w:t>
      </w:r>
      <w:r>
        <w:rPr>
          <w:bCs/>
          <w:b/>
        </w:rPr>
        <w:t xml:space="preserve">25</w:t>
      </w:r>
      <w:r>
        <w:t xml:space="preserve">, 2978–2992 (2019).</w:t>
      </w:r>
    </w:p>
    <w:bookmarkEnd w:id="81"/>
    <w:bookmarkStart w:id="82" w:name="ref-gessler_way_2020"/>
    <w:p>
      <w:pPr>
        <w:pStyle w:val="Bibliography"/>
      </w:pPr>
      <w:r>
        <w:t xml:space="preserve">44.</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New Phytologist</w:t>
      </w:r>
      <w:r>
        <w:t xml:space="preserve"> </w:t>
      </w:r>
      <w:r>
        <w:rPr>
          <w:bCs/>
          <w:b/>
        </w:rPr>
        <w:t xml:space="preserve">228</w:t>
      </w:r>
      <w:r>
        <w:t xml:space="preserve">, 1704–1709 (2020).</w:t>
      </w:r>
    </w:p>
    <w:bookmarkEnd w:id="82"/>
    <w:bookmarkStart w:id="83" w:name="ref-anderson-teixeira_joint_2021"/>
    <w:p>
      <w:pPr>
        <w:pStyle w:val="Bibliography"/>
      </w:pPr>
      <w:r>
        <w:t xml:space="preserve">45.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3"/>
    <w:bookmarkStart w:id="85" w:name="ref-banburymorgan_global_2021"/>
    <w:p>
      <w:pPr>
        <w:pStyle w:val="Bibliography"/>
      </w:pPr>
      <w:r>
        <w:t xml:space="preserve">46.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4">
        <w:r>
          <w:rPr>
            <w:rStyle w:val="Hyperlink"/>
          </w:rPr>
          <w:t xml:space="preserve">10.1111/gcb.15574</w:t>
        </w:r>
      </w:hyperlink>
      <w:r>
        <w:t xml:space="preserve">.</w:t>
      </w:r>
    </w:p>
    <w:bookmarkEnd w:id="85"/>
    <w:bookmarkStart w:id="86" w:name="ref-churkina_spatial_2005"/>
    <w:p>
      <w:pPr>
        <w:pStyle w:val="Bibliography"/>
      </w:pPr>
      <w:r>
        <w:t xml:space="preserve">47.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86"/>
    <w:bookmarkStart w:id="87" w:name="ref-bourg_initial_2013"/>
    <w:p>
      <w:pPr>
        <w:pStyle w:val="Bibliography"/>
      </w:pPr>
      <w:r>
        <w:t xml:space="preserve">48.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7"/>
    <w:bookmarkStart w:id="88" w:name="ref-anderson-teixeira_ctfsforestgeo_2015"/>
    <w:p>
      <w:pPr>
        <w:pStyle w:val="Bibliography"/>
      </w:pPr>
      <w:r>
        <w:t xml:space="preserve">49.</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88"/>
    <w:bookmarkStart w:id="89" w:name="ref-davies_forestgeo_2021"/>
    <w:p>
      <w:pPr>
        <w:pStyle w:val="Bibliography"/>
      </w:pPr>
      <w:r>
        <w:t xml:space="preserve">50.</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9"/>
    <w:bookmarkStart w:id="91" w:name="ref-friedl_mcd12q2_2019"/>
    <w:p>
      <w:pPr>
        <w:pStyle w:val="Bibliography"/>
      </w:pPr>
      <w:r>
        <w:t xml:space="preserve">51.</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90">
        <w:r>
          <w:rPr>
            <w:rStyle w:val="Hyperlink"/>
          </w:rPr>
          <w:t xml:space="preserve">10.5067/MODIS/MCD12Q2.006</w:t>
        </w:r>
      </w:hyperlink>
      <w:r>
        <w:t xml:space="preserve">.</w:t>
      </w:r>
    </w:p>
    <w:bookmarkEnd w:id="91"/>
    <w:bookmarkStart w:id="93" w:name="ref-anderson-teixeira_forestgeo_2020"/>
    <w:p>
      <w:pPr>
        <w:pStyle w:val="Bibliography"/>
      </w:pPr>
      <w:r>
        <w:t xml:space="preserve">52.</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2">
        <w:r>
          <w:rPr>
            <w:rStyle w:val="Hyperlink"/>
          </w:rPr>
          <w:t xml:space="preserve">10.5281/ZENODO.4041609</w:t>
        </w:r>
      </w:hyperlink>
      <w:r>
        <w:t xml:space="preserve">.</w:t>
      </w:r>
    </w:p>
    <w:bookmarkEnd w:id="93"/>
    <w:bookmarkStart w:id="94" w:name="ref-benestad_empiricalstatistical_2008"/>
    <w:p>
      <w:pPr>
        <w:pStyle w:val="Bibliography"/>
      </w:pPr>
      <w:r>
        <w:t xml:space="preserve">53.</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94"/>
    <w:bookmarkStart w:id="96" w:name="ref-boose_shaler_2021"/>
    <w:p>
      <w:pPr>
        <w:pStyle w:val="Bibliography"/>
      </w:pPr>
      <w:r>
        <w:t xml:space="preserve">54.</w:t>
      </w:r>
      <w:r>
        <w:t xml:space="preserve"> </w:t>
      </w:r>
      <w:r>
        <w:t xml:space="preserve">	</w:t>
      </w:r>
      <w:r>
        <w:t xml:space="preserve">Boose, E. &amp; Gould, E. Shaler meteorological station at harvard forest 1964-2002. (2021) doi:</w:t>
      </w:r>
      <w:hyperlink r:id="rId95">
        <w:r>
          <w:rPr>
            <w:rStyle w:val="Hyperlink"/>
          </w:rPr>
          <w:t xml:space="preserve">10.6073/PASTA/213335F5DAA17222A738C105B9FA60C4</w:t>
        </w:r>
      </w:hyperlink>
      <w:r>
        <w:t xml:space="preserve">.</w:t>
      </w:r>
    </w:p>
    <w:bookmarkEnd w:id="96"/>
    <w:bookmarkStart w:id="98" w:name="ref-boose_fisher_2021"/>
    <w:p>
      <w:pPr>
        <w:pStyle w:val="Bibliography"/>
      </w:pPr>
      <w:r>
        <w:t xml:space="preserve">55.</w:t>
      </w:r>
      <w:r>
        <w:t xml:space="preserve"> </w:t>
      </w:r>
      <w:r>
        <w:t xml:space="preserve">	</w:t>
      </w:r>
      <w:r>
        <w:t xml:space="preserve">Boose, E. Fisher meteorological station at harvard forest since 2001. (2021) doi:</w:t>
      </w:r>
      <w:hyperlink r:id="rId97">
        <w:r>
          <w:rPr>
            <w:rStyle w:val="Hyperlink"/>
          </w:rPr>
          <w:t xml:space="preserve">10.6073/PASTA/69E92642B512897032446CFE795CFFB8</w:t>
        </w:r>
      </w:hyperlink>
      <w:r>
        <w:t xml:space="preserve">.</w:t>
      </w:r>
    </w:p>
    <w:bookmarkEnd w:id="98"/>
    <w:bookmarkStart w:id="99" w:name="ref-harris_version_2020"/>
    <w:p>
      <w:pPr>
        <w:pStyle w:val="Bibliography"/>
      </w:pPr>
      <w:r>
        <w:t xml:space="preserve">56.</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9"/>
    <w:bookmarkStart w:id="100" w:name="ref-vandepol_identifying_2016"/>
    <w:p>
      <w:pPr>
        <w:pStyle w:val="Bibliography"/>
      </w:pPr>
      <w:r>
        <w:t xml:space="preserve">57.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00"/>
    <w:bookmarkStart w:id="101" w:name="ref-gabry_rstanarm_2020"/>
    <w:p>
      <w:pPr>
        <w:pStyle w:val="Bibliography"/>
      </w:pPr>
      <w:r>
        <w:t xml:space="preserve">58.</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101"/>
    <w:bookmarkStart w:id="102" w:name="ref-stokes_introduction_1968"/>
    <w:p>
      <w:pPr>
        <w:pStyle w:val="Bibliography"/>
      </w:pPr>
      <w:r>
        <w:t xml:space="preserve">59.</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102"/>
    <w:bookmarkStart w:id="103" w:name="ref-alexander_potential_2019"/>
    <w:p>
      <w:pPr>
        <w:pStyle w:val="Bibliography"/>
      </w:pPr>
      <w:r>
        <w:t xml:space="preserve">60.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03"/>
    <w:bookmarkStart w:id="104" w:name="ref-dye_comparing_2016"/>
    <w:p>
      <w:pPr>
        <w:pStyle w:val="Bibliography"/>
      </w:pPr>
      <w:r>
        <w:t xml:space="preserve">61.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04"/>
    <w:bookmarkStart w:id="105" w:name="ref-maxwell_sampling_2020"/>
    <w:p>
      <w:pPr>
        <w:pStyle w:val="Bibliography"/>
      </w:pPr>
      <w:r>
        <w:t xml:space="preserve">62.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05"/>
    <w:bookmarkStart w:id="106" w:name="ref-cook_time_1985"/>
    <w:p>
      <w:pPr>
        <w:pStyle w:val="Bibliography"/>
      </w:pPr>
      <w:r>
        <w:t xml:space="preserve">63.</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6"/>
    <w:bookmarkStart w:id="108" w:name="ref-cook_methods_1990"/>
    <w:p>
      <w:pPr>
        <w:pStyle w:val="Bibliography"/>
      </w:pPr>
      <w:r>
        <w:t xml:space="preserve">64.</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7">
        <w:r>
          <w:rPr>
            <w:rStyle w:val="Hyperlink"/>
          </w:rPr>
          <w:t xml:space="preserve">10.1007/978-94-015-7879-0</w:t>
        </w:r>
      </w:hyperlink>
      <w:r>
        <w:t xml:space="preserve">.</w:t>
      </w:r>
    </w:p>
    <w:bookmarkEnd w:id="108"/>
    <w:bookmarkStart w:id="109" w:name="ref-bunn_dendrochronology_2008"/>
    <w:p>
      <w:pPr>
        <w:pStyle w:val="Bibliography"/>
      </w:pPr>
      <w:r>
        <w:t xml:space="preserve">65.</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09"/>
    <w:bookmarkStart w:id="110" w:name="ref-zang_dendroclimatic_2013"/>
    <w:p>
      <w:pPr>
        <w:pStyle w:val="Bibliography"/>
      </w:pPr>
      <w:r>
        <w:t xml:space="preserve">66.</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10"/>
    <w:bookmarkStart w:id="111" w:name="ref-biondi_dendroclim2002_2004"/>
    <w:p>
      <w:pPr>
        <w:pStyle w:val="Bibliography"/>
      </w:pPr>
      <w:r>
        <w:t xml:space="preserve">67.</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11"/>
    <w:bookmarkEnd w:id="112"/>
    <w:bookmarkEnd w:id="113"/>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107" Target="https://doi.org/10.1007/978-94-015-7879-0" TargetMode="External" /><Relationship Type="http://schemas.openxmlformats.org/officeDocument/2006/relationships/hyperlink" Id="rId42" Target="https://doi.org/10.1073/pnas.2002713117" TargetMode="External" /><Relationship Type="http://schemas.openxmlformats.org/officeDocument/2006/relationships/hyperlink" Id="rId62" Target="https://doi.org/10.1093/treephys/tpab101" TargetMode="External" /><Relationship Type="http://schemas.openxmlformats.org/officeDocument/2006/relationships/hyperlink" Id="rId84" Target="https://doi.org/10.1111/gcb.15574" TargetMode="External" /><Relationship Type="http://schemas.openxmlformats.org/officeDocument/2006/relationships/hyperlink" Id="rId90" Target="https://doi.org/10.5067/MODIS/MCD12Q2.006" TargetMode="External" /><Relationship Type="http://schemas.openxmlformats.org/officeDocument/2006/relationships/hyperlink" Id="rId92" Target="https://doi.org/10.5281/ZENODO.4041609" TargetMode="External" /><Relationship Type="http://schemas.openxmlformats.org/officeDocument/2006/relationships/hyperlink" Id="rId95" Target="https://doi.org/10.6073/PASTA/213335F5DAA17222A738C105B9FA60C4" TargetMode="External" /><Relationship Type="http://schemas.openxmlformats.org/officeDocument/2006/relationships/hyperlink" Id="rId97" Target="https://doi.org/10.6073/PASTA/69E92642B512897032446CFE795CFFB8" TargetMode="External" /><Relationship Type="http://schemas.openxmlformats.org/officeDocument/2006/relationships/hyperlink" Id="rId29" Target="https://forestgeo.github.io/Climate/" TargetMode="External" /><Relationship Type="http://schemas.openxmlformats.org/officeDocument/2006/relationships/hyperlink" Id="rId30"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7" Target="https://doi.org/10.1007/978-94-015-7879-0" TargetMode="External" /><Relationship Type="http://schemas.openxmlformats.org/officeDocument/2006/relationships/hyperlink" Id="rId42" Target="https://doi.org/10.1073/pnas.2002713117" TargetMode="External" /><Relationship Type="http://schemas.openxmlformats.org/officeDocument/2006/relationships/hyperlink" Id="rId62" Target="https://doi.org/10.1093/treephys/tpab101" TargetMode="External" /><Relationship Type="http://schemas.openxmlformats.org/officeDocument/2006/relationships/hyperlink" Id="rId84" Target="https://doi.org/10.1111/gcb.15574" TargetMode="External" /><Relationship Type="http://schemas.openxmlformats.org/officeDocument/2006/relationships/hyperlink" Id="rId90" Target="https://doi.org/10.5067/MODIS/MCD12Q2.006" TargetMode="External" /><Relationship Type="http://schemas.openxmlformats.org/officeDocument/2006/relationships/hyperlink" Id="rId92" Target="https://doi.org/10.5281/ZENODO.4041609" TargetMode="External" /><Relationship Type="http://schemas.openxmlformats.org/officeDocument/2006/relationships/hyperlink" Id="rId95" Target="https://doi.org/10.6073/PASTA/213335F5DAA17222A738C105B9FA60C4" TargetMode="External" /><Relationship Type="http://schemas.openxmlformats.org/officeDocument/2006/relationships/hyperlink" Id="rId97" Target="https://doi.org/10.6073/PASTA/69E92642B512897032446CFE795CFFB8" TargetMode="External" /><Relationship Type="http://schemas.openxmlformats.org/officeDocument/2006/relationships/hyperlink" Id="rId29" Target="https://forestgeo.github.io/Climate/" TargetMode="External" /><Relationship Type="http://schemas.openxmlformats.org/officeDocument/2006/relationships/hyperlink" Id="rId30"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2021-11-12T15:08:46Z</dcterms:created>
  <dcterms:modified xsi:type="dcterms:W3CDTF">2021-11-12T15:08:46Z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