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net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1,3–8</w:t>
      </w:r>
      <w:r>
        <w:rPr>
          <w:bCs/>
          <w:b/>
        </w:rPr>
        <w:t xml:space="preserve">.</w:t>
      </w:r>
      <w:r>
        <w:t xml:space="preserve"> </w:t>
      </w:r>
      <w:r>
        <w:rPr>
          <w:bCs/>
          <w:b/>
        </w:rPr>
        <w:t xml:space="preserve">However, less is known about how spring temperatures affect tree stem growth</w:t>
      </w:r>
      <w:r>
        <w:rPr>
          <w:vertAlign w:val="superscript"/>
          <w:bCs/>
          <w:b/>
        </w:rPr>
        <w:t xml:space="preserve">9,10</w:t>
      </w:r>
      <w:r>
        <w:rPr>
          <w:bCs/>
          <w:b/>
        </w:rPr>
        <w:t xml:space="preserve">, which sequesters carbon (C) in wood that has a long residence time in the ecosystem</w:t>
      </w:r>
      <w:r>
        <w:rPr>
          <w:vertAlign w:val="superscript"/>
          <w:bCs/>
          <w:b/>
        </w:rPr>
        <w:t xml:space="preserve">11,12</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4–6</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1,13</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14</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14</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15</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16–18</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1,3,19</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1,19</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2,13,16</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11,12</w:t>
      </w:r>
      <w:r>
        <w:t xml:space="preserve">, as opposed to being rapidly released back to the atmosphere through respiration</w:t>
      </w:r>
      <w:r>
        <w:rPr>
          <w:vertAlign w:val="superscript"/>
        </w:rPr>
        <w:t xml:space="preserve">20,21</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10,18,22</w:t>
      </w:r>
      <w:r>
        <w:t xml:space="preserve">.</w:t>
      </w:r>
      <w:r>
        <w:t xml:space="preserve"> </w:t>
      </w:r>
      <w:r>
        <w:t xml:space="preserve">As a result, the consequences of rising spring temperatures on stem growth may not be accurately represented in models</w:t>
      </w:r>
      <w:r>
        <w:rPr>
          <w:vertAlign w:val="superscript"/>
        </w:rPr>
        <w:t xml:space="preserve">10,18</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growth responses to warmer spring temperatures have focused on boreal or temperate conifers, which tend to respond to warmer spring temperatures with an earlier start to growth</w:t>
      </w:r>
      <w:r>
        <w:rPr>
          <w:vertAlign w:val="superscript"/>
        </w:rPr>
        <w:t xml:space="preserve">23,</w:t>
      </w:r>
      <w:r>
        <w:rPr>
          <w:vertAlign w:val="superscript"/>
        </w:rPr>
        <w:t xml:space="preserve"> </w:t>
      </w:r>
      <w:r>
        <w:rPr>
          <w:vertAlign w:val="superscript"/>
        </w:rPr>
        <w:t xml:space="preserve">24</w:t>
      </w:r>
      <w:r>
        <w:t xml:space="preserve"> </w:t>
      </w:r>
      <w:r>
        <w:t xml:space="preserve">and increased annual growth in mesic climates</w:t>
      </w:r>
      <w:r>
        <w:rPr>
          <w:vertAlign w:val="superscript"/>
        </w:rPr>
        <w:t xml:space="preserve">25,</w:t>
      </w:r>
      <w:r>
        <w:rPr>
          <w:vertAlign w:val="superscript"/>
        </w:rPr>
        <w:t xml:space="preserve"> </w:t>
      </w:r>
      <w:r>
        <w:rPr>
          <w:vertAlign w:val="superscript"/>
        </w:rPr>
        <w:t xml:space="preserve">26</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9,10</w:t>
      </w:r>
      <w:r>
        <w:t xml:space="preserve">.</w:t>
      </w:r>
      <w:r>
        <w:t xml:space="preserve"> </w:t>
      </w:r>
      <w:r>
        <w:t xml:space="preserve">Close coordination of budburst and initiation of xylogenesis</w:t>
      </w:r>
      <w:r>
        <w:rPr>
          <w:vertAlign w:val="superscript"/>
        </w:rPr>
        <w:t xml:space="preserve">10</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27,28</w:t>
      </w:r>
      <w:r>
        <w:t xml:space="preserve">, and annual growth is more closely linked to conditions within the growing season than to growing season length</w:t>
      </w:r>
      <w:r>
        <w:rPr>
          <w:vertAlign w:val="superscript"/>
        </w:rPr>
        <w:t xml:space="preserve">29</w:t>
      </w:r>
      <w:r>
        <w:t xml:space="preserve">, GPP</w:t>
      </w:r>
      <w:r>
        <w:rPr>
          <w:vertAlign w:val="superscript"/>
        </w:rPr>
        <w:t xml:space="preserve">22</w:t>
      </w:r>
      <w:r>
        <w:t xml:space="preserve">, or NEE</w:t>
      </w:r>
      <w:r>
        <w:rPr>
          <w:vertAlign w:val="superscript"/>
        </w:rPr>
        <w:t xml:space="preserve">22</w:t>
      </w:r>
      <w:r>
        <w:t xml:space="preserve">.</w:t>
      </w:r>
      <w:r>
        <w:t xml:space="preserve"> </w:t>
      </w:r>
      <w:r>
        <w:t xml:space="preserve">Furthermore, growth of broadleaf deciduous trees may be sink-saturated</w:t>
      </w:r>
      <w:r>
        <w:rPr>
          <w:vertAlign w:val="superscript"/>
        </w:rPr>
        <w:t xml:space="preserve">18,30</w:t>
      </w:r>
      <w:r>
        <w:t xml:space="preserve">, such that longer growing seasons with more C fixation do not necessarily augment growth</w:t>
      </w:r>
      <w:r>
        <w:rPr>
          <w:vertAlign w:val="superscript"/>
        </w:rPr>
        <w:t xml:space="preserve">22,31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26,33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1,19</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28,35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 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rPr>
                <m:sty m:val="p"/>
              </m:rPr>
              <m:t>∘</m:t>
            </m:r>
          </m:sup>
        </m:sSup>
      </m:oMath>
      <w:r>
        <w:t xml:space="preserve">C at SCBI (p=0.016) and 2.4 days/</w:t>
      </w:r>
      <w:r>
        <w:t xml:space="preserve"> </w:t>
      </w:r>
      <m:oMath>
        <m:sSup>
          <m:e>
            <m:r>
              <m:t>​</m:t>
            </m:r>
          </m:e>
          <m:sup>
            <m:r>
              <m:rPr>
                <m:sty m:val="p"/>
              </m:rPr>
              <m:t>∘</m:t>
            </m:r>
          </m:sup>
        </m:sSup>
      </m:oMath>
      <w:r>
        <w:t xml:space="preserve">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 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w:t>
      </w:r>
      <w:r>
        <w:t xml:space="preserve"> </w:t>
      </w:r>
      <m:oMath>
        <m:sSup>
          <m:e>
            <m:r>
              <m:t>​</m:t>
            </m:r>
          </m:e>
          <m:sup>
            <m:r>
              <m:rPr>
                <m:sty m:val="p"/>
              </m:rPr>
              <m:t>∘</m:t>
            </m:r>
          </m:sup>
        </m:sSup>
      </m:oMath>
      <w:r>
        <w:t xml:space="preserve">C for ring porous species and 2.8-2.9 days/</w:t>
      </w:r>
      <w:r>
        <w:t xml:space="preserve"> </w:t>
      </w:r>
      <m:oMath>
        <m:sSup>
          <m:e>
            <m:r>
              <m:t>​</m:t>
            </m:r>
          </m:e>
          <m:sup>
            <m:r>
              <m:rPr>
                <m:sty m:val="p"/>
              </m:rPr>
              <m:t>∘</m:t>
            </m:r>
          </m:sup>
        </m:sSup>
      </m:oMath>
      <w:r>
        <w:t xml:space="preserve">C for diffuse porous species at SCBI, and 10.3-12.3 days/</w:t>
      </w:r>
      <w:r>
        <w:t xml:space="preserve"> </w:t>
      </w:r>
      <m:oMath>
        <m:sSup>
          <m:e>
            <m:r>
              <m:t>​</m:t>
            </m:r>
          </m:e>
          <m:sup>
            <m:r>
              <m:rPr>
                <m:sty m:val="p"/>
              </m:rPr>
              <m:t>∘</m:t>
            </m:r>
          </m:sup>
        </m:sSup>
      </m:oMath>
      <w:r>
        <w:t xml:space="preserve">C for ring porous species and 0.9-4.2 days/</w:t>
      </w:r>
      <w:r>
        <w:t xml:space="preserve"> </w:t>
      </w:r>
      <m:oMath>
        <m:sSup>
          <m:e>
            <m:r>
              <m:t>​</m:t>
            </m:r>
          </m:e>
          <m:sup>
            <m:r>
              <m:rPr>
                <m:sty m:val="p"/>
              </m:rPr>
              <m:t>∘</m:t>
            </m:r>
          </m:sup>
        </m:sSup>
      </m:oMath>
      <w:r>
        <w:t xml:space="preserve">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 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m:oMath>
        <m:r>
          <m:t>Δ</m:t>
        </m:r>
        <m:r>
          <m:t>D</m:t>
        </m:r>
        <m:r>
          <m:t>B</m:t>
        </m:r>
        <m:r>
          <m:t>H</m:t>
        </m:r>
      </m:oMath>
      <w:r>
        <w:t xml:space="preserve"> </w:t>
      </w:r>
      <w:r>
        <w:t xml:space="preserve">were usually weak and inconsistent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 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rPr>
                <m:sty m:val="p"/>
              </m:rPr>
              <m:t>∘</m:t>
            </m:r>
          </m:sup>
        </m:sSup>
      </m:oMath>
      <w:r>
        <w:t xml:space="preserve">C) with CTW</w:t>
      </w:r>
      <w:r>
        <w:t xml:space="preserve"> </w:t>
      </w:r>
      <w:r>
        <w:rPr>
          <w:iCs/>
          <w:i/>
        </w:rPr>
        <w:t xml:space="preserve">T</w:t>
      </w:r>
      <w:r>
        <w:rPr>
          <w:vertAlign w:val="subscript"/>
          <w:iCs/>
          <w:i/>
        </w:rPr>
        <w:t xml:space="preserve">max</w:t>
      </w:r>
      <w:r>
        <w:t xml:space="preserve"> </w:t>
      </w:r>
      <w:r>
        <w:t xml:space="preserve">at SCBI and a weak negative relationship (-0.02-0.003 cm/</w:t>
      </w:r>
      <w:r>
        <w:t xml:space="preserve"> </w:t>
      </w:r>
      <m:oMath>
        <m:sSup>
          <m:e>
            <m:r>
              <m:t>​</m:t>
            </m:r>
          </m:e>
          <m:sup>
            <m:r>
              <m:rPr>
                <m:sty m:val="p"/>
              </m:rPr>
              <m:t>∘</m:t>
            </m:r>
          </m:sup>
        </m:sSup>
      </m:oMath>
      <w:r>
        <w:t xml:space="preserve">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rPr>
                <m:sty m:val="p"/>
              </m:rPr>
              <m:t>∘</m:t>
            </m:r>
          </m:sup>
        </m:sSup>
      </m:oMath>
      <w:r>
        <w:t xml:space="preserve">N latitude) to Michigan (45.56</w:t>
      </w:r>
      <m:oMath>
        <m:sSup>
          <m:e>
            <m:r>
              <m:t>​</m:t>
            </m:r>
          </m:e>
          <m:sup>
            <m:r>
              <m:rPr>
                <m:sty m:val="p"/>
              </m:rPr>
              <m:t>∘</m:t>
            </m:r>
          </m:sup>
        </m:sSup>
      </m:oMath>
      <w:r>
        <w:t xml:space="preserve">N latitude) and spanning a 15</w:t>
      </w:r>
      <w:r>
        <w:t xml:space="preserve"> </w:t>
      </w:r>
      <m:oMath>
        <m:sSup>
          <m:e>
            <m:r>
              <m:t>​</m:t>
            </m:r>
          </m:e>
          <m:sup>
            <m:r>
              <m:rPr>
                <m:sty m:val="p"/>
              </m:rPr>
              <m:t>∘</m:t>
            </m:r>
          </m:sup>
        </m:sSup>
      </m:oMath>
      <w:r>
        <w:t xml:space="preserve">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 RWI 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 negative effect of summer temperatures might offset an enhancement of growth by warmer spring temperatures, we tested for the joint effects of April and June-July</w:t>
      </w:r>
      <w:r>
        <w:t xml:space="preserve"> </w:t>
      </w:r>
      <w:r>
        <w:rPr>
          <w:iCs/>
          <w:i/>
        </w:rPr>
        <w:t xml:space="preserve">T</w:t>
      </w:r>
      <w:r>
        <w:rPr>
          <w:vertAlign w:val="subscript"/>
          <w:iCs/>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rPr>
            <m:sty m:val="p"/>
          </m:rPr>
          <m:t>≤</m:t>
        </m:r>
      </m:oMath>
      <w:r>
        <w:t xml:space="preserve"> </w:t>
      </w:r>
      <w:r>
        <w:t xml:space="preserve">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3,29</w:t>
      </w:r>
      <w:r>
        <w:t xml:space="preserve">, is driven by cues other than photosynthate limitation, such as water stress</w:t>
      </w:r>
      <w:r>
        <w:rPr>
          <w:vertAlign w:val="superscript"/>
        </w:rPr>
        <w:t xml:space="preserve">22,27,29</w:t>
      </w:r>
      <w:r>
        <w:t xml:space="preserve">, nutrient limitation</w:t>
      </w:r>
      <w:r>
        <w:rPr>
          <w:vertAlign w:val="superscript"/>
        </w:rPr>
        <w:t xml:space="preserve">37</w:t>
      </w:r>
      <w:r>
        <w:t xml:space="preserve">, daylength</w:t>
      </w:r>
      <w:r>
        <w:rPr>
          <w:vertAlign w:val="superscript"/>
        </w:rPr>
        <w:t xml:space="preserve">29</w:t>
      </w:r>
      <w:r>
        <w:t xml:space="preserve">, or sink saturation</w:t>
      </w:r>
      <w:r>
        <w:rPr>
          <w:vertAlign w:val="superscript"/>
        </w:rPr>
        <w:t xml:space="preserve">22,30</w:t>
      </w:r>
      <w:r>
        <w:t xml:space="preserve">.</w:t>
      </w:r>
      <w:r>
        <w:t xml:space="preserve"> </w:t>
      </w:r>
      <w:r>
        <w:t xml:space="preserve">This adds to a growing body of evidence for a sink limitation of stem growth</w:t>
      </w:r>
      <w:r>
        <w:rPr>
          <w:vertAlign w:val="superscript"/>
        </w:rPr>
        <w:t xml:space="preserve">18,22</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20,29</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3,19</w:t>
      </w:r>
      <w:r>
        <w:t xml:space="preserve"> </w:t>
      </w:r>
      <w:r>
        <w:t xml:space="preserve">and increase net annual CO</w:t>
      </w:r>
      <w:r>
        <w:rPr>
          <w:vertAlign w:val="subscript"/>
        </w:rPr>
        <w:t xml:space="preserve">2</w:t>
      </w:r>
      <w:r>
        <w:t xml:space="preserve"> </w:t>
      </w:r>
      <w:r>
        <w:t xml:space="preserve">uptake</w:t>
      </w:r>
      <w:r>
        <w:rPr>
          <w:vertAlign w:val="superscript"/>
        </w:rPr>
        <w:t xml:space="preserve">1,3–8</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22</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31</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20</w:t>
      </w:r>
      <w:r>
        <w:t xml:space="preserve">.</w:t>
      </w:r>
      <w:r>
        <w:t xml:space="preserve"> </w:t>
      </w:r>
      <w:r>
        <w:t xml:space="preserve">Consistent with this, it has been observed that C gains from an earlier spring can be offset through fall or winter respiration</w:t>
      </w:r>
      <w:r>
        <w:rPr>
          <w:vertAlign w:val="superscript"/>
        </w:rPr>
        <w:t xml:space="preserve">21</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1,7,8</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31,47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an important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(Fig.3, Extended Data Figure 7), when increased atmospheric demand associated with high temperatures can limit both leaf-level gas exchange and stem growth</w:t>
      </w:r>
      <w:r>
        <w:rPr>
          <w:vertAlign w:val="superscript"/>
        </w:rPr>
        <w:t xml:space="preserve">22,27,29,48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25,32,33,44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26</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1,2,13</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16</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w:t>
      </w:r>
      <m:oMath>
        <m:r>
          <m:rPr>
            <m:sty m:val="p"/>
          </m:rPr>
          <m:t>±</m:t>
        </m:r>
      </m:oMath>
      <w:r>
        <w:t xml:space="preserve"> </w:t>
      </w:r>
      <w:r>
        <w:t xml:space="preserve">1.4°C (mean</w:t>
      </w:r>
      <w:r>
        <w:t xml:space="preserve"> </w:t>
      </w:r>
      <m:oMath>
        <m:r>
          <m:rPr>
            <m:sty m:val="p"/>
          </m:rPr>
          <m:t>±</m:t>
        </m:r>
      </m:oMath>
      <w:r>
        <w:t xml:space="preserve"> </w:t>
      </w:r>
      <w:r>
        <w:t xml:space="preserve">1SD) prior to the study period (range: 14.1-19.9) and 17.6</w:t>
      </w:r>
      <m:oMath>
        <m:r>
          <m:rPr>
            <m:sty m:val="p"/>
          </m:rPr>
          <m:t>±</m:t>
        </m:r>
      </m:oMath>
      <w:r>
        <w:t xml:space="preserve"> </w:t>
      </w:r>
      <w:r>
        <w:t xml:space="preserve">1.7°C (range: 15.6-20) during the study period, while summer SPEI was -0.06</w:t>
      </w:r>
      <m:oMath>
        <m:r>
          <m:rPr>
            <m:sty m:val="p"/>
          </m:rPr>
          <m:t>±</m:t>
        </m:r>
      </m:oMath>
      <w:r>
        <w:t xml:space="preserve"> </w:t>
      </w:r>
      <w:r>
        <w:t xml:space="preserve">1.02 (range: -1.7-2.4) prior to the study period and 0.5</w:t>
      </w:r>
      <m:oMath>
        <m:r>
          <m:rPr>
            <m:sty m:val="p"/>
          </m:rP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w:t>
      </w:r>
      <m:oMath>
        <m:r>
          <m:rPr>
            <m:sty m:val="p"/>
          </m:rPr>
          <m:t>±</m:t>
        </m:r>
      </m:oMath>
      <w:r>
        <w:t xml:space="preserve"> </w:t>
      </w:r>
      <w:r>
        <w:t xml:space="preserve">1.5°C prior to the study period (range: 8.0-13.2) and 11.2</w:t>
      </w:r>
      <m:oMath>
        <m:r>
          <m:rPr>
            <m:sty m:val="p"/>
          </m:rPr>
          <m:t>±</m:t>
        </m:r>
      </m:oMath>
      <w:r>
        <w:t xml:space="preserve"> </w:t>
      </w:r>
      <w:r>
        <w:t xml:space="preserve">1.0°C (range: 10.1-12.2) during the study period, while summer SPEI was 0.1</w:t>
      </w:r>
      <m:oMath>
        <m:r>
          <m:rPr>
            <m:sty m:val="p"/>
          </m:rPr>
          <m:t>±</m:t>
        </m:r>
      </m:oMath>
      <w:r>
        <w:t xml:space="preserve"> </w:t>
      </w:r>
      <w:r>
        <w:t xml:space="preserve">0.9 (range: -1.8-1.7) prior to the study period and 0.2</w:t>
      </w:r>
      <m:oMath>
        <m:r>
          <m:rPr>
            <m:sty m:val="p"/>
          </m:rP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rPr>
            <m:sty m:val="p"/>
          </m:rP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2708</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w:t>
      </w:r>
      <w:r>
        <w:t xml:space="preserve"> </w:t>
      </w:r>
      <w:r>
        <w:t xml:space="preserve">We used the first and last manual dendrometer band measurements as starting points to calculate these two variables.</w:t>
      </w:r>
      <w:r>
        <w:t xml:space="preserve"> </w:t>
      </w:r>
      <w:r>
        <w:t xml:space="preserve">With this method, initial measurements too late in the growing season which miss the start of the growing season can cause incorrect estimations of</w:t>
      </w:r>
      <w:r>
        <w:t xml:space="preserve"> </w:t>
      </w:r>
      <m:oMath>
        <m:r>
          <m:t>a</m:t>
        </m:r>
      </m:oMath>
      <w:r>
        <w:t xml:space="preserve"> </w:t>
      </w:r>
      <w:r>
        <w:t xml:space="preserve">and</w:t>
      </w:r>
      <w:r>
        <w:t xml:space="preserve"> </w:t>
      </w:r>
      <m:oMath>
        <m:r>
          <m:t>b</m:t>
        </m:r>
      </m:oMath>
      <w:r>
        <w:t xml:space="preserve">.</w:t>
      </w:r>
      <w:r>
        <w:t xml:space="preserve"> </w:t>
      </w:r>
      <w:r>
        <w:t xml:space="preserve">The 1998 survey at Harvard Forest recorded first measurements on May 26, which is less than 2 weeks away from the average DOY25 at this site.</w:t>
      </w:r>
      <w:r>
        <w:t xml:space="preserve"> </w:t>
      </w:r>
      <w:r>
        <w:t xml:space="preserve">This late start made the calculation of timing and total growth variables unreliable, so we removed tree years in 1998 from our analysis.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w:t>
      </w:r>
      <w:r>
        <w:t xml:space="preserve"> </w:t>
      </w:r>
      <m:oMath>
        <m:r>
          <m:rPr>
            <m:sty m:val="p"/>
          </m:rP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w:t>
      </w:r>
      <w:r>
        <w:t xml:space="preserve"> </w:t>
      </w:r>
      <m:oMath>
        <m:r>
          <m:rPr>
            <m:sty m:val="p"/>
          </m:rP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2399 tree-year records deemed appropriate for analysis, leaving a total of 2210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 CTW 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Cs/>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m:oMath>
        <m:r>
          <m:t>Δ</m:t>
        </m:r>
        <m:r>
          <m:t>D</m:t>
        </m:r>
        <m:r>
          <m:t>B</m:t>
        </m:r>
        <m:r>
          <m:t>H</m:t>
        </m:r>
      </m:oMath>
      <w:r>
        <w:t xml:space="preserve">, Fig. 1) and 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rPr>
            <m:sty m:val="p"/>
          </m:rP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w:t>
      </w:r>
      <w:r>
        <w:t xml:space="preserve">to assess correlations, provide bootstrapped confidence intervals for these relationships, and create summary figures (Fig. 3, Extended Data Figures 6-7).</w:t>
      </w:r>
      <w:r>
        <w:t xml:space="preserve"> </w:t>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members of the ForestGEO Ecosystems &amp; Climate Lab at SCBI, and four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rPr>
                <m:sty m:val="p"/>
              </m:rP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correlation between monthly</w:t>
      </w:r>
      <w:r>
        <w:t xml:space="preserve"> </w:t>
      </w:r>
      <w:r>
        <w:rPr>
          <w:iCs/>
          <w:i/>
        </w:rPr>
        <w:t xml:space="preserve">T</w:t>
      </w:r>
      <w:r>
        <w:rPr>
          <w:vertAlign w:val="subscript"/>
          <w:iCs/>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crabbe_extreme_2016"/>
    <w:p>
      <w:pPr>
        <w:pStyle w:val="Bibliography"/>
      </w:pPr>
      <w:r>
        <w:t xml:space="preserve">6.</w:t>
      </w:r>
      <w:r>
        <w:t xml:space="preserve"> </w:t>
      </w:r>
      <w:r>
        <w:t xml:space="preserve">	</w:t>
      </w:r>
      <w:r>
        <w:t xml:space="preserve">Crabbe, R. A.</w:t>
      </w:r>
      <w:r>
        <w:t xml:space="preserve"> </w:t>
      </w:r>
      <w:r>
        <w:rPr>
          <w:iCs/>
          <w:i/>
        </w:rPr>
        <w:t xml:space="preserve">et al.</w:t>
      </w:r>
      <w:r>
        <w:t xml:space="preserve"> Extreme warm temperatures alter forest phenology and productivity in</w:t>
      </w:r>
      <w:r>
        <w:t xml:space="preserve"> </w:t>
      </w:r>
      <w:r>
        <w:t xml:space="preserve">Europe</w:t>
      </w:r>
      <w:r>
        <w:t xml:space="preserve">.</w:t>
      </w:r>
      <w:r>
        <w:t xml:space="preserve"> </w:t>
      </w:r>
      <w:r>
        <w:rPr>
          <w:iCs/>
          <w:i/>
        </w:rPr>
        <w:t xml:space="preserve">Science of The Total Environment</w:t>
      </w:r>
      <w:r>
        <w:t xml:space="preserve"> </w:t>
      </w:r>
      <w:r>
        <w:rPr>
          <w:bCs/>
          <w:b/>
        </w:rPr>
        <w:t xml:space="preserve">563–564</w:t>
      </w:r>
      <w:r>
        <w:t xml:space="preserve">, 486–495 (2016).</w:t>
      </w:r>
    </w:p>
    <w:bookmarkEnd w:id="60"/>
    <w:bookmarkStart w:id="61" w:name="ref-zhou_explaining_2016"/>
    <w:p>
      <w:pPr>
        <w:pStyle w:val="Bibliography"/>
      </w:pPr>
      <w:r>
        <w:t xml:space="preserve">7.</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1"/>
    <w:bookmarkStart w:id="62" w:name="ref-fu_maximum_2019"/>
    <w:p>
      <w:pPr>
        <w:pStyle w:val="Bibliography"/>
      </w:pPr>
      <w:r>
        <w:t xml:space="preserve">8.</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2"/>
    <w:bookmarkStart w:id="63" w:name="ref-savage_coordination_2021"/>
    <w:p>
      <w:pPr>
        <w:pStyle w:val="Bibliography"/>
      </w:pPr>
      <w:r>
        <w:t xml:space="preserve">9.</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3"/>
    <w:bookmarkStart w:id="64" w:name="ref-delpierre_temperate_2016"/>
    <w:p>
      <w:pPr>
        <w:pStyle w:val="Bibliography"/>
      </w:pPr>
      <w:r>
        <w:t xml:space="preserve">10.</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4"/>
    <w:bookmarkStart w:id="65" w:name="ref-xue_global_2017"/>
    <w:p>
      <w:pPr>
        <w:pStyle w:val="Bibliography"/>
      </w:pPr>
      <w:r>
        <w:t xml:space="preserve">11.</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5"/>
    <w:bookmarkStart w:id="66" w:name="ref-russell_residence_2014"/>
    <w:p>
      <w:pPr>
        <w:pStyle w:val="Bibliography"/>
      </w:pPr>
      <w:r>
        <w:t xml:space="preserve">12.</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6"/>
    <w:bookmarkStart w:id="67" w:name="ref-richardson_terrestrial_2012"/>
    <w:p>
      <w:pPr>
        <w:pStyle w:val="Bibliography"/>
      </w:pPr>
      <w:r>
        <w:t xml:space="preserve">13.</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7"/>
    <w:bookmarkStart w:id="69" w:name="ref-harris_global_2021"/>
    <w:p>
      <w:pPr>
        <w:pStyle w:val="Bibliography"/>
      </w:pPr>
      <w:r>
        <w:t xml:space="preserve">14.</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8">
        <w:r>
          <w:rPr>
            <w:rStyle w:val="Hyperlink"/>
          </w:rPr>
          <w:t xml:space="preserve">10.1038/s41558-020-00976-6</w:t>
        </w:r>
      </w:hyperlink>
      <w:r>
        <w:t xml:space="preserve">.</w:t>
      </w:r>
    </w:p>
    <w:bookmarkEnd w:id="69"/>
    <w:bookmarkStart w:id="70" w:name="ref-pugh_role_2019"/>
    <w:p>
      <w:pPr>
        <w:pStyle w:val="Bibliography"/>
      </w:pPr>
      <w:r>
        <w:t xml:space="preserve">15.</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0"/>
    <w:bookmarkStart w:id="71" w:name="ref-ahlstrom_robustness_2012"/>
    <w:p>
      <w:pPr>
        <w:pStyle w:val="Bibliography"/>
      </w:pPr>
      <w:r>
        <w:t xml:space="preserve">16.</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1"/>
    <w:bookmarkStart w:id="72" w:name="ref-friedlingstein_global_2020"/>
    <w:p>
      <w:pPr>
        <w:pStyle w:val="Bibliography"/>
      </w:pPr>
      <w:r>
        <w:t xml:space="preserve">17.</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2"/>
    <w:bookmarkStart w:id="73" w:name="ref-fatichi_moving_2014"/>
    <w:p>
      <w:pPr>
        <w:pStyle w:val="Bibliography"/>
      </w:pPr>
      <w:r>
        <w:t xml:space="preserve">18.</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3"/>
    <w:bookmarkStart w:id="74" w:name="ref-lu_no_2022"/>
    <w:p>
      <w:pPr>
        <w:pStyle w:val="Bibliography"/>
      </w:pPr>
      <w:r>
        <w:t xml:space="preserve">19.</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4"/>
    <w:bookmarkStart w:id="75" w:name="ref-jiang_fate_2020"/>
    <w:p>
      <w:pPr>
        <w:pStyle w:val="Bibliography"/>
      </w:pPr>
      <w:r>
        <w:t xml:space="preserve">20.</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5"/>
    <w:bookmarkStart w:id="76" w:name="ref-oishi_warmer_2018"/>
    <w:p>
      <w:pPr>
        <w:pStyle w:val="Bibliography"/>
      </w:pPr>
      <w:r>
        <w:t xml:space="preserve">21.</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6"/>
    <w:bookmarkStart w:id="77" w:name="ref-delpierre_wood_2016"/>
    <w:p>
      <w:pPr>
        <w:pStyle w:val="Bibliography"/>
      </w:pPr>
      <w:r>
        <w:t xml:space="preserve">22.</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7"/>
    <w:bookmarkStart w:id="78" w:name="ref-huang_photoperiod_2020"/>
    <w:p>
      <w:pPr>
        <w:pStyle w:val="Bibliography"/>
      </w:pPr>
      <w:r>
        <w:t xml:space="preserve">23.</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8"/>
    <w:bookmarkStart w:id="79" w:name="ref-rossi_critical_2008"/>
    <w:p>
      <w:pPr>
        <w:pStyle w:val="Bibliography"/>
      </w:pPr>
      <w:r>
        <w:t xml:space="preserve">24.</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9"/>
    <w:bookmarkStart w:id="80" w:name="ref-babst_twentieth_2019"/>
    <w:p>
      <w:pPr>
        <w:pStyle w:val="Bibliography"/>
      </w:pPr>
      <w:r>
        <w:t xml:space="preserve">25.</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0"/>
    <w:bookmarkStart w:id="82" w:name="ref-gao_earlier_2022"/>
    <w:p>
      <w:pPr>
        <w:pStyle w:val="Bibliography"/>
      </w:pPr>
      <w:r>
        <w:t xml:space="preserve">26.</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1">
        <w:r>
          <w:rPr>
            <w:rStyle w:val="Hyperlink"/>
          </w:rPr>
          <w:t xml:space="preserve">10.1038/s41559-022-01668-4</w:t>
        </w:r>
      </w:hyperlink>
      <w:r>
        <w:t xml:space="preserve">.</w:t>
      </w:r>
    </w:p>
    <w:bookmarkEnd w:id="82"/>
    <w:bookmarkStart w:id="83" w:name="ref-zweifel_why_2021"/>
    <w:p>
      <w:pPr>
        <w:pStyle w:val="Bibliography"/>
      </w:pPr>
      <w:r>
        <w:t xml:space="preserve">27.</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3"/>
    <w:bookmarkStart w:id="84" w:name="ref-tumajer_limitation_2022"/>
    <w:p>
      <w:pPr>
        <w:pStyle w:val="Bibliography"/>
      </w:pPr>
      <w:r>
        <w:t xml:space="preserve">28.</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4"/>
    <w:bookmarkStart w:id="85" w:name="ref-etzold_number_2022"/>
    <w:p>
      <w:pPr>
        <w:pStyle w:val="Bibliography"/>
      </w:pPr>
      <w:r>
        <w:t xml:space="preserve">29.</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5"/>
    <w:bookmarkStart w:id="86" w:name="ref-zani_increased_2020"/>
    <w:p>
      <w:pPr>
        <w:pStyle w:val="Bibliography"/>
      </w:pPr>
      <w:r>
        <w:t xml:space="preserve">30.</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6"/>
    <w:bookmarkStart w:id="87" w:name="ref-zohner_how_2021"/>
    <w:p>
      <w:pPr>
        <w:pStyle w:val="Bibliography"/>
      </w:pPr>
      <w:r>
        <w:t xml:space="preserve">31.</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2022-05-09T18:28:31Z</dcterms:created>
  <dcterms:modified xsi:type="dcterms:W3CDTF">2022-05-09T18:28:31Z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