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w:t>
      </w:r>
      <w:r>
        <w:rPr>
          <w:bCs/>
          <w:b/>
        </w:rPr>
        <w:t xml:space="preserve">;</w:t>
      </w:r>
      <w:r>
        <w:rPr>
          <w:vertAlign w:val="superscript"/>
          <w:bCs/>
          <w:b/>
        </w:rPr>
        <w:t xml:space="preserve">2</w:t>
      </w:r>
      <w:r>
        <w:rPr>
          <w:bCs/>
          <w:b/>
        </w:rPr>
        <w:t xml:space="preserve">;</w:t>
      </w:r>
      <w:r>
        <w:rPr>
          <w:vertAlign w:val="superscript"/>
          <w:bCs/>
          <w:b/>
        </w:rPr>
        <w:t xml:space="preserve">3</w:t>
      </w:r>
      <w:r>
        <w:rPr>
          <w:bCs/>
          <w:b/>
        </w:rPr>
        <w:t xml:space="preserve">;</w:t>
      </w:r>
      <w:r>
        <w:rPr>
          <w:vertAlign w:val="superscript"/>
          <w:bCs/>
          <w:b/>
        </w:rPr>
        <w:t xml:space="preserve">4</w:t>
      </w:r>
      <w:r>
        <w:rPr>
          <w:bCs/>
          <w:b/>
        </w:rPr>
        <w:t xml:space="preserve">;</w:t>
      </w:r>
      <w:r>
        <w:rPr>
          <w:bCs/>
          <w:b/>
        </w:rPr>
        <w:t xml:space="preserve">] 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w:t>
      </w:r>
      <w:r>
        <w:rPr>
          <w:bCs/>
          <w:b/>
        </w:rPr>
        <w:t xml:space="preserve">;</w:t>
      </w:r>
      <w:r>
        <w:rPr>
          <w:vertAlign w:val="superscript"/>
          <w:bCs/>
          <w:b/>
        </w:rPr>
        <w:t xml:space="preserve">4</w:t>
      </w:r>
      <w:r>
        <w:rPr>
          <w:bCs/>
          <w:b/>
        </w:rPr>
        <w:t xml:space="preserve">;</w:t>
      </w:r>
      <w:r>
        <w:rPr>
          <w:bCs/>
          <w:b/>
        </w:rPr>
        <w:t xml:space="preserve">] 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209 tree-ring chronologies from 109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2,14</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15</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15</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16</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3,14,17</w:t>
      </w:r>
      <w:r>
        <w:t xml:space="preserve">.</w:t>
      </w:r>
      <w:r>
        <w:t xml:space="preserve"> </w:t>
      </w:r>
      <w:r>
        <w:t xml:space="preserve">However, the long-term persistence of this extra C in the ecosystem, and the associated negative feedback to climate change</w:t>
      </w:r>
      <w:r>
        <w:rPr>
          <w:vertAlign w:val="superscript"/>
        </w:rPr>
        <w:t xml:space="preserve">2</w:t>
      </w:r>
      <w:r>
        <w:t xml:space="preserve">, will depend on the extent to which it is allocated woody growth and therefore resides in the ecosystem for decades to centuries</w:t>
      </w:r>
      <w:r>
        <w:rPr>
          <w:vertAlign w:val="superscript"/>
        </w:rPr>
        <w:t xml:space="preserve">12,13</w:t>
      </w:r>
      <w:r>
        <w:t xml:space="preserve">, as opposed to being rapidly released back to the atmosphere through respiration</w:t>
      </w:r>
      <w:r>
        <w:rPr>
          <w:vertAlign w:val="superscript"/>
        </w:rPr>
        <w:t xml:space="preserve">21,22</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11,19,23</w:t>
      </w:r>
      <w:r>
        <w:t xml:space="preserve">.</w:t>
      </w:r>
      <w:r>
        <w:t xml:space="preserve"> </w:t>
      </w:r>
      <w:r>
        <w:t xml:space="preserve">As a result, the consequences of rising spring temperatures on stem growth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24,</w:t>
      </w:r>
      <w:r>
        <w:rPr>
          <w:vertAlign w:val="superscript"/>
        </w:rPr>
        <w:t xml:space="preserve"> </w:t>
      </w:r>
      <w:r>
        <w:rPr>
          <w:vertAlign w:val="superscript"/>
        </w:rPr>
        <w:t xml:space="preserve">25</w:t>
      </w:r>
      <w:r>
        <w:t xml:space="preserve"> </w:t>
      </w:r>
      <w:r>
        <w:t xml:space="preserve">and increased annual growth in mesic climates</w:t>
      </w:r>
      <w:r>
        <w:rPr>
          <w:vertAlign w:val="superscript"/>
        </w:rPr>
        <w:t xml:space="preserve">26,</w:t>
      </w:r>
      <w:r>
        <w:rPr>
          <w:vertAlign w:val="superscript"/>
        </w:rPr>
        <w:t xml:space="preserve"> </w:t>
      </w:r>
      <w:r>
        <w:rPr>
          <w:vertAlign w:val="superscript"/>
        </w:rPr>
        <w:t xml:space="preserve">27</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28,29</w:t>
      </w:r>
      <w:r>
        <w:t xml:space="preserve">, and annual growth is more closely linked to conditions within the growing season than to growing season length</w:t>
      </w:r>
      <w:r>
        <w:rPr>
          <w:vertAlign w:val="superscript"/>
        </w:rPr>
        <w:t xml:space="preserve">30</w:t>
      </w:r>
      <w:r>
        <w:t xml:space="preserve">, GPP</w:t>
      </w:r>
      <w:r>
        <w:rPr>
          <w:vertAlign w:val="superscript"/>
        </w:rPr>
        <w:t xml:space="preserve">23</w:t>
      </w:r>
      <w:r>
        <w:t xml:space="preserve">, or NEE</w:t>
      </w:r>
      <w:r>
        <w:rPr>
          <w:vertAlign w:val="superscript"/>
        </w:rPr>
        <w:t xml:space="preserve">23</w:t>
      </w:r>
      <w:r>
        <w:t xml:space="preserve">.</w:t>
      </w:r>
      <w:r>
        <w:t xml:space="preserve"> </w:t>
      </w:r>
      <w:r>
        <w:t xml:space="preserve">Furthermore, growth of broadleaf deciduous trees may be sink-saturated</w:t>
      </w:r>
      <w:r>
        <w:rPr>
          <w:vertAlign w:val="superscript"/>
        </w:rPr>
        <w:t xml:space="preserve">19,31</w:t>
      </w:r>
      <w:r>
        <w:t xml:space="preserve">, such that longer growing seasons with more C fixation do not necessarily augment growth</w:t>
      </w:r>
      <w:r>
        <w:rPr>
          <w:vertAlign w:val="superscript"/>
        </w:rPr>
        <w:t xml:space="preserve">23,32</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positive effect on growth</w:t>
      </w:r>
      <w:r>
        <w:rPr>
          <w:vertAlign w:val="superscript"/>
        </w:rPr>
        <w:t xml:space="preserve">27,34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209 tree-ring chronologies from 109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29,36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measuring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(+0.0029-0.008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193 chronologies from 107 sites (Fig. 3; Extended Data Figure 1; Extended Data Table 3)</w:t>
      </w:r>
      <w:r>
        <w:rPr>
          <w:vertAlign w:val="superscript"/>
        </w:rPr>
        <w:t xml:space="preserve">33</w:t>
      </w:r>
      <w:r>
        <w:t xml:space="preserve">.</w:t>
      </w:r>
      <w:r>
        <w:t xml:space="preserve"> </w:t>
      </w:r>
      <w:r>
        <w:t xml:space="preserve">In total, our analysis included 209 chronologies representing 24 broadleaf species at 109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9 chronologies from 109 sites across eastern North America (Extended Data Figure 1).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209 chronologies from 109 sites across eastern North America</w:t>
      </w:r>
      <w:r>
        <w:t xml:space="preserve"> </w:t>
      </w:r>
      <w:r>
        <w:t xml:space="preserve">(Extended Data Figure 1).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4,30</w:t>
      </w:r>
      <w:r>
        <w:t xml:space="preserve">, is driven by cues other than photosynthate limitation, such as water stress, daylength, or sink limitation</w:t>
      </w:r>
      <w:r>
        <w:rPr>
          <w:vertAlign w:val="superscript"/>
        </w:rPr>
        <w:t xml:space="preserve">28,30,31,38,11,</w:t>
      </w:r>
      <w:r>
        <w:rPr>
          <w:vertAlign w:val="superscript"/>
        </w:rPr>
        <w:t xml:space="preserve"> </w:t>
      </w:r>
      <w:r>
        <w:rPr>
          <w:vertAlign w:val="superscript"/>
        </w:rPr>
        <w:t xml:space="preserve">23</w:t>
      </w:r>
      <w:r>
        <w:t xml:space="preserve">.</w:t>
      </w:r>
      <w:r>
        <w:t xml:space="preserve"> </w:t>
      </w:r>
      <w:r>
        <w:t xml:space="preserve">This adds to a growing body of evidence for a sink limitation of stem growth</w:t>
      </w:r>
      <w:r>
        <w:rPr>
          <w:vertAlign w:val="superscript"/>
        </w:rPr>
        <w:t xml:space="preserve">19,23</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21,30</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4,20</w:t>
      </w:r>
      <w:r>
        <w:t xml:space="preserve"> </w:t>
      </w:r>
      <w:r>
        <w:t xml:space="preserve">and increase net C sequestration</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23</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21</w:t>
      </w:r>
      <w:r>
        <w:t xml:space="preserve">.</w:t>
      </w:r>
      <w:r>
        <w:t xml:space="preserve"> </w:t>
      </w:r>
      <w:r>
        <w:t xml:space="preserve">Consistent with this, it has been observed that C gains from an earlier spring can be offset through fall or winter respiration</w:t>
      </w:r>
      <w:r>
        <w:rPr>
          <w:vertAlign w:val="superscript"/>
        </w:rPr>
        <w:t xml:space="preserve">22</w:t>
      </w:r>
      <w:r>
        <w:t xml:space="preserve">, although even the C in shorter-lived pools would often be carried over into the following year</w:t>
      </w:r>
      <w:r>
        <w:rPr>
          <w:vertAlign w:val="superscript"/>
        </w:rPr>
        <w:t xml:space="preserve">43</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44</w:t>
      </w:r>
      <w:r>
        <w:t xml:space="preserve"> </w:t>
      </w:r>
      <w:r>
        <w:t xml:space="preserve">and longer growing seasons, which in turn are correlated with greater tree growth</w:t>
      </w:r>
      <w:r>
        <w:rPr>
          <w:vertAlign w:val="superscript"/>
        </w:rPr>
        <w:t xml:space="preserve">45</w:t>
      </w:r>
      <w:r>
        <w:t xml:space="preserve">, ANPP</w:t>
      </w:r>
      <w:r>
        <w:rPr>
          <w:vertAlign w:val="subscript"/>
        </w:rPr>
        <w:t xml:space="preserve">woody</w:t>
      </w:r>
      <w:r>
        <w:rPr>
          <w:vertAlign w:val="superscript"/>
        </w:rPr>
        <w:t xml:space="preserve">46</w:t>
      </w:r>
      <w:r>
        <w:t xml:space="preserve">, and NEE</w:t>
      </w:r>
      <w:r>
        <w:rPr>
          <w:vertAlign w:val="superscript"/>
        </w:rPr>
        <w:t xml:space="preserve">47</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32,48</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23,28,30,49</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26,33,34,45</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27</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2,3,14</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17</w:t>
      </w:r>
      <w:r>
        <w:t xml:space="preserve">,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45</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Standardized Precipitation Evapotranspiration Index (SPEI)</w:t>
      </w:r>
      <w:r>
        <w:rPr>
          <w:vertAlign w:val="superscript"/>
        </w:rPr>
        <w:t xml:space="preserve">56</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45</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56</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59,63,64</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65</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66,67</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109 sites, including our focal sites.</w:t>
      </w:r>
      <w:r>
        <w:t xml:space="preserve"> </w:t>
      </w:r>
      <w:r>
        <w:t xml:space="preserve">All cores had been previously collected, cross-dated, and measured using standard collection and processing methodologies</w:t>
      </w:r>
      <w:r>
        <w:rPr>
          <w:vertAlign w:val="superscript"/>
        </w:rPr>
        <w:t xml:space="preserve">68</w:t>
      </w:r>
      <w:r>
        <w:t xml:space="preserve">.</w:t>
      </w:r>
    </w:p>
    <w:p>
      <w:pPr>
        <w:pStyle w:val="BodyText"/>
      </w:pPr>
      <w:r>
        <w:t xml:space="preserve">Dominant tree species were cored at both SCBI</w:t>
      </w:r>
      <w:r>
        <w:rPr>
          <w:vertAlign w:val="superscript"/>
        </w:rPr>
        <w:t xml:space="preserve">34,52</w:t>
      </w:r>
      <w:r>
        <w:t xml:space="preserve"> </w:t>
      </w:r>
      <w:r>
        <w:t xml:space="preserve">and Harvard Forest</w:t>
      </w:r>
      <w:r>
        <w:rPr>
          <w:vertAlign w:val="superscript"/>
        </w:rPr>
        <w:t xml:space="preserve">4,69,70</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107 deciduous and mixed forest sites in eastern North America</w:t>
      </w:r>
      <w:r>
        <w:rPr>
          <w:vertAlign w:val="superscript"/>
        </w:rPr>
        <w:t xml:space="preserve">33,71</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72</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72,73</w:t>
      </w:r>
      <w:r>
        <w:t xml:space="preserve">.</w:t>
      </w:r>
      <w:r>
        <w:t xml:space="preserve"> </w:t>
      </w:r>
      <w:r>
        <w:t xml:space="preserve">An adaptive power transformation, a process that also stabilizes the variance over time</w:t>
      </w:r>
      <w:r>
        <w:rPr>
          <w:vertAlign w:val="superscript"/>
        </w:rPr>
        <w:t xml:space="preserve">74</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75</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73</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55</w:t>
      </w:r>
      <w:r>
        <w:t xml:space="preserve"> </w:t>
      </w:r>
      <w:r>
        <w:t xml:space="preserve">Correlations between monthly climate and RWI were assessed in R v 4.0</w:t>
      </w:r>
      <w:r>
        <w:rPr>
          <w:vertAlign w:val="superscript"/>
        </w:rPr>
        <w:t xml:space="preserve">76</w:t>
      </w:r>
      <w:r>
        <w:t xml:space="preserve"> </w:t>
      </w:r>
      <w:r>
        <w:t xml:space="preserve">using the packages</w:t>
      </w:r>
      <w:r>
        <w:t xml:space="preserve"> </w:t>
      </w:r>
      <w:r>
        <w:rPr>
          <w:iCs/>
          <w:i/>
        </w:rPr>
        <w:t xml:space="preserve">dplR</w:t>
      </w:r>
      <w:r>
        <w:rPr>
          <w:vertAlign w:val="superscript"/>
        </w:rPr>
        <w:t xml:space="preserve">77</w:t>
      </w:r>
      <w:r>
        <w:t xml:space="preserve"> </w:t>
      </w:r>
      <w:r>
        <w:t xml:space="preserve">and</w:t>
      </w:r>
      <w:r>
        <w:t xml:space="preserve"> </w:t>
      </w:r>
      <w:r>
        <w:rPr>
          <w:iCs/>
          <w:i/>
        </w:rPr>
        <w:t xml:space="preserve">bootRes</w:t>
      </w:r>
      <w:r>
        <w:rPr>
          <w:vertAlign w:val="superscript"/>
        </w:rPr>
        <w:t xml:space="preserve">78</w:t>
      </w:r>
      <w:r>
        <w:t xml:space="preserve"> </w:t>
      </w:r>
      <w:r>
        <w:t xml:space="preserve">to assess correlations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5" w:name="References"/>
    <w:p>
      <w:pPr>
        <w:pStyle w:val="Heading1"/>
      </w:pPr>
      <w:r>
        <w:t xml:space="preserve">References</w:t>
      </w:r>
    </w:p>
    <w:bookmarkStart w:id="134"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2"/>
    <w:bookmarkStart w:id="53"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3"/>
    <w:bookmarkStart w:id="54"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4"/>
    <w:bookmarkStart w:id="55"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5"/>
    <w:bookmarkStart w:id="56"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6"/>
    <w:bookmarkStart w:id="57"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57"/>
    <w:bookmarkStart w:id="58"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58"/>
    <w:bookmarkStart w:id="59"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0"/>
    <w:bookmarkStart w:id="61" w:name="ref-richardson_terrestrial_2012"/>
    <w:p>
      <w:pPr>
        <w:pStyle w:val="Bibliography"/>
      </w:pPr>
      <w:r>
        <w:t xml:space="preserve">14.</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1"/>
    <w:bookmarkStart w:id="63" w:name="ref-harris_global_2021"/>
    <w:p>
      <w:pPr>
        <w:pStyle w:val="Bibliography"/>
      </w:pPr>
      <w:r>
        <w:t xml:space="preserve">15.</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2">
        <w:r>
          <w:rPr>
            <w:rStyle w:val="Hyperlink"/>
          </w:rPr>
          <w:t xml:space="preserve">10.1038/s41558-020-00976-6</w:t>
        </w:r>
      </w:hyperlink>
      <w:r>
        <w:t xml:space="preserve">.</w:t>
      </w:r>
    </w:p>
    <w:bookmarkEnd w:id="63"/>
    <w:bookmarkStart w:id="64"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4"/>
    <w:bookmarkStart w:id="65"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5"/>
    <w:bookmarkStart w:id="66"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6"/>
    <w:bookmarkStart w:id="67"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67"/>
    <w:bookmarkStart w:id="68"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68"/>
    <w:bookmarkStart w:id="69" w:name="ref-jiang_fate_2020"/>
    <w:p>
      <w:pPr>
        <w:pStyle w:val="Bibliography"/>
      </w:pPr>
      <w:r>
        <w:t xml:space="preserve">21.</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69"/>
    <w:bookmarkStart w:id="70" w:name="ref-oishi_warmer_2018"/>
    <w:p>
      <w:pPr>
        <w:pStyle w:val="Bibliography"/>
      </w:pPr>
      <w:r>
        <w:t xml:space="preserve">22.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0"/>
    <w:bookmarkStart w:id="71" w:name="ref-delpierre_wood_2016"/>
    <w:p>
      <w:pPr>
        <w:pStyle w:val="Bibliography"/>
      </w:pPr>
      <w:r>
        <w:t xml:space="preserve">23.</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1"/>
    <w:bookmarkStart w:id="72" w:name="ref-huang_photoperiod_2020"/>
    <w:p>
      <w:pPr>
        <w:pStyle w:val="Bibliography"/>
      </w:pPr>
      <w:r>
        <w:t xml:space="preserve">24.</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2"/>
    <w:bookmarkStart w:id="73" w:name="ref-rossi_critical_2008"/>
    <w:p>
      <w:pPr>
        <w:pStyle w:val="Bibliography"/>
      </w:pPr>
      <w:r>
        <w:t xml:space="preserve">25.</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3"/>
    <w:bookmarkStart w:id="74" w:name="ref-babst_twentieth_2019"/>
    <w:p>
      <w:pPr>
        <w:pStyle w:val="Bibliography"/>
      </w:pPr>
      <w:r>
        <w:t xml:space="preserve">26.</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4"/>
    <w:bookmarkStart w:id="76" w:name="ref-gao_earlier_2022"/>
    <w:p>
      <w:pPr>
        <w:pStyle w:val="Bibliography"/>
      </w:pPr>
      <w:r>
        <w:t xml:space="preserve">27.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5">
        <w:r>
          <w:rPr>
            <w:rStyle w:val="Hyperlink"/>
          </w:rPr>
          <w:t xml:space="preserve">10.1038/s41559-022-01668-4</w:t>
        </w:r>
      </w:hyperlink>
      <w:r>
        <w:t xml:space="preserve">.</w:t>
      </w:r>
    </w:p>
    <w:bookmarkEnd w:id="76"/>
    <w:bookmarkStart w:id="77" w:name="ref-zweifel_why_2021"/>
    <w:p>
      <w:pPr>
        <w:pStyle w:val="Bibliography"/>
      </w:pPr>
      <w:r>
        <w:t xml:space="preserve">28.</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77"/>
    <w:bookmarkStart w:id="78" w:name="ref-tumajer_limitation_2022"/>
    <w:p>
      <w:pPr>
        <w:pStyle w:val="Bibliography"/>
      </w:pPr>
      <w:r>
        <w:t xml:space="preserve">29.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78"/>
    <w:bookmarkStart w:id="79" w:name="ref-etzold_number_2022"/>
    <w:p>
      <w:pPr>
        <w:pStyle w:val="Bibliography"/>
      </w:pPr>
      <w:r>
        <w:t xml:space="preserve">30.</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79"/>
    <w:bookmarkStart w:id="80" w:name="ref-zani_increased_2020"/>
    <w:p>
      <w:pPr>
        <w:pStyle w:val="Bibliography"/>
      </w:pPr>
      <w:r>
        <w:t xml:space="preserve">31.</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0"/>
    <w:bookmarkStart w:id="81"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1"/>
    <w:bookmarkStart w:id="82"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2"/>
    <w:bookmarkStart w:id="83"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3"/>
    <w:bookmarkStart w:id="84"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4"/>
    <w:bookmarkStart w:id="85"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5"/>
    <w:bookmarkStart w:id="86"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6"/>
    <w:bookmarkStart w:id="87"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7"/>
    <w:bookmarkStart w:id="88"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8"/>
    <w:bookmarkStart w:id="89"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89"/>
    <w:bookmarkStart w:id="90"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0"/>
    <w:bookmarkStart w:id="91"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1"/>
    <w:bookmarkStart w:id="92" w:name="ref-trumbore_quantifying_2002"/>
    <w:p>
      <w:pPr>
        <w:pStyle w:val="Bibliography"/>
      </w:pPr>
      <w:r>
        <w:t xml:space="preserve">43.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2"/>
    <w:bookmarkStart w:id="94" w:name="ref-delgado_differences_2020"/>
    <w:p>
      <w:pPr>
        <w:pStyle w:val="Bibliography"/>
      </w:pPr>
      <w:r>
        <w:t xml:space="preserve">44.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3">
        <w:r>
          <w:rPr>
            <w:rStyle w:val="Hyperlink"/>
          </w:rPr>
          <w:t xml:space="preserve">10.1073/pnas.2002713117</w:t>
        </w:r>
      </w:hyperlink>
      <w:r>
        <w:t xml:space="preserve">.</w:t>
      </w:r>
    </w:p>
    <w:bookmarkEnd w:id="94"/>
    <w:bookmarkStart w:id="95" w:name="ref-anderson-teixeira_joint_2022"/>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5"/>
    <w:bookmarkStart w:id="96"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6"/>
    <w:bookmarkStart w:id="97"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97"/>
    <w:bookmarkStart w:id="98" w:name="ref-liu_phenological_2022"/>
    <w:p>
      <w:pPr>
        <w:pStyle w:val="Bibliography"/>
      </w:pPr>
      <w:r>
        <w:t xml:space="preserve">48.</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98"/>
    <w:bookmarkStart w:id="99" w:name="ref-novick_increasing_2016"/>
    <w:p>
      <w:pPr>
        <w:pStyle w:val="Bibliography"/>
      </w:pPr>
      <w:r>
        <w:t xml:space="preserve">49.</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99"/>
    <w:bookmarkStart w:id="100" w:name="ref-zhang_drought_2021"/>
    <w:p>
      <w:pPr>
        <w:pStyle w:val="Bibliography"/>
      </w:pPr>
      <w:r>
        <w:t xml:space="preserve">50.</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0"/>
    <w:bookmarkStart w:id="101" w:name="ref-lian_summer_2022"/>
    <w:p>
      <w:pPr>
        <w:pStyle w:val="Bibliography"/>
      </w:pPr>
      <w:r>
        <w:t xml:space="preserve">51.</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1"/>
    <w:bookmarkStart w:id="102" w:name="ref-bourg_initial_2013"/>
    <w:p>
      <w:pPr>
        <w:pStyle w:val="Bibliography"/>
      </w:pPr>
      <w:r>
        <w:t xml:space="preserve">52.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2"/>
    <w:bookmarkStart w:id="103" w:name="ref-anderson-teixeira_ctfsforestgeo_2015"/>
    <w:p>
      <w:pPr>
        <w:pStyle w:val="Bibliography"/>
      </w:pPr>
      <w:r>
        <w:t xml:space="preserve">53.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3"/>
    <w:bookmarkStart w:id="104" w:name="ref-davies_forestgeo_2021"/>
    <w:p>
      <w:pPr>
        <w:pStyle w:val="Bibliography"/>
      </w:pPr>
      <w:r>
        <w:t xml:space="preserve">54.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4"/>
    <w:bookmarkStart w:id="105" w:name="ref-harris_version_2020"/>
    <w:p>
      <w:pPr>
        <w:pStyle w:val="Bibliography"/>
      </w:pPr>
      <w:r>
        <w:t xml:space="preserve">55.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5"/>
    <w:bookmarkStart w:id="106" w:name="ref-vicente-serrano_multiscalar_2010"/>
    <w:p>
      <w:pPr>
        <w:pStyle w:val="Bibliography"/>
      </w:pPr>
      <w:r>
        <w:t xml:space="preserve">56.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6"/>
    <w:bookmarkStart w:id="107"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7"/>
    <w:bookmarkStart w:id="109"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08">
        <w:r>
          <w:rPr>
            <w:rStyle w:val="Hyperlink"/>
          </w:rPr>
          <w:t xml:space="preserve">10.5067/MODIS/MCD12Q2.006</w:t>
        </w:r>
      </w:hyperlink>
      <w:r>
        <w:t xml:space="preserve">.</w:t>
      </w:r>
    </w:p>
    <w:bookmarkEnd w:id="109"/>
    <w:bookmarkStart w:id="111"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0">
        <w:r>
          <w:rPr>
            <w:rStyle w:val="Hyperlink"/>
          </w:rPr>
          <w:t xml:space="preserve">10.5281/ZENODO.4041609</w:t>
        </w:r>
      </w:hyperlink>
      <w:r>
        <w:t xml:space="preserve">.</w:t>
      </w:r>
    </w:p>
    <w:bookmarkEnd w:id="111"/>
    <w:bookmarkStart w:id="112"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2"/>
    <w:bookmarkStart w:id="114"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3">
        <w:r>
          <w:rPr>
            <w:rStyle w:val="Hyperlink"/>
          </w:rPr>
          <w:t xml:space="preserve">10.6073/PASTA/213335F5DAA17222A738C105B9FA60C4</w:t>
        </w:r>
      </w:hyperlink>
      <w:r>
        <w:t xml:space="preserve">.</w:t>
      </w:r>
    </w:p>
    <w:bookmarkEnd w:id="114"/>
    <w:bookmarkStart w:id="116"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5">
        <w:r>
          <w:rPr>
            <w:rStyle w:val="Hyperlink"/>
          </w:rPr>
          <w:t xml:space="preserve">10.6073/PASTA/69E92642B512897032446CFE795CFFB8</w:t>
        </w:r>
      </w:hyperlink>
      <w:r>
        <w:t xml:space="preserve">.</w:t>
      </w:r>
    </w:p>
    <w:bookmarkEnd w:id="116"/>
    <w:bookmarkStart w:id="117" w:name="ref-begueria_standardized_2014"/>
    <w:p>
      <w:pPr>
        <w:pStyle w:val="Bibliography"/>
      </w:pPr>
      <w:r>
        <w:t xml:space="preserve">63.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17"/>
    <w:bookmarkStart w:id="118" w:name="ref-vicente-serrano_multiscalar_2010a"/>
    <w:p>
      <w:pPr>
        <w:pStyle w:val="Bibliography"/>
      </w:pPr>
      <w:r>
        <w:t xml:space="preserve">64.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8"/>
    <w:bookmarkStart w:id="119" w:name="ref-vandepol_identifying_2016"/>
    <w:p>
      <w:pPr>
        <w:pStyle w:val="Bibliography"/>
      </w:pPr>
      <w:r>
        <w:t xml:space="preserve">65.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66.</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developmentteam_stan_2019"/>
    <w:p>
      <w:pPr>
        <w:pStyle w:val="Bibliography"/>
      </w:pPr>
      <w:r>
        <w:t xml:space="preserve">67.</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stokes_introduction_1968"/>
    <w:p>
      <w:pPr>
        <w:pStyle w:val="Bibliography"/>
      </w:pPr>
      <w:r>
        <w:t xml:space="preserve">68.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2"/>
    <w:bookmarkStart w:id="123" w:name="ref-alexander_potential_2019"/>
    <w:p>
      <w:pPr>
        <w:pStyle w:val="Bibliography"/>
      </w:pPr>
      <w:r>
        <w:t xml:space="preserve">69.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3"/>
    <w:bookmarkStart w:id="124" w:name="ref-dye_comparing_2016"/>
    <w:p>
      <w:pPr>
        <w:pStyle w:val="Bibliography"/>
      </w:pPr>
      <w:r>
        <w:t xml:space="preserve">70.</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4"/>
    <w:bookmarkStart w:id="125" w:name="ref-maxwell_sampling_2020"/>
    <w:p>
      <w:pPr>
        <w:pStyle w:val="Bibliography"/>
      </w:pPr>
      <w:r>
        <w:t xml:space="preserve">71.</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5"/>
    <w:bookmarkStart w:id="127" w:name="ref-cook_methods_1990"/>
    <w:p>
      <w:pPr>
        <w:pStyle w:val="Bibliography"/>
      </w:pPr>
      <w:r>
        <w:t xml:space="preserve">72.</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6">
        <w:r>
          <w:rPr>
            <w:rStyle w:val="Hyperlink"/>
          </w:rPr>
          <w:t xml:space="preserve">10.1007/978-94-015-7879-0</w:t>
        </w:r>
      </w:hyperlink>
      <w:r>
        <w:t xml:space="preserve">.</w:t>
      </w:r>
    </w:p>
    <w:bookmarkEnd w:id="127"/>
    <w:bookmarkStart w:id="128" w:name="ref-cook_time_1985"/>
    <w:p>
      <w:pPr>
        <w:pStyle w:val="Bibliography"/>
      </w:pPr>
      <w:r>
        <w:t xml:space="preserve">73.</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28"/>
    <w:bookmarkStart w:id="129" w:name="ref-cook_calculating_1997"/>
    <w:p>
      <w:pPr>
        <w:pStyle w:val="Bibliography"/>
      </w:pPr>
      <w:r>
        <w:t xml:space="preserve">74.</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29"/>
    <w:bookmarkStart w:id="130" w:name="ref-jones_estimating_1997"/>
    <w:p>
      <w:pPr>
        <w:pStyle w:val="Bibliography"/>
      </w:pPr>
      <w:r>
        <w:t xml:space="preserve">75.</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0"/>
    <w:bookmarkStart w:id="131" w:name="ref-rcoreteam_language_2020"/>
    <w:p>
      <w:pPr>
        <w:pStyle w:val="Bibliography"/>
      </w:pPr>
      <w:r>
        <w:t xml:space="preserve">76.</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1"/>
    <w:bookmarkStart w:id="132" w:name="ref-bunn_dendrochronology_2008"/>
    <w:p>
      <w:pPr>
        <w:pStyle w:val="Bibliography"/>
      </w:pPr>
      <w:r>
        <w:t xml:space="preserve">77.</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2"/>
    <w:bookmarkStart w:id="133" w:name="ref-zang_dendroclimatic_2013"/>
    <w:p>
      <w:pPr>
        <w:pStyle w:val="Bibliography"/>
      </w:pPr>
      <w:r>
        <w:t xml:space="preserve">78.</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3"/>
    <w:bookmarkEnd w:id="134"/>
    <w:bookmarkEnd w:id="13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6" Target="https://doi.org/10.1007/978-94-015-7879-0" TargetMode="External" /><Relationship Type="http://schemas.openxmlformats.org/officeDocument/2006/relationships/hyperlink" Id="rId62" Target="https://doi.org/10.1038/s41558-020-00976-6" TargetMode="External" /><Relationship Type="http://schemas.openxmlformats.org/officeDocument/2006/relationships/hyperlink" Id="rId75" Target="https://doi.org/10.1038/s41559-022-01668-4" TargetMode="External" /><Relationship Type="http://schemas.openxmlformats.org/officeDocument/2006/relationships/hyperlink" Id="rId93" Target="https://doi.org/10.1073/pnas.2002713117" TargetMode="External" /><Relationship Type="http://schemas.openxmlformats.org/officeDocument/2006/relationships/hyperlink" Id="rId108" Target="https://doi.org/10.5067/MODIS/MCD12Q2.006" TargetMode="External" /><Relationship Type="http://schemas.openxmlformats.org/officeDocument/2006/relationships/hyperlink" Id="rId110" Target="https://doi.org/10.5281/ZENODO.4041609" TargetMode="External" /><Relationship Type="http://schemas.openxmlformats.org/officeDocument/2006/relationships/hyperlink" Id="rId113" Target="https://doi.org/10.6073/PASTA/213335F5DAA17222A738C105B9FA60C4" TargetMode="External" /><Relationship Type="http://schemas.openxmlformats.org/officeDocument/2006/relationships/hyperlink" Id="rId115"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6" Target="https://doi.org/10.1007/978-94-015-7879-0" TargetMode="External" /><Relationship Type="http://schemas.openxmlformats.org/officeDocument/2006/relationships/hyperlink" Id="rId62" Target="https://doi.org/10.1038/s41558-020-00976-6" TargetMode="External" /><Relationship Type="http://schemas.openxmlformats.org/officeDocument/2006/relationships/hyperlink" Id="rId75" Target="https://doi.org/10.1038/s41559-022-01668-4" TargetMode="External" /><Relationship Type="http://schemas.openxmlformats.org/officeDocument/2006/relationships/hyperlink" Id="rId93" Target="https://doi.org/10.1073/pnas.2002713117" TargetMode="External" /><Relationship Type="http://schemas.openxmlformats.org/officeDocument/2006/relationships/hyperlink" Id="rId108" Target="https://doi.org/10.5067/MODIS/MCD12Q2.006" TargetMode="External" /><Relationship Type="http://schemas.openxmlformats.org/officeDocument/2006/relationships/hyperlink" Id="rId110" Target="https://doi.org/10.5281/ZENODO.4041609" TargetMode="External" /><Relationship Type="http://schemas.openxmlformats.org/officeDocument/2006/relationships/hyperlink" Id="rId113" Target="https://doi.org/10.6073/PASTA/213335F5DAA17222A738C105B9FA60C4" TargetMode="External" /><Relationship Type="http://schemas.openxmlformats.org/officeDocument/2006/relationships/hyperlink" Id="rId115"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2022-03-28T14:33:31Z</dcterms:created>
  <dcterms:modified xsi:type="dcterms:W3CDTF">2022-03-28T14:33:31Z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