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59A4" w14:textId="77777777" w:rsidR="00BC6D46" w:rsidRDefault="00F84F50">
      <w:pPr>
        <w:pStyle w:val="FirstParagraph"/>
      </w:pPr>
      <w:r>
        <w:rPr>
          <w:b/>
          <w:bCs/>
        </w:rPr>
        <w:t>Title:</w:t>
      </w:r>
      <w:r>
        <w:t xml:space="preserve"> Warm springs alter timing but not total growth of temperate deciduous trees</w:t>
      </w:r>
    </w:p>
    <w:p w14:paraId="78EAC2DD" w14:textId="77777777" w:rsidR="00BC6D46" w:rsidRDefault="00F84F50">
      <w:pPr>
        <w:pStyle w:val="BodyText"/>
      </w:pPr>
      <w:r>
        <w:rPr>
          <w:b/>
          <w:bCs/>
        </w:rPr>
        <w:t>Authors:</w:t>
      </w:r>
    </w:p>
    <w:p w14:paraId="614293C4" w14:textId="77777777" w:rsidR="00BC6D46" w:rsidRDefault="00F84F50">
      <w:pPr>
        <w:pStyle w:val="BodyText"/>
      </w:pPr>
      <w:r>
        <w:t>Cameron Dow</w:t>
      </w:r>
      <w:r>
        <w:rPr>
          <w:vertAlign w:val="superscript"/>
        </w:rPr>
        <w:t>1,2</w:t>
      </w:r>
      <w:r>
        <w:t xml:space="preserve"> (Orcid ID : 0000-0002-8365-598X)</w:t>
      </w:r>
    </w:p>
    <w:p w14:paraId="522BAD3B" w14:textId="77777777" w:rsidR="00BC6D46" w:rsidRDefault="00F84F50">
      <w:pPr>
        <w:pStyle w:val="BodyText"/>
      </w:pPr>
      <w:r>
        <w:t>Albert Y. Kim</w:t>
      </w:r>
      <w:r>
        <w:rPr>
          <w:vertAlign w:val="superscript"/>
        </w:rPr>
        <w:t>1,3</w:t>
      </w:r>
      <w:r>
        <w:t xml:space="preserve"> (Orcid ID : 0000-0001-7824-306X)</w:t>
      </w:r>
    </w:p>
    <w:p w14:paraId="70A180E7" w14:textId="77777777" w:rsidR="00BC6D46" w:rsidRDefault="00F84F50">
      <w:pPr>
        <w:pStyle w:val="BodyText"/>
      </w:pPr>
      <w:r>
        <w:t>Loïc D’Orangeville</w:t>
      </w:r>
      <w:r>
        <w:rPr>
          <w:vertAlign w:val="superscript"/>
        </w:rPr>
        <w:t>4,5</w:t>
      </w:r>
      <w:r>
        <w:t xml:space="preserve"> </w:t>
      </w:r>
      <w:r>
        <w:t>(Orcid ID : 0000-0001-7841-7082)</w:t>
      </w:r>
    </w:p>
    <w:p w14:paraId="7EDB2144" w14:textId="77777777" w:rsidR="00BC6D46" w:rsidRDefault="00F84F50">
      <w:pPr>
        <w:pStyle w:val="BodyText"/>
      </w:pPr>
      <w:r>
        <w:t>Erika B. Gonzalez-Akre</w:t>
      </w:r>
      <w:r>
        <w:rPr>
          <w:vertAlign w:val="superscript"/>
        </w:rPr>
        <w:t>1</w:t>
      </w:r>
      <w:r>
        <w:t xml:space="preserve"> (Orcid ID : 0000-0001-8305-6672)</w:t>
      </w:r>
    </w:p>
    <w:p w14:paraId="37981794" w14:textId="77777777" w:rsidR="00BC6D46" w:rsidRDefault="00F84F50">
      <w:pPr>
        <w:pStyle w:val="BodyText"/>
      </w:pPr>
      <w:r>
        <w:t>Ryan Helcoski</w:t>
      </w:r>
      <w:r>
        <w:rPr>
          <w:vertAlign w:val="superscript"/>
        </w:rPr>
        <w:t>1</w:t>
      </w:r>
      <w:r>
        <w:t xml:space="preserve"> (Orcid ID: 0000-0003-3579-0121)</w:t>
      </w:r>
    </w:p>
    <w:p w14:paraId="60CD5591" w14:textId="77777777" w:rsidR="00BC6D46" w:rsidRDefault="00F84F50">
      <w:pPr>
        <w:pStyle w:val="BodyText"/>
      </w:pPr>
      <w:r>
        <w:t>Valentine Herrmann</w:t>
      </w:r>
      <w:r>
        <w:rPr>
          <w:vertAlign w:val="superscript"/>
        </w:rPr>
        <w:t>1</w:t>
      </w:r>
      <w:r>
        <w:t xml:space="preserve"> (Orcid ID : 0000-0002-4519-481X)</w:t>
      </w:r>
    </w:p>
    <w:p w14:paraId="40587C7C" w14:textId="77777777" w:rsidR="00BC6D46" w:rsidRDefault="00F84F50">
      <w:pPr>
        <w:pStyle w:val="BodyText"/>
      </w:pPr>
      <w:r>
        <w:t>Grant L. Harley</w:t>
      </w:r>
      <w:r>
        <w:rPr>
          <w:vertAlign w:val="superscript"/>
        </w:rPr>
        <w:t>6</w:t>
      </w:r>
      <w:r>
        <w:t xml:space="preserve"> (Orcid ID : 0000-0003-1557-8465)</w:t>
      </w:r>
    </w:p>
    <w:p w14:paraId="1DAC6E9A" w14:textId="77777777" w:rsidR="00BC6D46" w:rsidRDefault="00F84F50">
      <w:pPr>
        <w:pStyle w:val="BodyText"/>
      </w:pPr>
      <w:r>
        <w:t>Justin T. Maxwel</w:t>
      </w:r>
      <w:r>
        <w:t>l</w:t>
      </w:r>
      <w:r>
        <w:rPr>
          <w:vertAlign w:val="superscript"/>
        </w:rPr>
        <w:t>7</w:t>
      </w:r>
      <w:r>
        <w:t xml:space="preserve"> (Orcid ID: 0000-0001-9195-3146)</w:t>
      </w:r>
    </w:p>
    <w:p w14:paraId="7B1BBD58" w14:textId="77777777" w:rsidR="00BC6D46" w:rsidRDefault="00F84F50">
      <w:pPr>
        <w:pStyle w:val="BodyText"/>
      </w:pPr>
      <w:r>
        <w:t>Ian R. McGregor</w:t>
      </w:r>
      <w:r>
        <w:rPr>
          <w:vertAlign w:val="superscript"/>
        </w:rPr>
        <w:t>1,8</w:t>
      </w:r>
      <w:r>
        <w:t xml:space="preserve"> (Orcid ID: 0000-0002-5763-021X)</w:t>
      </w:r>
    </w:p>
    <w:p w14:paraId="723BCA08" w14:textId="77777777" w:rsidR="00BC6D46" w:rsidRDefault="00F84F50">
      <w:pPr>
        <w:pStyle w:val="BodyText"/>
      </w:pPr>
      <w:r>
        <w:t>William J. McShea</w:t>
      </w:r>
      <w:r>
        <w:rPr>
          <w:vertAlign w:val="superscript"/>
        </w:rPr>
        <w:t>1</w:t>
      </w:r>
      <w:r>
        <w:t xml:space="preserve"> (Orchid ID: 0000-0002-8102-02000)</w:t>
      </w:r>
    </w:p>
    <w:p w14:paraId="7AC298DA" w14:textId="77777777" w:rsidR="00BC6D46" w:rsidRDefault="00F84F50">
      <w:pPr>
        <w:pStyle w:val="BodyText"/>
      </w:pPr>
      <w:r>
        <w:t>Sean M. McMahon</w:t>
      </w:r>
      <w:r>
        <w:rPr>
          <w:vertAlign w:val="superscript"/>
        </w:rPr>
        <w:t>9,11</w:t>
      </w:r>
      <w:r>
        <w:t xml:space="preserve"> (Orcid ID : 0000-0001-8302-6908)</w:t>
      </w:r>
    </w:p>
    <w:p w14:paraId="166EDE75" w14:textId="77777777" w:rsidR="00BC6D46" w:rsidRDefault="00F84F50">
      <w:pPr>
        <w:pStyle w:val="BodyText"/>
      </w:pPr>
      <w:r>
        <w:t>Neil Pederson</w:t>
      </w:r>
      <w:r>
        <w:rPr>
          <w:vertAlign w:val="superscript"/>
        </w:rPr>
        <w:t>4</w:t>
      </w:r>
      <w:r>
        <w:t xml:space="preserve"> (Orcid ID : 0000-0003-3830-263X)</w:t>
      </w:r>
    </w:p>
    <w:p w14:paraId="3658DA56" w14:textId="77777777" w:rsidR="00BC6D46" w:rsidRDefault="00F84F50">
      <w:pPr>
        <w:pStyle w:val="BodyText"/>
      </w:pPr>
      <w:r>
        <w:t>Alan J. Tepley</w:t>
      </w:r>
      <w:r>
        <w:rPr>
          <w:vertAlign w:val="superscript"/>
        </w:rPr>
        <w:t>1,</w:t>
      </w:r>
      <w:r>
        <w:rPr>
          <w:vertAlign w:val="superscript"/>
        </w:rPr>
        <w:t>10</w:t>
      </w:r>
      <w:r>
        <w:t xml:space="preserve"> (Orcid ID : 0000-0002-5701-9613)</w:t>
      </w:r>
    </w:p>
    <w:p w14:paraId="09BCF90D" w14:textId="77777777" w:rsidR="00BC6D46" w:rsidRDefault="00F84F50">
      <w:pPr>
        <w:pStyle w:val="BodyText"/>
      </w:pPr>
      <w:r>
        <w:t>Kristina J. Anderson-Teixeira</w:t>
      </w:r>
      <w:r>
        <w:rPr>
          <w:vertAlign w:val="superscript"/>
        </w:rPr>
        <w:t>1,11</w:t>
      </w:r>
      <w:r>
        <w:t>* ( Orcid ID : 0000-0001-8461-9713)</w:t>
      </w:r>
    </w:p>
    <w:p w14:paraId="31AB191A" w14:textId="77777777" w:rsidR="00BC6D46" w:rsidRDefault="00F84F50">
      <w:pPr>
        <w:pStyle w:val="BodyText"/>
      </w:pPr>
      <w:r>
        <w:rPr>
          <w:b/>
          <w:bCs/>
        </w:rPr>
        <w:t>Author Affiliations:</w:t>
      </w:r>
    </w:p>
    <w:p w14:paraId="0BEEC8D3" w14:textId="77777777" w:rsidR="00BC6D46" w:rsidRDefault="00F84F50">
      <w:pPr>
        <w:numPr>
          <w:ilvl w:val="0"/>
          <w:numId w:val="16"/>
        </w:numPr>
      </w:pPr>
      <w:r>
        <w:t>Conservation Ecology Center; Smithsonian National Zoo &amp; Conservation Biology Institute; Front Royal, VA 22630, USA</w:t>
      </w:r>
    </w:p>
    <w:p w14:paraId="629AF9FA" w14:textId="77777777" w:rsidR="00BC6D46" w:rsidRDefault="00F84F50">
      <w:pPr>
        <w:numPr>
          <w:ilvl w:val="0"/>
          <w:numId w:val="16"/>
        </w:numPr>
      </w:pPr>
      <w:r>
        <w:t>Department of F</w:t>
      </w:r>
      <w:r>
        <w:t>orestry and Natural Resources, Purdue University, West Lafayette, Indiana, USA</w:t>
      </w:r>
    </w:p>
    <w:p w14:paraId="6E74D5EB" w14:textId="77777777" w:rsidR="00BC6D46" w:rsidRDefault="00F84F50">
      <w:pPr>
        <w:numPr>
          <w:ilvl w:val="0"/>
          <w:numId w:val="16"/>
        </w:numPr>
      </w:pPr>
      <w:r>
        <w:t>Statistical &amp; Data Sciences; Smith College; Northampton, MA 01063, USA</w:t>
      </w:r>
    </w:p>
    <w:p w14:paraId="133F7A01" w14:textId="77777777" w:rsidR="00BC6D46" w:rsidRDefault="00F84F50">
      <w:pPr>
        <w:numPr>
          <w:ilvl w:val="0"/>
          <w:numId w:val="16"/>
        </w:numPr>
      </w:pPr>
      <w:r>
        <w:t>Harvard Forest, Petersham, MA 01366, USA</w:t>
      </w:r>
    </w:p>
    <w:p w14:paraId="053845EB" w14:textId="77777777" w:rsidR="00BC6D46" w:rsidRDefault="00F84F50">
      <w:pPr>
        <w:numPr>
          <w:ilvl w:val="0"/>
          <w:numId w:val="16"/>
        </w:numPr>
      </w:pPr>
      <w:r>
        <w:t>Faculty of Forestry and Environmental Management, University of N</w:t>
      </w:r>
      <w:r>
        <w:t>ew Brunswick, Fredericton, NB, E3B 5A3, Canada.</w:t>
      </w:r>
    </w:p>
    <w:p w14:paraId="5ADEFBC5" w14:textId="77777777" w:rsidR="00BC6D46" w:rsidRDefault="00F84F50">
      <w:pPr>
        <w:numPr>
          <w:ilvl w:val="0"/>
          <w:numId w:val="16"/>
        </w:numPr>
      </w:pPr>
      <w:r>
        <w:t>Department of Earth and Spatial Sciences, University of Idaho, ID 83844, USA</w:t>
      </w:r>
    </w:p>
    <w:p w14:paraId="376DA5A2" w14:textId="77777777" w:rsidR="00BC6D46" w:rsidRDefault="00F84F50">
      <w:pPr>
        <w:numPr>
          <w:ilvl w:val="0"/>
          <w:numId w:val="16"/>
        </w:numPr>
      </w:pPr>
      <w:r>
        <w:t>Department of Geography, Indiana University, Bloomington, IN 47405, USA</w:t>
      </w:r>
    </w:p>
    <w:p w14:paraId="0478155E" w14:textId="77777777" w:rsidR="00BC6D46" w:rsidRDefault="00F84F50">
      <w:pPr>
        <w:numPr>
          <w:ilvl w:val="0"/>
          <w:numId w:val="16"/>
        </w:numPr>
      </w:pPr>
      <w:r>
        <w:t>Center for Geospatial Analytics; North Carolina State Unive</w:t>
      </w:r>
      <w:r>
        <w:t>rsity; Raleigh, NC 27607, USA</w:t>
      </w:r>
    </w:p>
    <w:p w14:paraId="0DD85EA4" w14:textId="77777777" w:rsidR="00BC6D46" w:rsidRDefault="00F84F50">
      <w:pPr>
        <w:numPr>
          <w:ilvl w:val="0"/>
          <w:numId w:val="16"/>
        </w:numPr>
      </w:pPr>
      <w:r>
        <w:lastRenderedPageBreak/>
        <w:t>Smithsonian Environmental Research Center, Edgewater, MD, USA</w:t>
      </w:r>
    </w:p>
    <w:p w14:paraId="40B3627D" w14:textId="77777777" w:rsidR="00BC6D46" w:rsidRDefault="00F84F50">
      <w:pPr>
        <w:numPr>
          <w:ilvl w:val="0"/>
          <w:numId w:val="16"/>
        </w:numPr>
      </w:pPr>
      <w:r>
        <w:t>Canadian Forest Service, Northern Forestry Centre, Edmonton, Alberta, Canada</w:t>
      </w:r>
    </w:p>
    <w:p w14:paraId="3CD635FE" w14:textId="77777777" w:rsidR="00BC6D46" w:rsidRDefault="00F84F50">
      <w:pPr>
        <w:numPr>
          <w:ilvl w:val="0"/>
          <w:numId w:val="16"/>
        </w:numPr>
      </w:pPr>
      <w:r>
        <w:t>Forest Global Earth Observatory; Smithsonian Tropical Research Institute; Panama, Repub</w:t>
      </w:r>
      <w:r>
        <w:t>lic of Panama</w:t>
      </w:r>
    </w:p>
    <w:p w14:paraId="00E23049" w14:textId="77777777" w:rsidR="00BC6D46" w:rsidRDefault="00F84F50">
      <w:pPr>
        <w:pStyle w:val="FirstParagraph"/>
      </w:pPr>
      <w:r>
        <w:t xml:space="preserve">*corresponding author: </w:t>
      </w:r>
      <w:hyperlink r:id="rId7">
        <w:r>
          <w:rPr>
            <w:rStyle w:val="Hyperlink"/>
          </w:rPr>
          <w:t>teixeirak@si.edu</w:t>
        </w:r>
      </w:hyperlink>
      <w:r>
        <w:t>; +1 540 635 6546</w:t>
      </w:r>
    </w:p>
    <w:p w14:paraId="0063204A" w14:textId="77777777" w:rsidR="00BC6D46" w:rsidRDefault="00F84F50">
      <w:r>
        <w:br w:type="page"/>
      </w:r>
    </w:p>
    <w:p w14:paraId="75DA5A19" w14:textId="77777777" w:rsidR="00BC6D46" w:rsidRDefault="00F84F50">
      <w:pPr>
        <w:pStyle w:val="BodyText"/>
      </w:pPr>
      <w:r>
        <w:rPr>
          <w:b/>
          <w:bCs/>
        </w:rPr>
        <w:lastRenderedPageBreak/>
        <w:t>As the climate changes, warmer spring temperatures are causing earlier leaf-out</w:t>
      </w:r>
      <w:r>
        <w:rPr>
          <w:b/>
          <w:bCs/>
          <w:vertAlign w:val="superscript"/>
        </w:rPr>
        <w:t>1,2,3</w:t>
      </w:r>
      <w:r>
        <w:rPr>
          <w:b/>
          <w:bCs/>
        </w:rPr>
        <w:t xml:space="preserve"> and commencement of net carbon dioxide (CO</w:t>
      </w:r>
      <w:r>
        <w:rPr>
          <w:b/>
          <w:bCs/>
          <w:vertAlign w:val="subscript"/>
        </w:rPr>
        <w:t>2</w:t>
      </w:r>
      <w:r>
        <w:rPr>
          <w:b/>
          <w:bCs/>
        </w:rPr>
        <w:t>) uptake</w:t>
      </w:r>
      <w:r>
        <w:rPr>
          <w:b/>
          <w:bCs/>
          <w:vertAlign w:val="superscript"/>
        </w:rPr>
        <w:t>1,3</w:t>
      </w:r>
      <w:r>
        <w:rPr>
          <w:b/>
          <w:bCs/>
        </w:rPr>
        <w:t xml:space="preserve"> in temperate deciduous forests, resulting in a tendency towards increased growing season length</w:t>
      </w:r>
      <w:r>
        <w:rPr>
          <w:b/>
          <w:bCs/>
          <w:vertAlign w:val="superscript"/>
        </w:rPr>
        <w:t>3</w:t>
      </w:r>
      <w:r>
        <w:rPr>
          <w:b/>
          <w:bCs/>
        </w:rPr>
        <w:t xml:space="preserve"> and annual CO</w:t>
      </w:r>
      <w:r>
        <w:rPr>
          <w:b/>
          <w:bCs/>
          <w:vertAlign w:val="subscript"/>
        </w:rPr>
        <w:t>2</w:t>
      </w:r>
      <w:r>
        <w:rPr>
          <w:b/>
          <w:bCs/>
        </w:rPr>
        <w:t xml:space="preserve"> upta</w:t>
      </w:r>
      <w:r>
        <w:rPr>
          <w:b/>
          <w:bCs/>
        </w:rPr>
        <w:t>ke</w:t>
      </w:r>
      <w:r>
        <w:rPr>
          <w:b/>
          <w:bCs/>
          <w:vertAlign w:val="superscript"/>
        </w:rPr>
        <w:t>1,4,5,3, 6,7</w:t>
      </w:r>
      <w:r>
        <w:rPr>
          <w:b/>
          <w:bCs/>
        </w:rPr>
        <w:t>.</w:t>
      </w:r>
      <w:r>
        <w:t xml:space="preserve"> </w:t>
      </w:r>
      <w:r>
        <w:rPr>
          <w:b/>
          <w:bCs/>
        </w:rPr>
        <w:t>However, less is known about how spring temperatures affect tree stem growth</w:t>
      </w:r>
      <w:r>
        <w:rPr>
          <w:b/>
          <w:bCs/>
          <w:vertAlign w:val="superscript"/>
        </w:rPr>
        <w:t>8,9</w:t>
      </w:r>
      <w:r>
        <w:rPr>
          <w:b/>
          <w:bCs/>
        </w:rPr>
        <w:t>, which sequesters carbon (C) in wood that has a long residence time in the ecosystem</w:t>
      </w:r>
      <w:r>
        <w:rPr>
          <w:b/>
          <w:bCs/>
          <w:vertAlign w:val="superscript"/>
        </w:rPr>
        <w:t>10,11</w:t>
      </w:r>
      <w:r>
        <w:rPr>
          <w:b/>
          <w:bCs/>
        </w:rPr>
        <w:t>.</w:t>
      </w:r>
      <w:r>
        <w:t xml:space="preserve"> </w:t>
      </w:r>
      <w:r>
        <w:rPr>
          <w:b/>
          <w:bCs/>
        </w:rPr>
        <w:t>Using dendrometer band measurements from 440 trees across two forests</w:t>
      </w:r>
      <w:r>
        <w:rPr>
          <w:b/>
          <w:bCs/>
        </w:rPr>
        <w:t>, we show that warmer spring temperatures shifted stem diameter growth of deciduous trees earlier but had no consistent effect on peak growing season length, maximum growth rates, or annual growth.</w:t>
      </w:r>
      <w:r>
        <w:t xml:space="preserve"> </w:t>
      </w:r>
      <w:r>
        <w:rPr>
          <w:b/>
          <w:bCs/>
        </w:rPr>
        <w:t>The latter finding was confirmed on the centennial scale b</w:t>
      </w:r>
      <w:r>
        <w:rPr>
          <w:b/>
          <w:bCs/>
        </w:rPr>
        <w:t>y 207 tree-ring chronologies from 108 forests across eastern North America, where annual ring width was far more sensitive to temperatures during the peak growing season than in the spring.</w:t>
      </w:r>
      <w:r>
        <w:t xml:space="preserve"> </w:t>
      </w:r>
      <w:r>
        <w:rPr>
          <w:b/>
          <w:bCs/>
        </w:rPr>
        <w:t>These findings imply that any extra CO</w:t>
      </w:r>
      <w:r>
        <w:rPr>
          <w:b/>
          <w:bCs/>
          <w:vertAlign w:val="subscript"/>
        </w:rPr>
        <w:t>2</w:t>
      </w:r>
      <w:r>
        <w:rPr>
          <w:b/>
          <w:bCs/>
        </w:rPr>
        <w:t xml:space="preserve"> uptake in years with warme</w:t>
      </w:r>
      <w:r>
        <w:rPr>
          <w:b/>
          <w:bCs/>
        </w:rPr>
        <w:t>r springs</w:t>
      </w:r>
      <w:r>
        <w:rPr>
          <w:b/>
          <w:bCs/>
          <w:vertAlign w:val="superscript"/>
        </w:rPr>
        <w:t>4,5</w:t>
      </w:r>
      <w:r>
        <w:rPr>
          <w:b/>
          <w:bCs/>
        </w:rPr>
        <w:t xml:space="preserve"> does not significantly contribute to increased sequestration in long-lived woody stem biomass.</w:t>
      </w:r>
      <w:r>
        <w:t xml:space="preserve"> </w:t>
      </w:r>
      <w:r>
        <w:rPr>
          <w:b/>
          <w:bCs/>
        </w:rPr>
        <w:t>Rather, contradicting projections from global C cycle models</w:t>
      </w:r>
      <w:r>
        <w:rPr>
          <w:b/>
          <w:bCs/>
          <w:vertAlign w:val="superscript"/>
        </w:rPr>
        <w:t>1,12</w:t>
      </w:r>
      <w:r>
        <w:rPr>
          <w:b/>
          <w:bCs/>
        </w:rPr>
        <w:t>, our empirical results imply that warming spring temperatures are unlikely to incre</w:t>
      </w:r>
      <w:r>
        <w:rPr>
          <w:b/>
          <w:bCs/>
        </w:rPr>
        <w:t>ase woody productivity enough to strengthen the long-term CO</w:t>
      </w:r>
      <w:r>
        <w:rPr>
          <w:b/>
          <w:bCs/>
          <w:vertAlign w:val="subscript"/>
        </w:rPr>
        <w:t>2</w:t>
      </w:r>
      <w:r>
        <w:rPr>
          <w:b/>
          <w:bCs/>
        </w:rPr>
        <w:t xml:space="preserve"> sink of temperate deciduous forests.</w:t>
      </w:r>
    </w:p>
    <w:p w14:paraId="54BF64A8" w14:textId="77777777" w:rsidR="00BC6D46" w:rsidRDefault="00F84F50">
      <w:pPr>
        <w:pStyle w:val="BodyText"/>
      </w:pPr>
      <w:r>
        <w:t>In recent decades, tree growth in Earth’s forests has more than offset losses from deforestation and other disturbances, such that a net forest CO</w:t>
      </w:r>
      <w:r>
        <w:rPr>
          <w:vertAlign w:val="subscript"/>
        </w:rPr>
        <w:t>2</w:t>
      </w:r>
      <w:r>
        <w:t xml:space="preserve"> sink of ~</w:t>
      </w:r>
      <w:r>
        <w:t>1.6 Gt C yr</w:t>
      </w:r>
      <w:r>
        <w:rPr>
          <w:vertAlign w:val="superscript"/>
        </w:rPr>
        <w:t>-1</w:t>
      </w:r>
      <w:r>
        <w:t xml:space="preserve"> offsets ~20% of anthropogenic emissions</w:t>
      </w:r>
      <w:r>
        <w:rPr>
          <w:vertAlign w:val="superscript"/>
        </w:rPr>
        <w:t>13</w:t>
      </w:r>
      <w:r>
        <w:t>, dramatically slowing the pace of atmospheric CO</w:t>
      </w:r>
      <w:r>
        <w:rPr>
          <w:vertAlign w:val="subscript"/>
        </w:rPr>
        <w:t>2</w:t>
      </w:r>
      <w:r>
        <w:t xml:space="preserve"> accumulation and climate change.  Of this important C sink, ~ 47% occurs in temperate forests</w:t>
      </w:r>
      <w:r>
        <w:rPr>
          <w:vertAlign w:val="superscript"/>
        </w:rPr>
        <w:t>13</w:t>
      </w:r>
      <w:r>
        <w:t>,  with temperate deciduous forests sequestering &gt;0.3 G</w:t>
      </w:r>
      <w:r>
        <w:t>t C yr</w:t>
      </w:r>
      <w:r>
        <w:rPr>
          <w:vertAlign w:val="superscript"/>
        </w:rPr>
        <w:t>-1</w:t>
      </w:r>
      <w:r>
        <w:t>.</w:t>
      </w:r>
      <w:r>
        <w:rPr>
          <w:vertAlign w:val="superscript"/>
        </w:rPr>
        <w:t>14</w:t>
      </w:r>
      <w:r>
        <w:t xml:space="preserve">  The future behavior of this C sink will play an important yet uncertain role in influencing atmospheric CO</w:t>
      </w:r>
      <w:r>
        <w:rPr>
          <w:vertAlign w:val="subscript"/>
        </w:rPr>
        <w:t>2</w:t>
      </w:r>
      <w:r>
        <w:t xml:space="preserve"> and climate change</w:t>
      </w:r>
      <w:r>
        <w:rPr>
          <w:vertAlign w:val="superscript"/>
        </w:rPr>
        <w:t>15–17</w:t>
      </w:r>
      <w:r>
        <w:t>.</w:t>
      </w:r>
    </w:p>
    <w:p w14:paraId="4D8560DD" w14:textId="77777777" w:rsidR="00BC6D46" w:rsidRDefault="00F84F50">
      <w:pPr>
        <w:pStyle w:val="BodyText"/>
      </w:pPr>
      <w:r>
        <w:t>In temperate deciduous forests, spring warming generally lengthens the period over which trees have photosynth</w:t>
      </w:r>
      <w:r>
        <w:t>etically active leaves</w:t>
      </w:r>
      <w:r>
        <w:rPr>
          <w:vertAlign w:val="superscript"/>
        </w:rPr>
        <w:t>1,3,18</w:t>
      </w:r>
      <w:r>
        <w:t xml:space="preserve"> and that over which the ecosystem is a net CO</w:t>
      </w:r>
      <w:r>
        <w:rPr>
          <w:vertAlign w:val="subscript"/>
        </w:rPr>
        <w:t>2</w:t>
      </w:r>
      <w:r>
        <w:t xml:space="preserve"> sink</w:t>
      </w:r>
      <w:r>
        <w:rPr>
          <w:vertAlign w:val="superscript"/>
        </w:rPr>
        <w:t>1,18</w:t>
      </w:r>
      <w:r>
        <w:t>. Based on these observations, current terrestrial ecosystem models represent warm springs and longer growing seasons as contributing positively to annual gross primary pro</w:t>
      </w:r>
      <w:r>
        <w:t>ductivity (GPP) and net CO</w:t>
      </w:r>
      <w:r>
        <w:rPr>
          <w:vertAlign w:val="subscript"/>
        </w:rPr>
        <w:t>2</w:t>
      </w:r>
      <w:r>
        <w:t xml:space="preserve"> uptake (i.e., net ecosystem exchange, NEE)</w:t>
      </w:r>
      <w:r>
        <w:rPr>
          <w:vertAlign w:val="superscript"/>
        </w:rPr>
        <w:t>2,12,15</w:t>
      </w:r>
      <w:r>
        <w:t>. However, the long-term persistence of this extra C in the ecosystem, and the associated negative feedback to climate change</w:t>
      </w:r>
      <w:r>
        <w:rPr>
          <w:vertAlign w:val="superscript"/>
        </w:rPr>
        <w:t>1</w:t>
      </w:r>
      <w:r>
        <w:t xml:space="preserve">, will depend on the extent to which it is allocated </w:t>
      </w:r>
      <w:r>
        <w:t>to woody growth and therefore resides in the ecosystem for decades to centuries</w:t>
      </w:r>
      <w:r>
        <w:rPr>
          <w:vertAlign w:val="superscript"/>
        </w:rPr>
        <w:t>10,11</w:t>
      </w:r>
      <w:r>
        <w:t>, as opposed to being rapidly released back to the atmosphere through respiration</w:t>
      </w:r>
      <w:r>
        <w:rPr>
          <w:vertAlign w:val="superscript"/>
        </w:rPr>
        <w:t>19,20</w:t>
      </w:r>
      <w:r>
        <w:t>. Model representation of C allocation to stem growth – or woody aboveground net prima</w:t>
      </w:r>
      <w:r>
        <w:t>ry productivity (ANPP</w:t>
      </w:r>
      <w:r>
        <w:rPr>
          <w:vertAlign w:val="subscript"/>
        </w:rPr>
        <w:t>woody</w:t>
      </w:r>
      <w:r>
        <w:t>) on the ecosystem level – does not capture known decoupling of stem growth from photosynthate production</w:t>
      </w:r>
      <w:r>
        <w:rPr>
          <w:vertAlign w:val="superscript"/>
        </w:rPr>
        <w:t>9,17,21</w:t>
      </w:r>
      <w:r>
        <w:t>. As a result, the consequences of rising spring temperatures on stem growth may not be accurately represented in mode</w:t>
      </w:r>
      <w:r>
        <w:t>ls</w:t>
      </w:r>
      <w:r>
        <w:rPr>
          <w:vertAlign w:val="superscript"/>
        </w:rPr>
        <w:t>9,17</w:t>
      </w:r>
      <w:r>
        <w:t>. Understanding the sensitivity of ANPP</w:t>
      </w:r>
      <w:r>
        <w:rPr>
          <w:vertAlign w:val="subscript"/>
        </w:rPr>
        <w:t>woody</w:t>
      </w:r>
      <w:r>
        <w:t xml:space="preserve"> to spring temperatures is central to predicting the future of the temperate deciduous forest C sink.</w:t>
      </w:r>
    </w:p>
    <w:p w14:paraId="10E1E457" w14:textId="77777777" w:rsidR="00BC6D46" w:rsidRDefault="00F84F50">
      <w:pPr>
        <w:pStyle w:val="BodyText"/>
      </w:pPr>
      <w:r>
        <w:t>Most studies on tree stem growth responses to warmer spring temperatures have focused on boreal or tempe</w:t>
      </w:r>
      <w:r>
        <w:t>rate conifers, which tend to respond to warmer spring temperatures with an earlier start to growth</w:t>
      </w:r>
      <w:r>
        <w:rPr>
          <w:vertAlign w:val="superscript"/>
        </w:rPr>
        <w:t>22, 23</w:t>
      </w:r>
      <w:r>
        <w:t xml:space="preserve"> and increased annual growth in mesic climates</w:t>
      </w:r>
      <w:r>
        <w:rPr>
          <w:vertAlign w:val="superscript"/>
        </w:rPr>
        <w:t>24, 25</w:t>
      </w:r>
      <w:r>
        <w:t>. In contrast, we have little evidence as to how stem growth and ANPP</w:t>
      </w:r>
      <w:r>
        <w:rPr>
          <w:vertAlign w:val="subscript"/>
        </w:rPr>
        <w:t>woody</w:t>
      </w:r>
      <w:r>
        <w:t xml:space="preserve"> respond to warmer spring </w:t>
      </w:r>
      <w:r>
        <w:t>temperatures in deciduous forests</w:t>
      </w:r>
      <w:r>
        <w:rPr>
          <w:vertAlign w:val="superscript"/>
        </w:rPr>
        <w:t>8,9</w:t>
      </w:r>
      <w:r>
        <w:t xml:space="preserve">. Close coordination of budburst and initiation of </w:t>
      </w:r>
      <w:r>
        <w:lastRenderedPageBreak/>
        <w:t>xylogenesis</w:t>
      </w:r>
      <w:r>
        <w:rPr>
          <w:vertAlign w:val="superscript"/>
        </w:rPr>
        <w:t>9</w:t>
      </w:r>
      <w:r>
        <w:t xml:space="preserve"> </w:t>
      </w:r>
      <w:r>
        <w:t>suggests that warm springs should shift the onset of growth earlier alongside observed advances in leaf phenology</w:t>
      </w:r>
      <w:r>
        <w:rPr>
          <w:vertAlign w:val="superscript"/>
        </w:rPr>
        <w:t>1,2,3</w:t>
      </w:r>
      <w:r>
        <w:t>. However, earlier initiation of growth would not necessarily translate to earlier, faster, or greater stem growth; rather, stem growth is</w:t>
      </w:r>
      <w:r>
        <w:t xml:space="preserve"> dependent upon environmental conditions on hourly to daily time scales</w:t>
      </w:r>
      <w:r>
        <w:rPr>
          <w:vertAlign w:val="superscript"/>
        </w:rPr>
        <w:t>26,27</w:t>
      </w:r>
      <w:r>
        <w:t>, and annual growth is more closely linked to conditions within the growing season than to growing season length</w:t>
      </w:r>
      <w:r>
        <w:rPr>
          <w:vertAlign w:val="superscript"/>
        </w:rPr>
        <w:t>28</w:t>
      </w:r>
      <w:r>
        <w:t>, GPP</w:t>
      </w:r>
      <w:r>
        <w:rPr>
          <w:vertAlign w:val="superscript"/>
        </w:rPr>
        <w:t>21</w:t>
      </w:r>
      <w:r>
        <w:t>, or NEE</w:t>
      </w:r>
      <w:r>
        <w:rPr>
          <w:vertAlign w:val="superscript"/>
        </w:rPr>
        <w:t>21</w:t>
      </w:r>
      <w:r>
        <w:t>. Furthermore, growth of broadleaf deciduous tree</w:t>
      </w:r>
      <w:r>
        <w:t>s may be sink-saturated</w:t>
      </w:r>
      <w:r>
        <w:rPr>
          <w:vertAlign w:val="superscript"/>
        </w:rPr>
        <w:t>17,29</w:t>
      </w:r>
      <w:r>
        <w:t>, such that longer growing seasons with more C fixation do not necessarily augment growth</w:t>
      </w:r>
      <w:r>
        <w:rPr>
          <w:vertAlign w:val="superscript"/>
        </w:rPr>
        <w:t>21,30,31</w:t>
      </w:r>
      <w:r>
        <w:t>. Tree-ring records, which can be used to examine annual growth but not growth seasonality, reveal that growth of temperate deciduo</w:t>
      </w:r>
      <w:r>
        <w:t>us trees tends to be most sensitive to temperature or potential evapotranspiration between late spring and early summer</w:t>
      </w:r>
      <w:r>
        <w:rPr>
          <w:vertAlign w:val="superscript"/>
        </w:rPr>
        <w:t>32,33</w:t>
      </w:r>
      <w:r>
        <w:t>, with some evidence that warmer springs may have a modest positive effect on growth</w:t>
      </w:r>
      <w:r>
        <w:rPr>
          <w:vertAlign w:val="superscript"/>
        </w:rPr>
        <w:t>25,33</w:t>
      </w:r>
      <w:r>
        <w:t>. These observations do not necessarily ali</w:t>
      </w:r>
      <w:r>
        <w:t>gn with the finding that warming spring temperatures increase annual forest CO</w:t>
      </w:r>
      <w:r>
        <w:rPr>
          <w:vertAlign w:val="subscript"/>
        </w:rPr>
        <w:t>2</w:t>
      </w:r>
      <w:r>
        <w:t xml:space="preserve"> uptake in temperate deciduous forests</w:t>
      </w:r>
      <w:r>
        <w:rPr>
          <w:vertAlign w:val="superscript"/>
        </w:rPr>
        <w:t>1,18</w:t>
      </w:r>
      <w:r>
        <w:t>. Characterizing responses of stem growth to warming spring temperatures is critical to bridging this conceptual disconnect and underst</w:t>
      </w:r>
      <w:r>
        <w:t>anding how forest biomass growth is likely to change as the climate warms.</w:t>
      </w:r>
    </w:p>
    <w:p w14:paraId="4501A037" w14:textId="77777777" w:rsidR="00BC6D46" w:rsidRDefault="00F84F50">
      <w:pPr>
        <w:pStyle w:val="BodyText"/>
      </w:pPr>
      <w:r>
        <w:t xml:space="preserve">Here, we evaluate how spring temperatures affect the timing, rates, and annual increments of stem diameter growth of temperate deciduous trees across eastern North America. To test </w:t>
      </w:r>
      <w:r>
        <w:t>whether warmer springs advance the timing and extend the duration of stem diameter growth, we used dendrometer band measurements on 440 trees across two mid-latitude forests. To test whether spring temperatures consistently increased annual radial incremen</w:t>
      </w:r>
      <w:r>
        <w:t>ts, we analyzed 207 tree-ring chronologies from 108 forests.</w:t>
      </w:r>
    </w:p>
    <w:p w14:paraId="6A6C4A2D" w14:textId="77777777" w:rsidR="00BC6D46" w:rsidRDefault="00F84F50">
      <w:pPr>
        <w:pStyle w:val="Heading2"/>
      </w:pPr>
      <w:bookmarkStart w:id="0" w:name="Dendrometer"/>
      <w:r>
        <w:t>Dendrometer band analysis</w:t>
      </w:r>
    </w:p>
    <w:p w14:paraId="57668546" w14:textId="77777777" w:rsidR="00BC6D46" w:rsidRDefault="00F84F50">
      <w:pPr>
        <w:pStyle w:val="FirstParagraph"/>
      </w:pPr>
      <w:r>
        <w:t xml:space="preserve">Using dendrometer band measurements taken throughout multiple growing seasons at the Smithsonian Conservation Biology Institute (SCBI; Virginia, USA; n = 119 trees from </w:t>
      </w:r>
      <w:r>
        <w:t>2011-2020) and Harvard Forest (Massachusetts, USA; n = 321 trees from 1998-2003), we fit a logistic growth model</w:t>
      </w:r>
      <w:r>
        <w:rPr>
          <w:vertAlign w:val="superscript"/>
        </w:rPr>
        <w:t>34</w:t>
      </w:r>
      <w:r>
        <w:t xml:space="preserve"> to determine the days of year (DOY) when 25, 50, and 75% annual diameter growth were achieved (</w:t>
      </w:r>
      <w:r>
        <w:rPr>
          <w:i/>
          <w:iCs/>
        </w:rPr>
        <w:t>DOY</w:t>
      </w:r>
      <w:r>
        <w:rPr>
          <w:i/>
          <w:iCs/>
          <w:vertAlign w:val="subscript"/>
        </w:rPr>
        <w:t>25</w:t>
      </w:r>
      <w:r>
        <w:t xml:space="preserve">, </w:t>
      </w:r>
      <w:r>
        <w:rPr>
          <w:i/>
          <w:iCs/>
        </w:rPr>
        <w:t>DOY</w:t>
      </w:r>
      <w:r>
        <w:rPr>
          <w:i/>
          <w:iCs/>
          <w:vertAlign w:val="subscript"/>
        </w:rPr>
        <w:t>50</w:t>
      </w:r>
      <w:r>
        <w:t xml:space="preserve">, </w:t>
      </w:r>
      <w:r>
        <w:rPr>
          <w:i/>
          <w:iCs/>
        </w:rPr>
        <w:t>DOY</w:t>
      </w:r>
      <w:r>
        <w:rPr>
          <w:i/>
          <w:iCs/>
          <w:vertAlign w:val="subscript"/>
        </w:rPr>
        <w:t>75</w:t>
      </w:r>
      <w:r>
        <w:t>), peak growing season leng</w:t>
      </w:r>
      <w:r>
        <w:t>th (</w:t>
      </w:r>
      <w:r>
        <w:rPr>
          <w:i/>
          <w:iCs/>
        </w:rPr>
        <w:t>L</w:t>
      </w:r>
      <w:r>
        <w:rPr>
          <w:i/>
          <w:iCs/>
          <w:vertAlign w:val="subscript"/>
        </w:rPr>
        <w:t>pgs</w:t>
      </w:r>
      <w:r>
        <w:rPr>
          <w:i/>
          <w:iCs/>
        </w:rPr>
        <w:t xml:space="preserve"> = DOY</w:t>
      </w:r>
      <w:r>
        <w:rPr>
          <w:i/>
          <w:iCs/>
          <w:vertAlign w:val="subscript"/>
        </w:rPr>
        <w:t>75</w:t>
      </w:r>
      <w:r>
        <w:rPr>
          <w:i/>
          <w:iCs/>
        </w:rPr>
        <w:t xml:space="preserve"> - DOY</w:t>
      </w:r>
      <w:r>
        <w:rPr>
          <w:i/>
          <w:iCs/>
          <w:vertAlign w:val="subscript"/>
        </w:rPr>
        <w:t>25</w:t>
      </w:r>
      <w:r>
        <w:t>), the maximum growth rate (</w:t>
      </w:r>
      <w:r>
        <w:rPr>
          <w:i/>
          <w:iCs/>
        </w:rPr>
        <w:t>g</w:t>
      </w:r>
      <w:r>
        <w:rPr>
          <w:i/>
          <w:iCs/>
          <w:vertAlign w:val="subscript"/>
        </w:rPr>
        <w:t>max</w:t>
      </w:r>
      <w:r>
        <w:t>), and total annual increment in diameter at breast height (</w:t>
      </w:r>
      <m:oMath>
        <m:r>
          <w:rPr>
            <w:rFonts w:ascii="Cambria Math" w:hAnsi="Cambria Math"/>
          </w:rPr>
          <m:t>ΔDBH</m:t>
        </m:r>
      </m:oMath>
      <w:r>
        <w:t xml:space="preserve">; Fig. 1). This analysis was performed separately for ring- and diffuse porous species (Extended Data Table 1), which differ in the </w:t>
      </w:r>
      <w:r>
        <w:t>seasonal timing of growth (Extended Data Table 2)</w:t>
      </w:r>
      <w:r>
        <w:rPr>
          <w:vertAlign w:val="superscript"/>
        </w:rPr>
        <w:t>27,35</w:t>
      </w:r>
      <w:r>
        <w:t>. These stem-growth milestones were compared to canopy foliage phenology (measured at ecosystem level via remote sensing).</w:t>
      </w:r>
    </w:p>
    <w:p w14:paraId="1313C1F9" w14:textId="77777777" w:rsidR="00BC6D46" w:rsidRDefault="00F84F50">
      <w:pPr>
        <w:pStyle w:val="BodyText"/>
      </w:pPr>
      <w:r>
        <w:t xml:space="preserve">Both canopy foliage phenology and the timing of stem growth shifted earlier as </w:t>
      </w:r>
      <w:r>
        <w:t>spring temperatures increased (Fig. 2, Extended Data Figures 4-5). We found a consistent effect of temperature (</w:t>
      </w:r>
      <w:r>
        <w:rPr>
          <w:i/>
          <w:iCs/>
        </w:rPr>
        <w:t>T</w:t>
      </w:r>
      <w:r>
        <w:rPr>
          <w:i/>
          <w:iCs/>
          <w:vertAlign w:val="subscript"/>
        </w:rPr>
        <w:t>max</w:t>
      </w:r>
      <w:r>
        <w:t xml:space="preserve"> or </w:t>
      </w:r>
      <w:r>
        <w:rPr>
          <w:i/>
          <w:iCs/>
        </w:rPr>
        <w:t>T</w:t>
      </w:r>
      <w:r>
        <w:rPr>
          <w:i/>
          <w:iCs/>
          <w:vertAlign w:val="subscript"/>
        </w:rPr>
        <w:t>min</w:t>
      </w:r>
      <w:r>
        <w:t xml:space="preserve">) throughout the spring, but the strongest effects on stem growth timing were found using </w:t>
      </w:r>
      <w:r>
        <w:rPr>
          <w:i/>
          <w:iCs/>
        </w:rPr>
        <w:t>T</w:t>
      </w:r>
      <w:r>
        <w:rPr>
          <w:i/>
          <w:iCs/>
          <w:vertAlign w:val="subscript"/>
        </w:rPr>
        <w:t>max</w:t>
      </w:r>
      <w:r>
        <w:t xml:space="preserve"> during a critical temperature window </w:t>
      </w:r>
      <w:r>
        <w:t xml:space="preserve">(CTW). CTW was identified by assessing the correlation between weekly </w:t>
      </w:r>
      <w:r>
        <w:rPr>
          <w:i/>
          <w:iCs/>
        </w:rPr>
        <w:t>T</w:t>
      </w:r>
      <w:r>
        <w:rPr>
          <w:i/>
          <w:iCs/>
          <w:vertAlign w:val="subscript"/>
        </w:rPr>
        <w:t>max</w:t>
      </w:r>
      <w:r>
        <w:t xml:space="preserve"> and </w:t>
      </w:r>
      <w:r>
        <w:rPr>
          <w:i/>
          <w:iCs/>
        </w:rPr>
        <w:t>DOY</w:t>
      </w:r>
      <w:r>
        <w:rPr>
          <w:i/>
          <w:iCs/>
          <w:vertAlign w:val="subscript"/>
        </w:rPr>
        <w:t>25</w:t>
      </w:r>
      <w:r>
        <w:t xml:space="preserve"> for all combinations of consecutive weeks from January 1 to mean </w:t>
      </w:r>
      <w:r>
        <w:rPr>
          <w:i/>
          <w:iCs/>
        </w:rPr>
        <w:t>DOY</w:t>
      </w:r>
      <w:r>
        <w:rPr>
          <w:i/>
          <w:iCs/>
          <w:vertAlign w:val="subscript"/>
        </w:rPr>
        <w:t>25</w:t>
      </w:r>
      <w:r>
        <w:t xml:space="preserve"> for each xylem architecture-site combination (Extended Data Figure 3). The CTW was defined as the we</w:t>
      </w:r>
      <w:r>
        <w:t xml:space="preserve">eks for which this correlation was strongest, and mean </w:t>
      </w:r>
      <w:r>
        <w:rPr>
          <w:i/>
          <w:iCs/>
        </w:rPr>
        <w:t>T</w:t>
      </w:r>
      <w:r>
        <w:rPr>
          <w:i/>
          <w:iCs/>
          <w:vertAlign w:val="subscript"/>
        </w:rPr>
        <w:t>max</w:t>
      </w:r>
      <w:r>
        <w:t xml:space="preserve"> during this period (CTW </w:t>
      </w:r>
      <w:r>
        <w:rPr>
          <w:i/>
          <w:iCs/>
        </w:rPr>
        <w:t>T</w:t>
      </w:r>
      <w:r>
        <w:rPr>
          <w:i/>
          <w:iCs/>
          <w:vertAlign w:val="subscript"/>
        </w:rPr>
        <w:t>max</w:t>
      </w:r>
      <w:r>
        <w:t>) used as our independent variable.</w:t>
      </w:r>
    </w:p>
    <w:p w14:paraId="78052460" w14:textId="77777777" w:rsidR="00BC6D46" w:rsidRDefault="00F84F50">
      <w:pPr>
        <w:pStyle w:val="BodyText"/>
      </w:pPr>
      <w:r>
        <w:lastRenderedPageBreak/>
        <w:t xml:space="preserve">For ring- and diffuse- porous species at both sites, warmer CTW </w:t>
      </w:r>
      <w:r>
        <w:rPr>
          <w:i/>
          <w:iCs/>
        </w:rPr>
        <w:t>T</w:t>
      </w:r>
      <w:r>
        <w:rPr>
          <w:i/>
          <w:iCs/>
          <w:vertAlign w:val="subscript"/>
        </w:rPr>
        <w:t>max</w:t>
      </w:r>
      <w:r>
        <w:t xml:space="preserve"> resulted in earlier achievement of seasonal milestones. Consist</w:t>
      </w:r>
      <w:r>
        <w:t>ent with findings from previous studies, leaf phenological milestones advanced at both sites (Fig. 2a-b, Extended Data Table 2), with greenup (DOY when EVI2 first crossed 15% of the segment EVI2 amplitude) advancing 3.5 days/</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at SCBI (p=0.016) and 2.4 d</w:t>
      </w:r>
      <w:r>
        <w:t xml:space="preserve">ays/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at Harvard Forest (p=0.1). Similarly, with the exception of ring porous </w:t>
      </w:r>
      <w:r>
        <w:rPr>
          <w:i/>
          <w:iCs/>
        </w:rPr>
        <w:t>DOY</w:t>
      </w:r>
      <w:r>
        <w:rPr>
          <w:i/>
          <w:iCs/>
          <w:vertAlign w:val="subscript"/>
        </w:rPr>
        <w:t>75</w:t>
      </w:r>
      <w:r>
        <w:t xml:space="preserve"> at SCBI, the stem growth milestones </w:t>
      </w:r>
      <w:r>
        <w:rPr>
          <w:i/>
          <w:iCs/>
        </w:rPr>
        <w:t>DOY</w:t>
      </w:r>
      <w:r>
        <w:rPr>
          <w:i/>
          <w:iCs/>
          <w:vertAlign w:val="subscript"/>
        </w:rPr>
        <w:t>25</w:t>
      </w:r>
      <w:r>
        <w:t xml:space="preserve">, </w:t>
      </w:r>
      <w:r>
        <w:rPr>
          <w:i/>
          <w:iCs/>
        </w:rPr>
        <w:t>DOY</w:t>
      </w:r>
      <w:r>
        <w:rPr>
          <w:i/>
          <w:iCs/>
          <w:vertAlign w:val="subscript"/>
        </w:rPr>
        <w:t>50</w:t>
      </w:r>
      <w:r>
        <w:t xml:space="preserve">, and </w:t>
      </w:r>
      <w:r>
        <w:rPr>
          <w:i/>
          <w:iCs/>
        </w:rPr>
        <w:t>DOY</w:t>
      </w:r>
      <w:r>
        <w:rPr>
          <w:i/>
          <w:iCs/>
          <w:vertAlign w:val="subscript"/>
        </w:rPr>
        <w:t>75</w:t>
      </w:r>
      <w:r>
        <w:t xml:space="preserve"> decreased with CTW </w:t>
      </w:r>
      <w:r>
        <w:rPr>
          <w:i/>
          <w:iCs/>
        </w:rPr>
        <w:t>T</w:t>
      </w:r>
      <w:r>
        <w:rPr>
          <w:i/>
          <w:iCs/>
          <w:vertAlign w:val="subscript"/>
        </w:rPr>
        <w:t>max</w:t>
      </w:r>
      <w:r>
        <w:t xml:space="preserve"> </w:t>
      </w:r>
      <w:r>
        <w:t xml:space="preserve">(Figs. 1, 2c-d; Extended Data Figures 4-5). Specifically, </w:t>
      </w:r>
      <w:r>
        <w:rPr>
          <w:i/>
          <w:iCs/>
        </w:rPr>
        <w:t>DOY</w:t>
      </w:r>
      <w:r>
        <w:rPr>
          <w:i/>
          <w:iCs/>
          <w:vertAlign w:val="subscript"/>
        </w:rPr>
        <w:t>25</w:t>
      </w:r>
      <w:r>
        <w:t xml:space="preserve">, </w:t>
      </w:r>
      <w:r>
        <w:rPr>
          <w:i/>
          <w:iCs/>
        </w:rPr>
        <w:t>DOY</w:t>
      </w:r>
      <w:r>
        <w:rPr>
          <w:i/>
          <w:iCs/>
          <w:vertAlign w:val="subscript"/>
        </w:rPr>
        <w:t>50</w:t>
      </w:r>
      <w:r>
        <w:t xml:space="preserve">, and </w:t>
      </w:r>
      <w:r>
        <w:rPr>
          <w:i/>
          <w:iCs/>
        </w:rPr>
        <w:t>DOY</w:t>
      </w:r>
      <w:r>
        <w:rPr>
          <w:i/>
          <w:iCs/>
          <w:vertAlign w:val="subscript"/>
        </w:rPr>
        <w:t>75</w:t>
      </w:r>
      <w:r>
        <w:t xml:space="preserve"> advanced 0-1.7 days/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for ring porous species and 2.8-2.9 days/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for diffuse porous species at SCBI, and 10.3-12.3 days/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for ring porous species and 0.9-4.2 days/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for diffuse porous species at Harvard Forest (Extended Data Table 2).</w:t>
      </w:r>
    </w:p>
    <w:p w14:paraId="78517C8B" w14:textId="77777777" w:rsidR="00BC6D46" w:rsidRDefault="00F84F50">
      <w:pPr>
        <w:pStyle w:val="BodyText"/>
      </w:pPr>
      <w:r>
        <w:t>Whereas the length of time between canopy greenup and senescence (</w:t>
      </w:r>
      <w:r>
        <w:rPr>
          <w:i/>
          <w:iCs/>
        </w:rPr>
        <w:t>i.e.,</w:t>
      </w:r>
      <w:r>
        <w:t xml:space="preserve"> the day when greenness dropped below 90% of its peak) increased with the CTW </w:t>
      </w:r>
      <w:r>
        <w:rPr>
          <w:i/>
          <w:iCs/>
        </w:rPr>
        <w:t>T</w:t>
      </w:r>
      <w:r>
        <w:rPr>
          <w:i/>
          <w:iCs/>
          <w:vertAlign w:val="subscript"/>
        </w:rPr>
        <w:t>max</w:t>
      </w:r>
      <w:r>
        <w:t xml:space="preserve"> of the porosity group contain</w:t>
      </w:r>
      <w:r>
        <w:t xml:space="preserve">ing the dominant canopy species at each site (diffuse porous at SCBI, ring porous at Harvard Forest; Fig. 2a-b), there was no consistent lengthening of </w:t>
      </w:r>
      <w:r>
        <w:rPr>
          <w:i/>
          <w:iCs/>
        </w:rPr>
        <w:t>L</w:t>
      </w:r>
      <w:r>
        <w:rPr>
          <w:i/>
          <w:iCs/>
          <w:vertAlign w:val="subscript"/>
        </w:rPr>
        <w:t>pgs</w:t>
      </w:r>
      <w:r>
        <w:t xml:space="preserve"> (Fig. 1, Extended Data Figures 4-5).</w:t>
      </w:r>
    </w:p>
    <w:p w14:paraId="6923E27F" w14:textId="77777777" w:rsidR="00BC6D46" w:rsidRDefault="00F84F50">
      <w:pPr>
        <w:pStyle w:val="BodyText"/>
      </w:pPr>
      <w:r>
        <w:t xml:space="preserve">In contrast to the pronounced effects of CTW </w:t>
      </w:r>
      <w:r>
        <w:rPr>
          <w:i/>
          <w:iCs/>
        </w:rPr>
        <w:t>T</w:t>
      </w:r>
      <w:r>
        <w:rPr>
          <w:i/>
          <w:iCs/>
          <w:vertAlign w:val="subscript"/>
        </w:rPr>
        <w:t>max</w:t>
      </w:r>
      <w:r>
        <w:t xml:space="preserve"> on the timin</w:t>
      </w:r>
      <w:r>
        <w:t xml:space="preserve">g of growth, its effects on </w:t>
      </w:r>
      <w:r>
        <w:rPr>
          <w:i/>
          <w:iCs/>
        </w:rPr>
        <w:t>g</w:t>
      </w:r>
      <w:r>
        <w:rPr>
          <w:i/>
          <w:iCs/>
          <w:vertAlign w:val="subscript"/>
        </w:rPr>
        <w:t>max</w:t>
      </w:r>
      <w:r>
        <w:t xml:space="preserve"> and </w:t>
      </w:r>
      <m:oMath>
        <m:r>
          <w:rPr>
            <w:rFonts w:ascii="Cambria Math" w:hAnsi="Cambria Math"/>
          </w:rPr>
          <m:t>ΔDBH</m:t>
        </m:r>
      </m:oMath>
      <w:r>
        <w:t xml:space="preserve"> were inconsistent, and usually weak (Fig. 1, Extended Data Figures 4-5). Specifically, </w:t>
      </w:r>
      <w:r>
        <w:rPr>
          <w:i/>
          <w:iCs/>
        </w:rPr>
        <w:t>g</w:t>
      </w:r>
      <w:r>
        <w:rPr>
          <w:i/>
          <w:iCs/>
          <w:vertAlign w:val="subscript"/>
        </w:rPr>
        <w:t>max</w:t>
      </w:r>
      <w:r>
        <w:t xml:space="preserve">, which occurred on average within 5 days of </w:t>
      </w:r>
      <w:r>
        <w:rPr>
          <w:i/>
          <w:iCs/>
        </w:rPr>
        <w:t>DOY</w:t>
      </w:r>
      <w:r>
        <w:rPr>
          <w:i/>
          <w:iCs/>
          <w:vertAlign w:val="subscript"/>
        </w:rPr>
        <w:t>50</w:t>
      </w:r>
      <w:r>
        <w:t>, displayed extremely small negative changes (Harvard Forest) or chan</w:t>
      </w:r>
      <w:r>
        <w:t xml:space="preserve">ges in opposite directions (SCBI) in relationship to CTW </w:t>
      </w:r>
      <w:r>
        <w:rPr>
          <w:i/>
          <w:iCs/>
        </w:rPr>
        <w:t>T</w:t>
      </w:r>
      <w:r>
        <w:rPr>
          <w:i/>
          <w:iCs/>
          <w:vertAlign w:val="subscript"/>
        </w:rPr>
        <w:t>max</w:t>
      </w:r>
      <w:r>
        <w:t xml:space="preserve"> for ring- and diffuse- porous species. </w:t>
      </w:r>
      <m:oMath>
        <m:r>
          <w:rPr>
            <w:rFonts w:ascii="Cambria Math" w:hAnsi="Cambria Math"/>
          </w:rPr>
          <m:t>ΔDBH</m:t>
        </m:r>
      </m:oMath>
      <w:r>
        <w:t xml:space="preserve"> displayed a weak positive relationship (+0.003-0.008 cm/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with CTW </w:t>
      </w:r>
      <w:r>
        <w:rPr>
          <w:i/>
          <w:iCs/>
        </w:rPr>
        <w:t>T</w:t>
      </w:r>
      <w:r>
        <w:rPr>
          <w:i/>
          <w:iCs/>
          <w:vertAlign w:val="subscript"/>
        </w:rPr>
        <w:t>max</w:t>
      </w:r>
      <w:r>
        <w:t xml:space="preserve"> at SCBI and a weak negative relationship (-0.02-0.003 cm/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at Harv</w:t>
      </w:r>
      <w:r>
        <w:t>ard Forest (Extended Data Figure 4).</w:t>
      </w:r>
    </w:p>
    <w:p w14:paraId="20B501AC" w14:textId="77777777" w:rsidR="00BC6D46" w:rsidRDefault="00F84F50">
      <w:pPr>
        <w:pStyle w:val="Heading2"/>
      </w:pPr>
      <w:bookmarkStart w:id="1" w:name="Tree"/>
      <w:bookmarkEnd w:id="0"/>
      <w:r>
        <w:t>Tree-ring analysis</w:t>
      </w:r>
    </w:p>
    <w:p w14:paraId="5B0DEDA9" w14:textId="77777777" w:rsidR="00BC6D46" w:rsidRDefault="00F84F50">
      <w:pPr>
        <w:pStyle w:val="FirstParagraph"/>
      </w:pPr>
      <w:r>
        <w:t>To understand how annual radial stem growth increments have responded to spring temperatures at the centennial scale, we analyzed tree-ring chronologies of 12 species at SCBI</w:t>
      </w:r>
      <w:r>
        <w:rPr>
          <w:vertAlign w:val="superscript"/>
        </w:rPr>
        <w:t>33</w:t>
      </w:r>
      <w:r>
        <w:t xml:space="preserve"> and 4 species at Harvar</w:t>
      </w:r>
      <w:r>
        <w:t>d Forest (Extended Data Table 1), plus an additional 191 chronologies from 106 sites (Fig. 3; Extended Data Figure 1; Extended Data Table 3). In total, our analysis included 207 chronologies representing 24 broadleaf species at 108 sites distributed from A</w:t>
      </w:r>
      <w:r>
        <w:t>labama (34.35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N latitude) to Michigan (45.56</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N latitude) and spanning a 15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range in April </w:t>
      </w:r>
      <w:r>
        <w:rPr>
          <w:i/>
          <w:iCs/>
        </w:rPr>
        <w:t>T</w:t>
      </w:r>
      <w:r>
        <w:rPr>
          <w:i/>
          <w:iCs/>
          <w:vertAlign w:val="subscript"/>
        </w:rPr>
        <w:t>max</w:t>
      </w:r>
      <w:r>
        <w:t xml:space="preserve">. </w:t>
      </w:r>
      <w:r>
        <w:t xml:space="preserve">Across all chronologies, the standardized ring-width index (RWI) was significantly (95% confidence interval did not include 0) positively correlated with April </w:t>
      </w:r>
      <w:r>
        <w:rPr>
          <w:i/>
          <w:iCs/>
        </w:rPr>
        <w:t>T</w:t>
      </w:r>
      <w:r>
        <w:rPr>
          <w:i/>
          <w:iCs/>
          <w:vertAlign w:val="subscript"/>
        </w:rPr>
        <w:t>max</w:t>
      </w:r>
      <w:r>
        <w:t xml:space="preserve"> for only 2% of chronologies: 1 of 142 ring porous and 4 of 66 diffuse porous species-site c</w:t>
      </w:r>
      <w:r>
        <w:t xml:space="preserve">ombinations (Extended Data Table 3). There were even fewer significant positive correlations with March and May </w:t>
      </w:r>
      <w:r>
        <w:rPr>
          <w:i/>
          <w:iCs/>
        </w:rPr>
        <w:t>T</w:t>
      </w:r>
      <w:r>
        <w:rPr>
          <w:i/>
          <w:iCs/>
          <w:vertAlign w:val="subscript"/>
        </w:rPr>
        <w:t>max</w:t>
      </w:r>
      <w:r>
        <w:t xml:space="preserve">: 0% and 1%, respectively (Extended Data Table 3). In contrast, RWI was frequently negatively correlated with </w:t>
      </w:r>
      <w:r>
        <w:rPr>
          <w:i/>
          <w:iCs/>
        </w:rPr>
        <w:t>T</w:t>
      </w:r>
      <w:r>
        <w:rPr>
          <w:i/>
          <w:iCs/>
          <w:vertAlign w:val="subscript"/>
        </w:rPr>
        <w:t>max</w:t>
      </w:r>
      <w:r>
        <w:t xml:space="preserve"> during peak growing seaso</w:t>
      </w:r>
      <w:r>
        <w:t>n months (May-August), with significant correlations for 52% (May: 45/141, Jun: 107/141, Jul: 91/141, Aug: 53/141) and 46% (May: 10/66, Jun: 52/66, Jul: 36/66, Aug: 23/66) of species-site-month combinations for ring- and diffuse-porous species, respectivel</w:t>
      </w:r>
      <w:r>
        <w:t xml:space="preserve">y. </w:t>
      </w:r>
      <w:r>
        <w:rPr>
          <w:i/>
          <w:iCs/>
        </w:rPr>
        <w:t>T</w:t>
      </w:r>
      <w:r>
        <w:rPr>
          <w:i/>
          <w:iCs/>
          <w:vertAlign w:val="subscript"/>
        </w:rPr>
        <w:t>min</w:t>
      </w:r>
      <w:r>
        <w:t xml:space="preserve"> generally exhibited weaker relationships to annual growth than </w:t>
      </w:r>
      <w:r>
        <w:rPr>
          <w:i/>
          <w:iCs/>
        </w:rPr>
        <w:t>T</w:t>
      </w:r>
      <w:r>
        <w:rPr>
          <w:i/>
          <w:iCs/>
          <w:vertAlign w:val="subscript"/>
        </w:rPr>
        <w:t>max</w:t>
      </w:r>
      <w:r>
        <w:t xml:space="preserve">, with few significant correlations between spring </w:t>
      </w:r>
      <w:r>
        <w:rPr>
          <w:i/>
          <w:iCs/>
        </w:rPr>
        <w:t>T</w:t>
      </w:r>
      <w:r>
        <w:rPr>
          <w:i/>
          <w:iCs/>
          <w:vertAlign w:val="subscript"/>
        </w:rPr>
        <w:t>min</w:t>
      </w:r>
      <w:r>
        <w:t xml:space="preserve"> and RWI (Extended Data Figure 6).</w:t>
      </w:r>
    </w:p>
    <w:p w14:paraId="406365DB" w14:textId="77777777" w:rsidR="00BC6D46" w:rsidRDefault="00F84F50">
      <w:pPr>
        <w:pStyle w:val="BodyText"/>
      </w:pPr>
      <w:r>
        <w:lastRenderedPageBreak/>
        <w:t xml:space="preserve">To test whether warm springs might result in storage of non-structural carbohydrates (NSC) </w:t>
      </w:r>
      <w:r>
        <w:t>that would augment growth the following year</w:t>
      </w:r>
      <w:r>
        <w:rPr>
          <w:vertAlign w:val="superscript"/>
        </w:rPr>
        <w:t>36</w:t>
      </w:r>
      <w:r>
        <w:t xml:space="preserve">, we extended the analysis to examine correlations between RWI and </w:t>
      </w:r>
      <w:r>
        <w:rPr>
          <w:i/>
          <w:iCs/>
        </w:rPr>
        <w:t>T</w:t>
      </w:r>
      <w:r>
        <w:rPr>
          <w:i/>
          <w:iCs/>
          <w:vertAlign w:val="subscript"/>
        </w:rPr>
        <w:t>max</w:t>
      </w:r>
      <w:r>
        <w:t xml:space="preserve"> in the previous year (Extended Data Figure 7). This revealed little effect of previous spring temperatures on annual growth, with signific</w:t>
      </w:r>
      <w:r>
        <w:t xml:space="preserve">ant positive correlations of RWI to previous March or April </w:t>
      </w:r>
      <w:r>
        <w:rPr>
          <w:i/>
          <w:iCs/>
        </w:rPr>
        <w:t>T</w:t>
      </w:r>
      <w:r>
        <w:rPr>
          <w:i/>
          <w:iCs/>
          <w:vertAlign w:val="subscript"/>
        </w:rPr>
        <w:t>max</w:t>
      </w:r>
      <w:r>
        <w:t xml:space="preserve"> for 5/142 ring porous chronologies and to previous April or May </w:t>
      </w:r>
      <w:r>
        <w:rPr>
          <w:i/>
          <w:iCs/>
        </w:rPr>
        <w:t>T</w:t>
      </w:r>
      <w:r>
        <w:rPr>
          <w:i/>
          <w:iCs/>
          <w:vertAlign w:val="subscript"/>
        </w:rPr>
        <w:t>max</w:t>
      </w:r>
      <w:r>
        <w:t xml:space="preserve"> for 7/66 diffuse porous chronologies.</w:t>
      </w:r>
    </w:p>
    <w:p w14:paraId="404746E5" w14:textId="77777777" w:rsidR="00BC6D46" w:rsidRDefault="00F84F50">
      <w:pPr>
        <w:pStyle w:val="BodyText"/>
      </w:pPr>
      <w:r>
        <w:t xml:space="preserve">To test whether there may be an enhancement of growth by warmer spring temperatures </w:t>
      </w:r>
      <w:r>
        <w:t xml:space="preserve">that was offset by the negative effect of high summer temperatures, we tested for the joint effects of April and June-July </w:t>
      </w:r>
      <w:r>
        <w:rPr>
          <w:i/>
          <w:iCs/>
        </w:rPr>
        <w:t>T</w:t>
      </w:r>
      <w:r>
        <w:rPr>
          <w:i/>
          <w:iCs/>
          <w:vertAlign w:val="subscript"/>
        </w:rPr>
        <w:t>max</w:t>
      </w:r>
      <w:r>
        <w:t xml:space="preserve"> on RWI. Results were qualitatively similar to the univariate correlations (Fig. 3), with significant (p </w:t>
      </w:r>
      <m:oMath>
        <m:r>
          <m:rPr>
            <m:sty m:val="p"/>
          </m:rPr>
          <w:rPr>
            <w:rFonts w:ascii="Cambria Math" w:hAnsi="Cambria Math"/>
          </w:rPr>
          <m:t>≤</m:t>
        </m:r>
      </m:oMath>
      <w:r>
        <w:t xml:space="preserve"> 0.05) positive correla</w:t>
      </w:r>
      <w:r>
        <w:t xml:space="preserve">tions to April </w:t>
      </w:r>
      <w:r>
        <w:rPr>
          <w:i/>
          <w:iCs/>
        </w:rPr>
        <w:t>T</w:t>
      </w:r>
      <w:r>
        <w:rPr>
          <w:i/>
          <w:iCs/>
          <w:vertAlign w:val="subscript"/>
        </w:rPr>
        <w:t>max</w:t>
      </w:r>
      <w:r>
        <w:t xml:space="preserve"> for only 4% of chronologies and significant negative correlations with June-July </w:t>
      </w:r>
      <w:r>
        <w:rPr>
          <w:i/>
          <w:iCs/>
        </w:rPr>
        <w:t>T</w:t>
      </w:r>
      <w:r>
        <w:rPr>
          <w:i/>
          <w:iCs/>
          <w:vertAlign w:val="subscript"/>
        </w:rPr>
        <w:t>max</w:t>
      </w:r>
      <w:r>
        <w:t xml:space="preserve"> for 77% of chronologies (Extended Data Table 3).</w:t>
      </w:r>
    </w:p>
    <w:p w14:paraId="09778BD9" w14:textId="77777777" w:rsidR="00BC6D46" w:rsidRDefault="00F84F50">
      <w:pPr>
        <w:pStyle w:val="Heading2"/>
      </w:pPr>
      <w:bookmarkStart w:id="2" w:name="Discussion"/>
      <w:bookmarkEnd w:id="1"/>
      <w:r>
        <w:t>Discussion</w:t>
      </w:r>
    </w:p>
    <w:p w14:paraId="4A3CB057" w14:textId="77777777" w:rsidR="00BC6D46" w:rsidRDefault="00F84F50">
      <w:pPr>
        <w:pStyle w:val="FirstParagraph"/>
      </w:pPr>
      <w:r>
        <w:t>Together, our results demonstrate that warmer spring temperatures in the temperate deciduo</w:t>
      </w:r>
      <w:r>
        <w:t xml:space="preserve">us forests of eastern North America advance the timing of stem diameter growth but have little effect on annual increments (Figs. 1-3). The observed advance in stem growth under warmer springs parallels advances observed for canopy foliage phenology (Fig. </w:t>
      </w:r>
      <w:r>
        <w:t>2a-b)</w:t>
      </w:r>
      <w:r>
        <w:rPr>
          <w:vertAlign w:val="superscript"/>
        </w:rPr>
        <w:t>1,3</w:t>
      </w:r>
      <w:r>
        <w:t xml:space="preserve"> and NEE</w:t>
      </w:r>
      <w:r>
        <w:rPr>
          <w:vertAlign w:val="superscript"/>
        </w:rPr>
        <w:t>1,3</w:t>
      </w:r>
      <w:r>
        <w:t>. However, inconsistent with the concept that an earlier start to growth would increase ANPP</w:t>
      </w:r>
      <w:r>
        <w:rPr>
          <w:vertAlign w:val="subscript"/>
        </w:rPr>
        <w:t>woody</w:t>
      </w:r>
      <w:r>
        <w:t>, we demonstrate that warmer springs either hasten the deceleration of stem expansion or otherwise fail to translate extended growing season</w:t>
      </w:r>
      <w:r>
        <w:t xml:space="preserve">s into biologically significant increases in stem growth (Fig. 1), and thereby have negligible effect on total annual growth for most species and locations (Fig. 3). Our observations suggest that the deceleration of stem expansion, which occurs mid-summer </w:t>
      </w:r>
      <w:r>
        <w:t>near the time of peak canopy greenness (Extended Data Figure 2)</w:t>
      </w:r>
      <w:r>
        <w:rPr>
          <w:vertAlign w:val="superscript"/>
        </w:rPr>
        <w:t>3,28</w:t>
      </w:r>
      <w:r>
        <w:t>, is driven by cues other than photosynthate limitation, such as water stress</w:t>
      </w:r>
      <w:r>
        <w:rPr>
          <w:vertAlign w:val="superscript"/>
        </w:rPr>
        <w:t>21,26,28</w:t>
      </w:r>
      <w:r>
        <w:t>, nutrient limitation</w:t>
      </w:r>
      <w:r>
        <w:rPr>
          <w:vertAlign w:val="superscript"/>
        </w:rPr>
        <w:t>37</w:t>
      </w:r>
      <w:r>
        <w:t>, daylength</w:t>
      </w:r>
      <w:r>
        <w:rPr>
          <w:vertAlign w:val="superscript"/>
        </w:rPr>
        <w:t>28</w:t>
      </w:r>
      <w:r>
        <w:t>, or sink saturation</w:t>
      </w:r>
      <w:r>
        <w:rPr>
          <w:vertAlign w:val="superscript"/>
        </w:rPr>
        <w:t>21,29</w:t>
      </w:r>
      <w:r>
        <w:t>. This adds to a growing body of evidence f</w:t>
      </w:r>
      <w:r>
        <w:t>or a sink limitation of stem growth</w:t>
      </w:r>
      <w:r>
        <w:rPr>
          <w:vertAlign w:val="superscript"/>
        </w:rPr>
        <w:t>17,21,31</w:t>
      </w:r>
      <w:r>
        <w:t>, wherein global change factors known to enhance photosynthesis, such as longer growing seasons or elevated CO</w:t>
      </w:r>
      <w:r>
        <w:rPr>
          <w:vertAlign w:val="subscript"/>
        </w:rPr>
        <w:t>2</w:t>
      </w:r>
      <w:r>
        <w:t>, do not cause a corresponding increase in stem growth</w:t>
      </w:r>
      <w:r>
        <w:rPr>
          <w:vertAlign w:val="superscript"/>
        </w:rPr>
        <w:t>19,28</w:t>
      </w:r>
      <w:r>
        <w:t>.</w:t>
      </w:r>
    </w:p>
    <w:p w14:paraId="1545CF67" w14:textId="77777777" w:rsidR="00BC6D46" w:rsidRDefault="00F84F50">
      <w:pPr>
        <w:pStyle w:val="BodyText"/>
      </w:pPr>
      <w:r>
        <w:t>Combined with widespread observations tha</w:t>
      </w:r>
      <w:r>
        <w:t>t warming springs tend to lengthen the season of CO</w:t>
      </w:r>
      <w:r>
        <w:rPr>
          <w:vertAlign w:val="subscript"/>
        </w:rPr>
        <w:t>2</w:t>
      </w:r>
      <w:r>
        <w:t xml:space="preserve"> uptake</w:t>
      </w:r>
      <w:r>
        <w:rPr>
          <w:vertAlign w:val="superscript"/>
        </w:rPr>
        <w:t>3,18</w:t>
      </w:r>
      <w:r>
        <w:t xml:space="preserve"> and increase net annual CO</w:t>
      </w:r>
      <w:r>
        <w:rPr>
          <w:vertAlign w:val="subscript"/>
        </w:rPr>
        <w:t>2</w:t>
      </w:r>
      <w:r>
        <w:t xml:space="preserve"> uptake</w:t>
      </w:r>
      <w:r>
        <w:rPr>
          <w:vertAlign w:val="superscript"/>
        </w:rPr>
        <w:t>1,4,5,3, 6,7</w:t>
      </w:r>
      <w:r>
        <w:t>, our findings imply a lengthening of the period from peak stem growth to the cessation of CO</w:t>
      </w:r>
      <w:r>
        <w:rPr>
          <w:vertAlign w:val="subscript"/>
        </w:rPr>
        <w:t>2</w:t>
      </w:r>
      <w:r>
        <w:t xml:space="preserve"> </w:t>
      </w:r>
      <w:r>
        <w:t>uptake by the ecosystem and an increase in C allocated to functions other than stem expansion in the current or following year. It remains theoretically possible that warm springs could augment ANPP</w:t>
      </w:r>
      <w:r>
        <w:rPr>
          <w:vertAlign w:val="subscript"/>
        </w:rPr>
        <w:t>woody</w:t>
      </w:r>
      <w:r>
        <w:t xml:space="preserve">, which, although routinely calculated based on stem </w:t>
      </w:r>
      <w:r>
        <w:t>growth, can be partially decoupled from it through differences in wood density or C content</w:t>
      </w:r>
      <w:r>
        <w:rPr>
          <w:vertAlign w:val="superscript"/>
        </w:rPr>
        <w:t>21</w:t>
      </w:r>
      <w:r>
        <w:t>. Extra C fixed in years with warm springs could potentially be allocated to formation of more C-dense wood, either through enhanced cell wall thickening (a proces</w:t>
      </w:r>
      <w:r>
        <w:t>s that lags behind stem expansion</w:t>
      </w:r>
      <w:r>
        <w:rPr>
          <w:vertAlign w:val="superscript"/>
        </w:rPr>
        <w:t>38</w:t>
      </w:r>
      <w:r>
        <w:t>) or to a higher ratio of high-density latewood to lower-density earlywood. However, existing evidence indicates that vessel features are most strongly controlled by summer drought stress in the previous (earlywood) or cu</w:t>
      </w:r>
      <w:r>
        <w:t>rrent (latewood) year, while warm springs have a neutral or negative effect on latewood width</w:t>
      </w:r>
      <w:r>
        <w:rPr>
          <w:vertAlign w:val="superscript"/>
        </w:rPr>
        <w:t>39–41</w:t>
      </w:r>
      <w:r>
        <w:t xml:space="preserve">. </w:t>
      </w:r>
      <w:r>
        <w:lastRenderedPageBreak/>
        <w:t>Thus, it is unlikely that warm springs have a positive effect on total C content of annual rings or ANPP</w:t>
      </w:r>
      <w:r>
        <w:rPr>
          <w:vertAlign w:val="subscript"/>
        </w:rPr>
        <w:t>woody</w:t>
      </w:r>
      <w:r>
        <w:t>.</w:t>
      </w:r>
    </w:p>
    <w:p w14:paraId="32325512" w14:textId="77777777" w:rsidR="00BC6D46" w:rsidRDefault="00F84F50">
      <w:pPr>
        <w:pStyle w:val="BodyText"/>
      </w:pPr>
      <w:r>
        <w:t>The fate of any additional C fixed during yea</w:t>
      </w:r>
      <w:r>
        <w:t>rs with warm springs remains unresolved, but possible destinations – including respiration, NSC storage, and production of foliage, reproductive structures, roots</w:t>
      </w:r>
      <w:r>
        <w:rPr>
          <w:vertAlign w:val="superscript"/>
        </w:rPr>
        <w:t>30</w:t>
      </w:r>
      <w:r>
        <w:t xml:space="preserve">, or root exudates – generally have shorter residence times than woody growth. Indeed, when </w:t>
      </w:r>
      <w:r>
        <w:t>GPP of a mature forest was increased through experimental CO</w:t>
      </w:r>
      <w:r>
        <w:rPr>
          <w:vertAlign w:val="subscript"/>
        </w:rPr>
        <w:t>2</w:t>
      </w:r>
      <w:r>
        <w:t xml:space="preserve"> enrichment, ANPP</w:t>
      </w:r>
      <w:r>
        <w:rPr>
          <w:vertAlign w:val="subscript"/>
        </w:rPr>
        <w:t>woody</w:t>
      </w:r>
      <w:r>
        <w:t xml:space="preserve"> remained unchanged, while additional C was released back to the atmosphere on relatively short time scales through enhanced respiration</w:t>
      </w:r>
      <w:r>
        <w:rPr>
          <w:vertAlign w:val="superscript"/>
        </w:rPr>
        <w:t>19</w:t>
      </w:r>
      <w:r>
        <w:t>. Consistent with this, it has been</w:t>
      </w:r>
      <w:r>
        <w:t xml:space="preserve"> observed that C gains from an earlier spring can be offset through fall or winter respiration</w:t>
      </w:r>
      <w:r>
        <w:rPr>
          <w:vertAlign w:val="superscript"/>
        </w:rPr>
        <w:t>20</w:t>
      </w:r>
      <w:r>
        <w:t>, although even the C in shorter-lived pools would often be carried over into the following year</w:t>
      </w:r>
      <w:r>
        <w:rPr>
          <w:vertAlign w:val="superscript"/>
        </w:rPr>
        <w:t>42</w:t>
      </w:r>
      <w:r>
        <w:t>. Thus, observed augmentation of NEE by warm springs</w:t>
      </w:r>
      <w:r>
        <w:rPr>
          <w:vertAlign w:val="superscript"/>
        </w:rPr>
        <w:t>1,6,7</w:t>
      </w:r>
      <w:r>
        <w:t xml:space="preserve"> is l</w:t>
      </w:r>
      <w:r>
        <w:t>ikely to be compensated by increased respiration in subsequent years.</w:t>
      </w:r>
    </w:p>
    <w:p w14:paraId="4FF66549" w14:textId="77777777" w:rsidR="00BC6D46" w:rsidRDefault="00F84F50">
      <w:pPr>
        <w:pStyle w:val="BodyText"/>
      </w:pPr>
      <w:r>
        <w:t>It is possible that as spring warming continues, forests will adjust to directional changes in growing season length with an enhancement of ANPP</w:t>
      </w:r>
      <w:r>
        <w:rPr>
          <w:vertAlign w:val="subscript"/>
        </w:rPr>
        <w:t>woody</w:t>
      </w:r>
      <w:r>
        <w:t>. Across latitudinal gradients, warme</w:t>
      </w:r>
      <w:r>
        <w:t>r spring temperatures are associated with earlier leaf-out</w:t>
      </w:r>
      <w:r>
        <w:rPr>
          <w:vertAlign w:val="superscript"/>
        </w:rPr>
        <w:t>43</w:t>
      </w:r>
      <w:r>
        <w:t xml:space="preserve"> and longer growing seasons, which in turn are correlated with greater tree growth</w:t>
      </w:r>
      <w:r>
        <w:rPr>
          <w:vertAlign w:val="superscript"/>
        </w:rPr>
        <w:t>44</w:t>
      </w:r>
      <w:r>
        <w:t>, ANPP</w:t>
      </w:r>
      <w:r>
        <w:rPr>
          <w:vertAlign w:val="subscript"/>
        </w:rPr>
        <w:t>woody</w:t>
      </w:r>
      <w:r>
        <w:rPr>
          <w:vertAlign w:val="superscript"/>
        </w:rPr>
        <w:t>45</w:t>
      </w:r>
      <w:r>
        <w:t>, and NEE</w:t>
      </w:r>
      <w:r>
        <w:rPr>
          <w:vertAlign w:val="superscript"/>
        </w:rPr>
        <w:t>46</w:t>
      </w:r>
      <w:r>
        <w:t>. Thus, warming spring temperatures are likely to increase the biophysical potential for</w:t>
      </w:r>
      <w:r>
        <w:t xml:space="preserve"> annual tree growth. If extra photosynthate made available through a growing difference between GPP and ANPP</w:t>
      </w:r>
      <w:r>
        <w:rPr>
          <w:vertAlign w:val="subscript"/>
        </w:rPr>
        <w:t>woody</w:t>
      </w:r>
      <w:r>
        <w:t xml:space="preserve"> is allocated to functions that relieve limitations on woody growth – for example, by enhancing nutrient and water acquisition through enhanced</w:t>
      </w:r>
      <w:r>
        <w:t xml:space="preserve"> allocation to roots</w:t>
      </w:r>
      <w:r>
        <w:rPr>
          <w:vertAlign w:val="superscript"/>
        </w:rPr>
        <w:t>30,47</w:t>
      </w:r>
      <w:r>
        <w:t xml:space="preserve"> – it is possible that warming spring temperatures could ultimately increase ANPP</w:t>
      </w:r>
      <w:r>
        <w:rPr>
          <w:vertAlign w:val="subscript"/>
        </w:rPr>
        <w:t>woody</w:t>
      </w:r>
      <w:r>
        <w:t xml:space="preserve"> through indirect mechanisms. Understanding how warming spring temperatures are influencing C allocation within ecosystems remains a key outstand</w:t>
      </w:r>
      <w:r>
        <w:t>ing question.</w:t>
      </w:r>
    </w:p>
    <w:p w14:paraId="3A9881E1" w14:textId="77777777" w:rsidR="00BC6D46" w:rsidRDefault="00F84F50">
      <w:pPr>
        <w:pStyle w:val="BodyText"/>
      </w:pPr>
      <w:r>
        <w:t>Regardless of the influence of spring temperatures on C cycling within the ecosystem, our results clearly demonstrate that the dominant effects of temperature on deciduous tree growth occur not in the spring, but during the peak growing seaso</w:t>
      </w:r>
      <w:r>
        <w:t>n of the current or sometimes previous year (Fig. 3, Extended Data Figure 7), when increased atmospheric demand associated with high temperatures can limit both leaf-level gas exchange and stem growth</w:t>
      </w:r>
      <w:r>
        <w:rPr>
          <w:vertAlign w:val="superscript"/>
        </w:rPr>
        <w:t>21,26,28,48</w:t>
      </w:r>
      <w:r>
        <w:t>. Indeed, the timing of peak growth in June a</w:t>
      </w:r>
      <w:r>
        <w:t xml:space="preserve">nd July (Extended Data Table 2, Extended Data Figure 2) coincides with the timing of the greatest sensitivity of annual growth to </w:t>
      </w:r>
      <w:r>
        <w:rPr>
          <w:i/>
          <w:iCs/>
        </w:rPr>
        <w:t>T</w:t>
      </w:r>
      <w:r>
        <w:rPr>
          <w:i/>
          <w:iCs/>
          <w:vertAlign w:val="subscript"/>
        </w:rPr>
        <w:t>max</w:t>
      </w:r>
      <w:r>
        <w:t xml:space="preserve"> (Fig. 3, Extended Data Table 3). This finding is consistent with numerous tree-ring studies demonstrating strong sensitiv</w:t>
      </w:r>
      <w:r>
        <w:t>ity of growth to drought stress or high temperatures during the peak growing season</w:t>
      </w:r>
      <w:r>
        <w:rPr>
          <w:vertAlign w:val="superscript"/>
        </w:rPr>
        <w:t>24,32,33,44</w:t>
      </w:r>
      <w:r>
        <w:t>.  Warm springs may also amplify summer drought stress in some times and places, effectively canceling out any positive effects of an extended growing period</w:t>
      </w:r>
      <w:r>
        <w:rPr>
          <w:vertAlign w:val="superscript"/>
        </w:rPr>
        <w:t>2,49,</w:t>
      </w:r>
      <w:r>
        <w:rPr>
          <w:vertAlign w:val="superscript"/>
        </w:rPr>
        <w:t>50</w:t>
      </w:r>
      <w:r>
        <w:t>. While such an interaction was unlikely to have played a major role within the scope of our dendrometer band study, given relatively mesic conditions and lack of significant correlation between spring temperatures and summer drought stress (see Methods)</w:t>
      </w:r>
      <w:r>
        <w:t>, our tree-ring analysis does reveal a higher frequency of negative than positive correlations of annual growth to spring temperatures, particularly for ring porous species in cooler climates (Fig. 3, Extended Data Table 3). Thus, warm springs can have a n</w:t>
      </w:r>
      <w:r>
        <w:t>et negative effect on growth, particularly when water is limiting</w:t>
      </w:r>
      <w:r>
        <w:rPr>
          <w:vertAlign w:val="superscript"/>
        </w:rPr>
        <w:t>25</w:t>
      </w:r>
      <w:r>
        <w:t>.</w:t>
      </w:r>
    </w:p>
    <w:p w14:paraId="07BB5ED9" w14:textId="77777777" w:rsidR="00BC6D46" w:rsidRDefault="00F84F50">
      <w:pPr>
        <w:pStyle w:val="BodyText"/>
      </w:pPr>
      <w:r>
        <w:lastRenderedPageBreak/>
        <w:t>As spring temperatures become increasingly warmer, growing seasons will start earlier. However, barring rapid acclimation of temperate deciduous forests to the warming conditions, advance</w:t>
      </w:r>
      <w:r>
        <w:t>ment in the timing of stem growth (Fig. 1) is unlikely to provide a sustained augmentation of C sequestration in woody biomass and ensuant negative climate change feedback that is anticipated in most climate forecasting models</w:t>
      </w:r>
      <w:r>
        <w:rPr>
          <w:vertAlign w:val="superscript"/>
        </w:rPr>
        <w:t>1,2,12,31</w:t>
      </w:r>
      <w:r>
        <w:t>. Rather, the dominan</w:t>
      </w:r>
      <w:r>
        <w:t>t effect of rising temperatures on temperate deciduous forest woody productivity will be a negative effect of high summer temperatures (Fig. 3)</w:t>
      </w:r>
      <w:r>
        <w:rPr>
          <w:vertAlign w:val="superscript"/>
        </w:rPr>
        <w:t>15</w:t>
      </w:r>
      <w:r>
        <w:t>, which constitutes a positive feedback to climate change.</w:t>
      </w:r>
    </w:p>
    <w:p w14:paraId="3A325099" w14:textId="795C3D0B" w:rsidR="00BC6D46" w:rsidRDefault="00F84F50">
      <w:pPr>
        <w:pStyle w:val="Heading1"/>
      </w:pPr>
      <w:bookmarkStart w:id="3" w:name="references"/>
      <w:bookmarkEnd w:id="2"/>
      <w:r>
        <w:t>References</w:t>
      </w:r>
    </w:p>
    <w:p w14:paraId="629EB56C" w14:textId="77777777" w:rsidR="001D41A5" w:rsidRPr="001D41A5" w:rsidRDefault="001D41A5" w:rsidP="001D41A5">
      <w:pPr>
        <w:pStyle w:val="BodyText"/>
      </w:pPr>
    </w:p>
    <w:p w14:paraId="3980770A" w14:textId="77777777" w:rsidR="001D41A5" w:rsidRDefault="001D41A5" w:rsidP="001D41A5">
      <w:pPr>
        <w:pStyle w:val="Bibliography"/>
      </w:pPr>
      <w:bookmarkStart w:id="4" w:name="ref-keenan_net_2014"/>
      <w:r>
        <w:t xml:space="preserve">1. </w:t>
      </w:r>
      <w:r>
        <w:tab/>
        <w:t xml:space="preserve">Keenan, T. F. </w:t>
      </w:r>
      <w:r>
        <w:rPr>
          <w:i/>
          <w:iCs/>
        </w:rPr>
        <w:t>et al.</w:t>
      </w:r>
      <w:r>
        <w:t xml:space="preserve"> Net carbon uptake has increased through warming-induced changes in temperate forest phenology. </w:t>
      </w:r>
      <w:r>
        <w:rPr>
          <w:i/>
          <w:iCs/>
        </w:rPr>
        <w:t>Nature Climate Change</w:t>
      </w:r>
      <w:r>
        <w:t xml:space="preserve"> </w:t>
      </w:r>
      <w:r>
        <w:rPr>
          <w:b/>
          <w:bCs/>
        </w:rPr>
        <w:t>4</w:t>
      </w:r>
      <w:r>
        <w:t>, 598–604 (2014).</w:t>
      </w:r>
    </w:p>
    <w:p w14:paraId="10638856" w14:textId="77777777" w:rsidR="001D41A5" w:rsidRDefault="001D41A5" w:rsidP="001D41A5">
      <w:pPr>
        <w:pStyle w:val="Bibliography"/>
      </w:pPr>
      <w:bookmarkStart w:id="5" w:name="ref-buermann_widespread_2018"/>
      <w:bookmarkEnd w:id="4"/>
      <w:r>
        <w:t xml:space="preserve">2. </w:t>
      </w:r>
      <w:r>
        <w:tab/>
        <w:t xml:space="preserve">Buermann, W. </w:t>
      </w:r>
      <w:r>
        <w:rPr>
          <w:i/>
          <w:iCs/>
        </w:rPr>
        <w:t>et al.</w:t>
      </w:r>
      <w:r>
        <w:t xml:space="preserve"> Widespread seasonal compensation effects of spring warming on northern plant productivity. </w:t>
      </w:r>
      <w:r>
        <w:rPr>
          <w:i/>
          <w:iCs/>
        </w:rPr>
        <w:t>Nature</w:t>
      </w:r>
      <w:r>
        <w:t xml:space="preserve"> </w:t>
      </w:r>
      <w:r>
        <w:rPr>
          <w:b/>
          <w:bCs/>
        </w:rPr>
        <w:t>562</w:t>
      </w:r>
      <w:r>
        <w:t>, 110–114 (2018).</w:t>
      </w:r>
    </w:p>
    <w:p w14:paraId="55720C94" w14:textId="77777777" w:rsidR="001D41A5" w:rsidRDefault="001D41A5" w:rsidP="001D41A5">
      <w:pPr>
        <w:pStyle w:val="Bibliography"/>
      </w:pPr>
      <w:bookmarkStart w:id="6" w:name="ref-finzi_carbon_2020"/>
      <w:bookmarkEnd w:id="5"/>
      <w:r>
        <w:t xml:space="preserve">3. </w:t>
      </w:r>
      <w:r>
        <w:tab/>
        <w:t xml:space="preserve">Finzi, A. C. </w:t>
      </w:r>
      <w:r>
        <w:rPr>
          <w:i/>
          <w:iCs/>
        </w:rPr>
        <w:t>et al.</w:t>
      </w:r>
      <w:r>
        <w:t xml:space="preserve"> Carbon budget of the Harvard Forest Long-Term Ecological Research site: Pattern, process, and response to global change. </w:t>
      </w:r>
      <w:r>
        <w:rPr>
          <w:i/>
          <w:iCs/>
        </w:rPr>
        <w:t>Ecological Monographs</w:t>
      </w:r>
      <w:r>
        <w:t xml:space="preserve"> </w:t>
      </w:r>
      <w:r>
        <w:rPr>
          <w:b/>
          <w:bCs/>
        </w:rPr>
        <w:t>90</w:t>
      </w:r>
      <w:r>
        <w:t>, e01423 (2020).</w:t>
      </w:r>
    </w:p>
    <w:p w14:paraId="13597298" w14:textId="77777777" w:rsidR="001D41A5" w:rsidRDefault="001D41A5" w:rsidP="001D41A5">
      <w:pPr>
        <w:pStyle w:val="Bibliography"/>
      </w:pPr>
      <w:bookmarkStart w:id="7" w:name="ref-keeling_increased_1996"/>
      <w:bookmarkEnd w:id="6"/>
      <w:r>
        <w:t xml:space="preserve">4. </w:t>
      </w:r>
      <w:r>
        <w:tab/>
        <w:t xml:space="preserve">Keeling, C. D., Chin, J. F. S. &amp; Whorf, T. P. Increased activity of northern vegetation inferred from atmospheric CO 2 measurements. </w:t>
      </w:r>
      <w:r>
        <w:rPr>
          <w:i/>
          <w:iCs/>
        </w:rPr>
        <w:t>Nature</w:t>
      </w:r>
      <w:r>
        <w:t xml:space="preserve"> </w:t>
      </w:r>
      <w:r>
        <w:rPr>
          <w:b/>
          <w:bCs/>
        </w:rPr>
        <w:t>382</w:t>
      </w:r>
      <w:r>
        <w:t>, 146–149 (1996).</w:t>
      </w:r>
    </w:p>
    <w:p w14:paraId="698DE91D" w14:textId="77777777" w:rsidR="001D41A5" w:rsidRDefault="001D41A5" w:rsidP="001D41A5">
      <w:pPr>
        <w:pStyle w:val="Bibliography"/>
      </w:pPr>
      <w:bookmarkStart w:id="8" w:name="ref-dragoni_evidence_2011"/>
      <w:bookmarkEnd w:id="7"/>
      <w:r>
        <w:t xml:space="preserve">5. </w:t>
      </w:r>
      <w:r>
        <w:tab/>
        <w:t xml:space="preserve">Dragoni, D. </w:t>
      </w:r>
      <w:r>
        <w:rPr>
          <w:i/>
          <w:iCs/>
        </w:rPr>
        <w:t>et al.</w:t>
      </w:r>
      <w:r>
        <w:t xml:space="preserve"> Evidence of increased net ecosystem productivity associated with a longer vegetated season in a deciduous forest in south-central Indiana, USA. </w:t>
      </w:r>
      <w:r>
        <w:rPr>
          <w:i/>
          <w:iCs/>
        </w:rPr>
        <w:t>Global Change Biology</w:t>
      </w:r>
      <w:r>
        <w:t xml:space="preserve"> </w:t>
      </w:r>
      <w:r>
        <w:rPr>
          <w:b/>
          <w:bCs/>
        </w:rPr>
        <w:t>17</w:t>
      </w:r>
      <w:r>
        <w:t>, 886–897 (2011).</w:t>
      </w:r>
    </w:p>
    <w:p w14:paraId="0434EAB6" w14:textId="77777777" w:rsidR="001D41A5" w:rsidRDefault="001D41A5" w:rsidP="001D41A5">
      <w:pPr>
        <w:pStyle w:val="Bibliography"/>
      </w:pPr>
      <w:bookmarkStart w:id="9" w:name="ref-zhou_explaining_2016"/>
      <w:bookmarkEnd w:id="8"/>
      <w:r>
        <w:t xml:space="preserve">6. </w:t>
      </w:r>
      <w:r>
        <w:tab/>
        <w:t xml:space="preserve">Zhou, S. </w:t>
      </w:r>
      <w:r>
        <w:rPr>
          <w:i/>
          <w:iCs/>
        </w:rPr>
        <w:t>et al.</w:t>
      </w:r>
      <w:r>
        <w:t xml:space="preserve"> Explaining inter-annual variability of gross primary productivity from plant phenology and physiology. </w:t>
      </w:r>
      <w:r>
        <w:rPr>
          <w:i/>
          <w:iCs/>
        </w:rPr>
        <w:t>Agricultural and Forest Meteorology</w:t>
      </w:r>
      <w:r>
        <w:t xml:space="preserve"> </w:t>
      </w:r>
      <w:r>
        <w:rPr>
          <w:b/>
          <w:bCs/>
        </w:rPr>
        <w:t>226–227</w:t>
      </w:r>
      <w:r>
        <w:t>, 246–256 (2016).</w:t>
      </w:r>
    </w:p>
    <w:p w14:paraId="7D1CEE2D" w14:textId="77777777" w:rsidR="001D41A5" w:rsidRDefault="001D41A5" w:rsidP="001D41A5">
      <w:pPr>
        <w:pStyle w:val="Bibliography"/>
      </w:pPr>
      <w:bookmarkStart w:id="10" w:name="ref-fu_maximum_2019"/>
      <w:bookmarkEnd w:id="9"/>
      <w:r>
        <w:t xml:space="preserve">7. </w:t>
      </w:r>
      <w:r>
        <w:tab/>
        <w:t xml:space="preserve">Fu, Z. </w:t>
      </w:r>
      <w:r>
        <w:rPr>
          <w:i/>
          <w:iCs/>
        </w:rPr>
        <w:t>et al.</w:t>
      </w:r>
      <w:r>
        <w:t xml:space="preserve"> Maximum carbon uptake rate dominates the interannual variability of global net ecosystem exchange. </w:t>
      </w:r>
      <w:r>
        <w:rPr>
          <w:i/>
          <w:iCs/>
        </w:rPr>
        <w:t>Global Change Biology</w:t>
      </w:r>
      <w:r>
        <w:t xml:space="preserve"> </w:t>
      </w:r>
      <w:r>
        <w:rPr>
          <w:b/>
          <w:bCs/>
        </w:rPr>
        <w:t>25</w:t>
      </w:r>
      <w:r>
        <w:t>, 3381–3394 (2019).</w:t>
      </w:r>
    </w:p>
    <w:p w14:paraId="59EA3F0A" w14:textId="77777777" w:rsidR="001D41A5" w:rsidRDefault="001D41A5" w:rsidP="001D41A5">
      <w:pPr>
        <w:pStyle w:val="Bibliography"/>
      </w:pPr>
      <w:bookmarkStart w:id="11" w:name="ref-savage_coordination_2021"/>
      <w:bookmarkEnd w:id="10"/>
      <w:r>
        <w:t xml:space="preserve">8. </w:t>
      </w:r>
      <w:r>
        <w:tab/>
        <w:t xml:space="preserve">Savage, J. A. &amp; Chuine, I. Coordination of spring vascular and organ phenology in deciduous angiosperms growing in seasonally cold climates. </w:t>
      </w:r>
      <w:r>
        <w:rPr>
          <w:i/>
          <w:iCs/>
        </w:rPr>
        <w:t>New Phytologist</w:t>
      </w:r>
      <w:r>
        <w:t xml:space="preserve"> </w:t>
      </w:r>
      <w:r>
        <w:rPr>
          <w:b/>
          <w:bCs/>
        </w:rPr>
        <w:t>230</w:t>
      </w:r>
      <w:r>
        <w:t>, 1700–1715 (2021).</w:t>
      </w:r>
    </w:p>
    <w:p w14:paraId="0A8144DE" w14:textId="77777777" w:rsidR="001D41A5" w:rsidRDefault="001D41A5" w:rsidP="001D41A5">
      <w:pPr>
        <w:pStyle w:val="Bibliography"/>
      </w:pPr>
      <w:bookmarkStart w:id="12" w:name="ref-delpierre_temperate_2016"/>
      <w:bookmarkEnd w:id="11"/>
      <w:r>
        <w:t xml:space="preserve">9. </w:t>
      </w:r>
      <w:r>
        <w:tab/>
        <w:t xml:space="preserve">Delpierre, N. </w:t>
      </w:r>
      <w:r>
        <w:rPr>
          <w:i/>
          <w:iCs/>
        </w:rPr>
        <w:t>et al.</w:t>
      </w:r>
      <w:r>
        <w:t xml:space="preserve"> Temperate and boreal forest tree phenology: From organ-scale processes to terrestrial ecosystem models. </w:t>
      </w:r>
      <w:r>
        <w:rPr>
          <w:i/>
          <w:iCs/>
        </w:rPr>
        <w:t>Annals of Forest Science</w:t>
      </w:r>
      <w:r>
        <w:t xml:space="preserve"> </w:t>
      </w:r>
      <w:r>
        <w:rPr>
          <w:b/>
          <w:bCs/>
        </w:rPr>
        <w:t>73</w:t>
      </w:r>
      <w:r>
        <w:t>, 5–25 (2016).</w:t>
      </w:r>
    </w:p>
    <w:p w14:paraId="1C3BB126" w14:textId="77777777" w:rsidR="001D41A5" w:rsidRDefault="001D41A5" w:rsidP="001D41A5">
      <w:pPr>
        <w:pStyle w:val="Bibliography"/>
      </w:pPr>
      <w:bookmarkStart w:id="13" w:name="ref-xue_global_2017"/>
      <w:bookmarkEnd w:id="12"/>
      <w:r>
        <w:t xml:space="preserve">10. </w:t>
      </w:r>
      <w:r>
        <w:tab/>
        <w:t xml:space="preserve">Xue, B.-L. </w:t>
      </w:r>
      <w:r>
        <w:rPr>
          <w:i/>
          <w:iCs/>
        </w:rPr>
        <w:t>et al.</w:t>
      </w:r>
      <w:r>
        <w:t xml:space="preserve"> Global patterns of woody residence time and its influence on model simulation of aboveground biomass. </w:t>
      </w:r>
      <w:r>
        <w:rPr>
          <w:i/>
          <w:iCs/>
        </w:rPr>
        <w:t>Global Biogeochemical Cycles</w:t>
      </w:r>
      <w:r>
        <w:t xml:space="preserve"> </w:t>
      </w:r>
      <w:r>
        <w:rPr>
          <w:b/>
          <w:bCs/>
        </w:rPr>
        <w:t>31</w:t>
      </w:r>
      <w:r>
        <w:t>, 821–835 (2017).</w:t>
      </w:r>
    </w:p>
    <w:p w14:paraId="3907B0A2" w14:textId="77777777" w:rsidR="001D41A5" w:rsidRDefault="001D41A5" w:rsidP="001D41A5">
      <w:pPr>
        <w:pStyle w:val="Bibliography"/>
      </w:pPr>
      <w:bookmarkStart w:id="14" w:name="ref-russell_residence_2014"/>
      <w:bookmarkEnd w:id="13"/>
      <w:r>
        <w:t xml:space="preserve">11. </w:t>
      </w:r>
      <w:r>
        <w:tab/>
        <w:t xml:space="preserve">Russell, M. B. </w:t>
      </w:r>
      <w:r>
        <w:rPr>
          <w:i/>
          <w:iCs/>
        </w:rPr>
        <w:t>et al.</w:t>
      </w:r>
      <w:r>
        <w:t xml:space="preserve"> Residence times and decay rates of downed woody debris biomass/carbon in eastern US forests. </w:t>
      </w:r>
      <w:r>
        <w:rPr>
          <w:i/>
          <w:iCs/>
        </w:rPr>
        <w:t>Ecosystems</w:t>
      </w:r>
      <w:r>
        <w:t xml:space="preserve"> </w:t>
      </w:r>
      <w:r>
        <w:rPr>
          <w:b/>
          <w:bCs/>
        </w:rPr>
        <w:t>17</w:t>
      </w:r>
      <w:r>
        <w:t>, 765–777 (2014).</w:t>
      </w:r>
    </w:p>
    <w:p w14:paraId="771008AC" w14:textId="77777777" w:rsidR="001D41A5" w:rsidRDefault="001D41A5" w:rsidP="001D41A5">
      <w:pPr>
        <w:pStyle w:val="Bibliography"/>
      </w:pPr>
      <w:bookmarkStart w:id="15" w:name="ref-richardson_terrestrial_2012"/>
      <w:bookmarkEnd w:id="14"/>
      <w:r>
        <w:lastRenderedPageBreak/>
        <w:t xml:space="preserve">12. </w:t>
      </w:r>
      <w:r>
        <w:tab/>
        <w:t xml:space="preserve">Richardson, A. D. </w:t>
      </w:r>
      <w:r>
        <w:rPr>
          <w:i/>
          <w:iCs/>
        </w:rPr>
        <w:t>et al.</w:t>
      </w:r>
      <w:r>
        <w:t xml:space="preserve"> Terrestrial biosphere models need better representation of vegetation phenology: Results from the North American Carbon Program Site Synthesis. </w:t>
      </w:r>
      <w:r>
        <w:rPr>
          <w:i/>
          <w:iCs/>
        </w:rPr>
        <w:t>Global Change Biology</w:t>
      </w:r>
      <w:r>
        <w:t xml:space="preserve"> </w:t>
      </w:r>
      <w:r>
        <w:rPr>
          <w:b/>
          <w:bCs/>
        </w:rPr>
        <w:t>18</w:t>
      </w:r>
      <w:r>
        <w:t>, 566–584 (2012).</w:t>
      </w:r>
    </w:p>
    <w:p w14:paraId="3D2995D0" w14:textId="77777777" w:rsidR="001D41A5" w:rsidRDefault="001D41A5" w:rsidP="001D41A5">
      <w:pPr>
        <w:pStyle w:val="Bibliography"/>
      </w:pPr>
      <w:bookmarkStart w:id="16" w:name="ref-harris_global_2021"/>
      <w:bookmarkEnd w:id="15"/>
      <w:r>
        <w:t xml:space="preserve">13. </w:t>
      </w:r>
      <w:r>
        <w:tab/>
        <w:t xml:space="preserve">Harris, N. L. </w:t>
      </w:r>
      <w:r>
        <w:rPr>
          <w:i/>
          <w:iCs/>
        </w:rPr>
        <w:t>et al.</w:t>
      </w:r>
      <w:r>
        <w:t xml:space="preserve"> Global maps of twenty-first century forest carbon fluxes. </w:t>
      </w:r>
      <w:r>
        <w:rPr>
          <w:i/>
          <w:iCs/>
        </w:rPr>
        <w:t>Nature Climate Change</w:t>
      </w:r>
      <w:r>
        <w:t xml:space="preserve"> 1–7 (2021) doi:</w:t>
      </w:r>
      <w:hyperlink r:id="rId8">
        <w:r>
          <w:rPr>
            <w:rStyle w:val="Hyperlink"/>
          </w:rPr>
          <w:t>10.1038/s41558-020-00976-6</w:t>
        </w:r>
      </w:hyperlink>
      <w:r>
        <w:t>.</w:t>
      </w:r>
    </w:p>
    <w:p w14:paraId="7F65129E" w14:textId="77777777" w:rsidR="001D41A5" w:rsidRDefault="001D41A5" w:rsidP="001D41A5">
      <w:pPr>
        <w:pStyle w:val="Bibliography"/>
      </w:pPr>
      <w:bookmarkStart w:id="17" w:name="ref-pugh_role_2019"/>
      <w:bookmarkEnd w:id="16"/>
      <w:r>
        <w:t xml:space="preserve">14. </w:t>
      </w:r>
      <w:r>
        <w:tab/>
        <w:t xml:space="preserve">Pugh, T. A. M. </w:t>
      </w:r>
      <w:r>
        <w:rPr>
          <w:i/>
          <w:iCs/>
        </w:rPr>
        <w:t>et al.</w:t>
      </w:r>
      <w:r>
        <w:t xml:space="preserve"> Role of forest regrowth in global carbon sink dynamics. </w:t>
      </w:r>
      <w:r>
        <w:rPr>
          <w:i/>
          <w:iCs/>
        </w:rPr>
        <w:t>Proceedings of the National Academy of Sciences</w:t>
      </w:r>
      <w:r>
        <w:t xml:space="preserve"> </w:t>
      </w:r>
      <w:r>
        <w:rPr>
          <w:b/>
          <w:bCs/>
        </w:rPr>
        <w:t>116</w:t>
      </w:r>
      <w:r>
        <w:t>, 4382–4387 (2019).</w:t>
      </w:r>
    </w:p>
    <w:p w14:paraId="6388313B" w14:textId="77777777" w:rsidR="001D41A5" w:rsidRDefault="001D41A5" w:rsidP="001D41A5">
      <w:pPr>
        <w:pStyle w:val="Bibliography"/>
      </w:pPr>
      <w:bookmarkStart w:id="18" w:name="ref-ahlstrom_robustness_2012"/>
      <w:bookmarkEnd w:id="17"/>
      <w:r>
        <w:t xml:space="preserve">15. </w:t>
      </w:r>
      <w:r>
        <w:tab/>
        <w:t xml:space="preserve">Ahlström, A., Schurgers, G., Arneth, A. &amp; Smith, B. </w:t>
      </w:r>
      <w:proofErr w:type="gramStart"/>
      <w:r>
        <w:t>Robustness</w:t>
      </w:r>
      <w:proofErr w:type="gramEnd"/>
      <w:r>
        <w:t xml:space="preserve"> and uncertainty in terrestrial ecosystem carbon response to CMIP5 climate change projections. </w:t>
      </w:r>
      <w:r>
        <w:rPr>
          <w:i/>
          <w:iCs/>
        </w:rPr>
        <w:t>Environmental Research Letters</w:t>
      </w:r>
      <w:r>
        <w:t xml:space="preserve"> </w:t>
      </w:r>
      <w:r>
        <w:rPr>
          <w:b/>
          <w:bCs/>
        </w:rPr>
        <w:t>7</w:t>
      </w:r>
      <w:r>
        <w:t>, 044008 (2012).</w:t>
      </w:r>
    </w:p>
    <w:p w14:paraId="7AD58BC2" w14:textId="77777777" w:rsidR="001D41A5" w:rsidRDefault="001D41A5" w:rsidP="001D41A5">
      <w:pPr>
        <w:pStyle w:val="Bibliography"/>
      </w:pPr>
      <w:bookmarkStart w:id="19" w:name="ref-friedlingstein_global_2020"/>
      <w:bookmarkEnd w:id="18"/>
      <w:r>
        <w:t xml:space="preserve">16. </w:t>
      </w:r>
      <w:r>
        <w:tab/>
        <w:t xml:space="preserve">Friedlingstein, P. </w:t>
      </w:r>
      <w:r>
        <w:rPr>
          <w:i/>
          <w:iCs/>
        </w:rPr>
        <w:t>et al.</w:t>
      </w:r>
      <w:r>
        <w:t xml:space="preserve"> Global Carbon Budget 2020. </w:t>
      </w:r>
      <w:r>
        <w:rPr>
          <w:i/>
          <w:iCs/>
        </w:rPr>
        <w:t>Earth System Science Data</w:t>
      </w:r>
      <w:r>
        <w:t xml:space="preserve"> </w:t>
      </w:r>
      <w:r>
        <w:rPr>
          <w:b/>
          <w:bCs/>
        </w:rPr>
        <w:t>12</w:t>
      </w:r>
      <w:r>
        <w:t>, 3269–3340 (2020).</w:t>
      </w:r>
    </w:p>
    <w:p w14:paraId="6D5F7DD2" w14:textId="77777777" w:rsidR="001D41A5" w:rsidRDefault="001D41A5" w:rsidP="001D41A5">
      <w:pPr>
        <w:pStyle w:val="Bibliography"/>
      </w:pPr>
      <w:bookmarkStart w:id="20" w:name="ref-fatichi_moving_2014"/>
      <w:bookmarkEnd w:id="19"/>
      <w:r>
        <w:t xml:space="preserve">17. </w:t>
      </w:r>
      <w:r>
        <w:tab/>
        <w:t xml:space="preserve">Fatichi, S., Leuzinger, S. &amp; Körner, C. Moving beyond photosynthesis: From carbon source to sink-driven vegetation modeling. </w:t>
      </w:r>
      <w:r>
        <w:rPr>
          <w:i/>
          <w:iCs/>
        </w:rPr>
        <w:t>The New Phytologist</w:t>
      </w:r>
      <w:r>
        <w:t xml:space="preserve"> </w:t>
      </w:r>
      <w:r>
        <w:rPr>
          <w:b/>
          <w:bCs/>
        </w:rPr>
        <w:t>201</w:t>
      </w:r>
      <w:r>
        <w:t>, 1086–1095 (2014).</w:t>
      </w:r>
    </w:p>
    <w:p w14:paraId="036AD44F" w14:textId="77777777" w:rsidR="001D41A5" w:rsidRDefault="001D41A5" w:rsidP="001D41A5">
      <w:pPr>
        <w:pStyle w:val="Bibliography"/>
      </w:pPr>
      <w:bookmarkStart w:id="21" w:name="ref-lu_no_2022"/>
      <w:bookmarkEnd w:id="20"/>
      <w:r>
        <w:t xml:space="preserve">18. </w:t>
      </w:r>
      <w:r>
        <w:tab/>
        <w:t xml:space="preserve">Lu, X. &amp; Keenan, T. F. No evidence for a negative effect of growing season photosynthesis on leaf senescence timing. </w:t>
      </w:r>
      <w:r>
        <w:rPr>
          <w:i/>
          <w:iCs/>
        </w:rPr>
        <w:t>Global Change Biology</w:t>
      </w:r>
      <w:r>
        <w:t xml:space="preserve"> </w:t>
      </w:r>
      <w:r>
        <w:rPr>
          <w:b/>
          <w:bCs/>
        </w:rPr>
        <w:t>28</w:t>
      </w:r>
      <w:r>
        <w:t>, 3083–3093 (2022).</w:t>
      </w:r>
    </w:p>
    <w:p w14:paraId="345F8748" w14:textId="77777777" w:rsidR="001D41A5" w:rsidRDefault="001D41A5" w:rsidP="001D41A5">
      <w:pPr>
        <w:pStyle w:val="Bibliography"/>
      </w:pPr>
      <w:bookmarkStart w:id="22" w:name="ref-jiang_fate_2020"/>
      <w:bookmarkEnd w:id="21"/>
      <w:r>
        <w:t xml:space="preserve">19. </w:t>
      </w:r>
      <w:r>
        <w:tab/>
        <w:t xml:space="preserve">Jiang, M. </w:t>
      </w:r>
      <w:r>
        <w:rPr>
          <w:i/>
          <w:iCs/>
        </w:rPr>
        <w:t>et al.</w:t>
      </w:r>
      <w:r>
        <w:t xml:space="preserve"> The fate of carbon in a mature forest under carbon dioxide enrichment. </w:t>
      </w:r>
      <w:r>
        <w:rPr>
          <w:i/>
          <w:iCs/>
        </w:rPr>
        <w:t>Nature</w:t>
      </w:r>
      <w:r>
        <w:t xml:space="preserve"> </w:t>
      </w:r>
      <w:r>
        <w:rPr>
          <w:b/>
          <w:bCs/>
        </w:rPr>
        <w:t>580</w:t>
      </w:r>
      <w:r>
        <w:t>, 227–231 (2020).</w:t>
      </w:r>
    </w:p>
    <w:p w14:paraId="4FD5B1EB" w14:textId="77777777" w:rsidR="001D41A5" w:rsidRDefault="001D41A5" w:rsidP="001D41A5">
      <w:pPr>
        <w:pStyle w:val="Bibliography"/>
      </w:pPr>
      <w:bookmarkStart w:id="23" w:name="ref-oishi_warmer_2018"/>
      <w:bookmarkEnd w:id="22"/>
      <w:r>
        <w:t xml:space="preserve">20. </w:t>
      </w:r>
      <w:r>
        <w:tab/>
        <w:t xml:space="preserve">Oishi, A. C. </w:t>
      </w:r>
      <w:r>
        <w:rPr>
          <w:i/>
          <w:iCs/>
        </w:rPr>
        <w:t>et al.</w:t>
      </w:r>
      <w:r>
        <w:t xml:space="preserve"> Warmer temperatures reduce net carbon uptake, but do not affect water use, in a mature southern </w:t>
      </w:r>
      <w:proofErr w:type="gramStart"/>
      <w:r>
        <w:t>Appalachian forest</w:t>
      </w:r>
      <w:proofErr w:type="gramEnd"/>
      <w:r>
        <w:t xml:space="preserve">. </w:t>
      </w:r>
      <w:r>
        <w:rPr>
          <w:i/>
          <w:iCs/>
        </w:rPr>
        <w:t>Agricultural and Forest Meteorology</w:t>
      </w:r>
      <w:r>
        <w:t xml:space="preserve"> </w:t>
      </w:r>
      <w:r>
        <w:rPr>
          <w:b/>
          <w:bCs/>
        </w:rPr>
        <w:t>252</w:t>
      </w:r>
      <w:r>
        <w:t>, 269–282 (2018).</w:t>
      </w:r>
    </w:p>
    <w:p w14:paraId="54175944" w14:textId="77777777" w:rsidR="001D41A5" w:rsidRDefault="001D41A5" w:rsidP="001D41A5">
      <w:pPr>
        <w:pStyle w:val="Bibliography"/>
      </w:pPr>
      <w:bookmarkStart w:id="24" w:name="ref-delpierre_wood_2016"/>
      <w:bookmarkEnd w:id="23"/>
      <w:r>
        <w:t xml:space="preserve">21. </w:t>
      </w:r>
      <w:r>
        <w:tab/>
        <w:t xml:space="preserve">Delpierre, N., Berveiller, D., Granda, E. &amp; Dufrêne, E. Wood phenology, not carbon input, controls the interannual variability of wood growth in a temperate oak forest. </w:t>
      </w:r>
      <w:r>
        <w:rPr>
          <w:i/>
          <w:iCs/>
        </w:rPr>
        <w:t>New Phytologist</w:t>
      </w:r>
      <w:r>
        <w:t xml:space="preserve"> </w:t>
      </w:r>
      <w:r>
        <w:rPr>
          <w:b/>
          <w:bCs/>
        </w:rPr>
        <w:t>210</w:t>
      </w:r>
      <w:r>
        <w:t>, 459–470 (2016).</w:t>
      </w:r>
    </w:p>
    <w:p w14:paraId="1EC857D4" w14:textId="77777777" w:rsidR="001D41A5" w:rsidRDefault="001D41A5" w:rsidP="001D41A5">
      <w:pPr>
        <w:pStyle w:val="Bibliography"/>
      </w:pPr>
      <w:bookmarkStart w:id="25" w:name="ref-huang_photoperiod_2020"/>
      <w:bookmarkEnd w:id="24"/>
      <w:r>
        <w:t xml:space="preserve">22. </w:t>
      </w:r>
      <w:r>
        <w:tab/>
        <w:t xml:space="preserve">Huang, J.-G. </w:t>
      </w:r>
      <w:r>
        <w:rPr>
          <w:i/>
          <w:iCs/>
        </w:rPr>
        <w:t>et al.</w:t>
      </w:r>
      <w:r>
        <w:t xml:space="preserve"> Photoperiod and temperature as dominant environmental drivers triggering secondary growth resumption in Northern Hemisphere conifers. </w:t>
      </w:r>
      <w:r>
        <w:rPr>
          <w:i/>
          <w:iCs/>
        </w:rPr>
        <w:t>Proceedings of the National Academy of Sciences</w:t>
      </w:r>
      <w:r>
        <w:t xml:space="preserve"> </w:t>
      </w:r>
      <w:r>
        <w:rPr>
          <w:b/>
          <w:bCs/>
        </w:rPr>
        <w:t>117</w:t>
      </w:r>
      <w:r>
        <w:t>, 20645–20652 (2020).</w:t>
      </w:r>
    </w:p>
    <w:p w14:paraId="06DE167E" w14:textId="77777777" w:rsidR="001D41A5" w:rsidRDefault="001D41A5" w:rsidP="001D41A5">
      <w:pPr>
        <w:pStyle w:val="Bibliography"/>
      </w:pPr>
      <w:bookmarkStart w:id="26" w:name="ref-rossi_critical_2008"/>
      <w:bookmarkEnd w:id="25"/>
      <w:r>
        <w:t xml:space="preserve">23. </w:t>
      </w:r>
      <w:r>
        <w:tab/>
        <w:t xml:space="preserve">Rossi, S. </w:t>
      </w:r>
      <w:r>
        <w:rPr>
          <w:i/>
          <w:iCs/>
        </w:rPr>
        <w:t>et al.</w:t>
      </w:r>
      <w:r>
        <w:t xml:space="preserve"> Critical temperatures for xylogenesis in conifers of cold climates. </w:t>
      </w:r>
      <w:r>
        <w:rPr>
          <w:i/>
          <w:iCs/>
        </w:rPr>
        <w:t>Global Ecology and Biogeography</w:t>
      </w:r>
      <w:r>
        <w:t xml:space="preserve"> </w:t>
      </w:r>
      <w:r>
        <w:rPr>
          <w:b/>
          <w:bCs/>
        </w:rPr>
        <w:t>17</w:t>
      </w:r>
      <w:r>
        <w:t>, 696–707 (2008).</w:t>
      </w:r>
    </w:p>
    <w:p w14:paraId="11119547" w14:textId="77777777" w:rsidR="001D41A5" w:rsidRDefault="001D41A5" w:rsidP="001D41A5">
      <w:pPr>
        <w:pStyle w:val="Bibliography"/>
      </w:pPr>
      <w:bookmarkStart w:id="27" w:name="ref-babst_twentieth_2019"/>
      <w:bookmarkEnd w:id="26"/>
      <w:r>
        <w:t xml:space="preserve">24. </w:t>
      </w:r>
      <w:r>
        <w:tab/>
        <w:t xml:space="preserve">Babst, F. </w:t>
      </w:r>
      <w:r>
        <w:rPr>
          <w:i/>
          <w:iCs/>
        </w:rPr>
        <w:t>et al.</w:t>
      </w:r>
      <w:r>
        <w:t xml:space="preserve"> Twentieth century redistribution in climatic drivers of global tree growth. </w:t>
      </w:r>
      <w:r>
        <w:rPr>
          <w:i/>
          <w:iCs/>
        </w:rPr>
        <w:t>Science Advances</w:t>
      </w:r>
      <w:r>
        <w:t xml:space="preserve"> </w:t>
      </w:r>
      <w:r>
        <w:rPr>
          <w:b/>
          <w:bCs/>
        </w:rPr>
        <w:t>5</w:t>
      </w:r>
      <w:r>
        <w:t>, eaat4313 (2019).</w:t>
      </w:r>
    </w:p>
    <w:p w14:paraId="6A986C6E" w14:textId="77777777" w:rsidR="001D41A5" w:rsidRDefault="001D41A5" w:rsidP="001D41A5">
      <w:pPr>
        <w:pStyle w:val="Bibliography"/>
      </w:pPr>
      <w:bookmarkStart w:id="28" w:name="ref-gao_earlier_2022"/>
      <w:bookmarkEnd w:id="27"/>
      <w:r>
        <w:t xml:space="preserve">25. </w:t>
      </w:r>
      <w:r>
        <w:tab/>
        <w:t xml:space="preserve">Gao, S. </w:t>
      </w:r>
      <w:r>
        <w:rPr>
          <w:i/>
          <w:iCs/>
        </w:rPr>
        <w:t>et al.</w:t>
      </w:r>
      <w:r>
        <w:t xml:space="preserve"> An earlier start of the thermal growing season enhances tree growth in cold humid areas but not in dry areas. </w:t>
      </w:r>
      <w:r>
        <w:rPr>
          <w:i/>
          <w:iCs/>
        </w:rPr>
        <w:t>Nature Ecology &amp; Evolution</w:t>
      </w:r>
      <w:r>
        <w:t xml:space="preserve"> 1–8 (2022) doi:</w:t>
      </w:r>
      <w:hyperlink r:id="rId9">
        <w:r>
          <w:rPr>
            <w:rStyle w:val="Hyperlink"/>
          </w:rPr>
          <w:t>10.1038/s41559-022-01668-4</w:t>
        </w:r>
      </w:hyperlink>
      <w:r>
        <w:t>.</w:t>
      </w:r>
    </w:p>
    <w:p w14:paraId="7484952B" w14:textId="77777777" w:rsidR="001D41A5" w:rsidRDefault="001D41A5" w:rsidP="001D41A5">
      <w:pPr>
        <w:pStyle w:val="Bibliography"/>
      </w:pPr>
      <w:bookmarkStart w:id="29" w:name="ref-zweifel_why_2021"/>
      <w:bookmarkEnd w:id="28"/>
      <w:r>
        <w:lastRenderedPageBreak/>
        <w:t xml:space="preserve">26. </w:t>
      </w:r>
      <w:r>
        <w:tab/>
        <w:t xml:space="preserve">Zweifel, R. </w:t>
      </w:r>
      <w:r>
        <w:rPr>
          <w:i/>
          <w:iCs/>
        </w:rPr>
        <w:t>et al.</w:t>
      </w:r>
      <w:r>
        <w:t xml:space="preserve"> Why trees grow at night. </w:t>
      </w:r>
      <w:r>
        <w:rPr>
          <w:i/>
          <w:iCs/>
        </w:rPr>
        <w:t>New Phytologist</w:t>
      </w:r>
      <w:r>
        <w:t xml:space="preserve"> </w:t>
      </w:r>
      <w:r>
        <w:rPr>
          <w:b/>
          <w:bCs/>
        </w:rPr>
        <w:t>231</w:t>
      </w:r>
      <w:r>
        <w:t>, 2174–2185 (2021).</w:t>
      </w:r>
    </w:p>
    <w:p w14:paraId="1D5B9154" w14:textId="77777777" w:rsidR="001D41A5" w:rsidRDefault="001D41A5" w:rsidP="001D41A5">
      <w:pPr>
        <w:pStyle w:val="Bibliography"/>
      </w:pPr>
      <w:bookmarkStart w:id="30" w:name="ref-tumajer_limitation_2022"/>
      <w:bookmarkEnd w:id="29"/>
      <w:r>
        <w:t xml:space="preserve">27. </w:t>
      </w:r>
      <w:r>
        <w:tab/>
        <w:t xml:space="preserve">Tumajer, J., Scharnweber, T., Smiljanic, M. &amp; Wilmking, M. Limitation by vapour pressure deficit shapes different intra-annual growth patterns of diffuse- and ring-porous temperate broadleaves. </w:t>
      </w:r>
      <w:r>
        <w:rPr>
          <w:i/>
          <w:iCs/>
        </w:rPr>
        <w:t>New Phytologist</w:t>
      </w:r>
      <w:r>
        <w:t xml:space="preserve"> </w:t>
      </w:r>
      <w:r>
        <w:rPr>
          <w:b/>
          <w:bCs/>
        </w:rPr>
        <w:t>233</w:t>
      </w:r>
      <w:r>
        <w:t>, 2429–2441 (2022).</w:t>
      </w:r>
    </w:p>
    <w:p w14:paraId="5CE2FCFC" w14:textId="77777777" w:rsidR="001D41A5" w:rsidRDefault="001D41A5" w:rsidP="001D41A5">
      <w:pPr>
        <w:pStyle w:val="Bibliography"/>
      </w:pPr>
      <w:bookmarkStart w:id="31" w:name="ref-etzold_number_2022"/>
      <w:bookmarkEnd w:id="30"/>
      <w:r>
        <w:t xml:space="preserve">28. </w:t>
      </w:r>
      <w:r>
        <w:tab/>
        <w:t xml:space="preserve">Etzold, S. </w:t>
      </w:r>
      <w:r>
        <w:rPr>
          <w:i/>
          <w:iCs/>
        </w:rPr>
        <w:t>et al.</w:t>
      </w:r>
      <w:r>
        <w:t xml:space="preserve"> Number of growth days and not length of the growth period determines radial stem growth of temperate trees. </w:t>
      </w:r>
      <w:r>
        <w:rPr>
          <w:i/>
          <w:iCs/>
        </w:rPr>
        <w:t>Ecology Letters</w:t>
      </w:r>
      <w:r>
        <w:t xml:space="preserve"> </w:t>
      </w:r>
      <w:r>
        <w:rPr>
          <w:b/>
          <w:bCs/>
        </w:rPr>
        <w:t>25</w:t>
      </w:r>
      <w:r>
        <w:t>, 427–439 (2022).</w:t>
      </w:r>
    </w:p>
    <w:p w14:paraId="0B10359A" w14:textId="77777777" w:rsidR="001D41A5" w:rsidRDefault="001D41A5" w:rsidP="001D41A5">
      <w:pPr>
        <w:pStyle w:val="Bibliography"/>
      </w:pPr>
      <w:bookmarkStart w:id="32" w:name="ref-zani_increased_2020"/>
      <w:bookmarkEnd w:id="31"/>
      <w:r>
        <w:t xml:space="preserve">29. </w:t>
      </w:r>
      <w:r>
        <w:tab/>
        <w:t xml:space="preserve">Zani, D., Crowther, T. W., Mo, L., Renner, S. S. &amp; Zohner, C. M. Increased growing-season productivity drives earlier autumn leaf senescence in temperate trees. </w:t>
      </w:r>
      <w:r>
        <w:rPr>
          <w:i/>
          <w:iCs/>
        </w:rPr>
        <w:t>Science</w:t>
      </w:r>
      <w:r>
        <w:t xml:space="preserve"> </w:t>
      </w:r>
      <w:r>
        <w:rPr>
          <w:b/>
          <w:bCs/>
        </w:rPr>
        <w:t>370</w:t>
      </w:r>
      <w:r>
        <w:t>, 1066–1071 (2020).</w:t>
      </w:r>
    </w:p>
    <w:p w14:paraId="07E5178F" w14:textId="77777777" w:rsidR="001D41A5" w:rsidRDefault="001D41A5" w:rsidP="001D41A5">
      <w:pPr>
        <w:pStyle w:val="Bibliography"/>
      </w:pPr>
      <w:bookmarkStart w:id="33" w:name="ref-zohner_how_2021"/>
      <w:bookmarkEnd w:id="32"/>
      <w:r>
        <w:t xml:space="preserve">30. </w:t>
      </w:r>
      <w:r>
        <w:tab/>
        <w:t xml:space="preserve">Zohner, C. M., Renner, S. S., Sebald, V. &amp; Crowther, T. W. How changes in spring and autumn phenology translate into growth-experimental evidence of asymmetric effects. </w:t>
      </w:r>
      <w:r>
        <w:rPr>
          <w:i/>
          <w:iCs/>
        </w:rPr>
        <w:t>Journal of Ecology</w:t>
      </w:r>
      <w:r>
        <w:t xml:space="preserve"> </w:t>
      </w:r>
      <w:r>
        <w:rPr>
          <w:b/>
          <w:bCs/>
        </w:rPr>
        <w:t>109</w:t>
      </w:r>
      <w:r>
        <w:t>, 2717–2728 (2021).</w:t>
      </w:r>
    </w:p>
    <w:p w14:paraId="7AC58EC7" w14:textId="77777777" w:rsidR="001D41A5" w:rsidRDefault="001D41A5" w:rsidP="001D41A5">
      <w:pPr>
        <w:pStyle w:val="Bibliography"/>
      </w:pPr>
      <w:bookmarkStart w:id="34" w:name="ref-cabon_crossbiome_2022"/>
      <w:bookmarkEnd w:id="33"/>
      <w:r>
        <w:t xml:space="preserve">31. </w:t>
      </w:r>
      <w:r>
        <w:tab/>
        <w:t xml:space="preserve">Cabon, A. </w:t>
      </w:r>
      <w:r>
        <w:rPr>
          <w:i/>
          <w:iCs/>
        </w:rPr>
        <w:t>et al.</w:t>
      </w:r>
      <w:r>
        <w:t xml:space="preserve"> Cross-biome synthesis of source versus sink limits to tree growth. </w:t>
      </w:r>
      <w:r>
        <w:rPr>
          <w:i/>
          <w:iCs/>
        </w:rPr>
        <w:t>Science</w:t>
      </w:r>
      <w:r>
        <w:t xml:space="preserve"> </w:t>
      </w:r>
      <w:r>
        <w:rPr>
          <w:b/>
          <w:bCs/>
        </w:rPr>
        <w:t>376</w:t>
      </w:r>
      <w:r>
        <w:t>, 758–761 (2022).</w:t>
      </w:r>
    </w:p>
    <w:p w14:paraId="08037397" w14:textId="77777777" w:rsidR="001D41A5" w:rsidRDefault="001D41A5" w:rsidP="001D41A5">
      <w:pPr>
        <w:pStyle w:val="Bibliography"/>
      </w:pPr>
      <w:bookmarkStart w:id="35" w:name="ref-dorangeville_drought_2018"/>
      <w:bookmarkEnd w:id="34"/>
      <w:r>
        <w:t xml:space="preserve">32. </w:t>
      </w:r>
      <w:r>
        <w:tab/>
        <w:t xml:space="preserve">D’Orangeville, L. </w:t>
      </w:r>
      <w:r>
        <w:rPr>
          <w:i/>
          <w:iCs/>
        </w:rPr>
        <w:t>et al.</w:t>
      </w:r>
      <w:r>
        <w:t xml:space="preserve"> Drought timing and local climate determine the sensitivity of eastern temperate forests to drought. </w:t>
      </w:r>
      <w:r>
        <w:rPr>
          <w:i/>
          <w:iCs/>
        </w:rPr>
        <w:t>Global Change Biology</w:t>
      </w:r>
      <w:r>
        <w:t xml:space="preserve"> </w:t>
      </w:r>
      <w:r>
        <w:rPr>
          <w:b/>
          <w:bCs/>
        </w:rPr>
        <w:t>24</w:t>
      </w:r>
      <w:r>
        <w:t>, 2339–2351 (2018).</w:t>
      </w:r>
    </w:p>
    <w:p w14:paraId="07760EBF" w14:textId="77777777" w:rsidR="001D41A5" w:rsidRDefault="001D41A5" w:rsidP="001D41A5">
      <w:pPr>
        <w:pStyle w:val="Bibliography"/>
      </w:pPr>
      <w:bookmarkStart w:id="36" w:name="ref-helcoski_growing_2019"/>
      <w:bookmarkEnd w:id="35"/>
      <w:r>
        <w:t xml:space="preserve">33. </w:t>
      </w:r>
      <w:r>
        <w:tab/>
        <w:t xml:space="preserve">Helcoski, R. </w:t>
      </w:r>
      <w:r>
        <w:rPr>
          <w:i/>
          <w:iCs/>
        </w:rPr>
        <w:t>et al.</w:t>
      </w:r>
      <w:r>
        <w:t xml:space="preserve"> Growing season moisture drives interannual variation in woody productivity of a temperate deciduous forest. </w:t>
      </w:r>
      <w:r>
        <w:rPr>
          <w:i/>
          <w:iCs/>
        </w:rPr>
        <w:t>New Phytologist</w:t>
      </w:r>
      <w:r>
        <w:t xml:space="preserve"> </w:t>
      </w:r>
      <w:r>
        <w:rPr>
          <w:b/>
          <w:bCs/>
        </w:rPr>
        <w:t>223</w:t>
      </w:r>
      <w:r>
        <w:t>, 1204–1216 (2019).</w:t>
      </w:r>
    </w:p>
    <w:p w14:paraId="57207347" w14:textId="77777777" w:rsidR="001D41A5" w:rsidRDefault="001D41A5" w:rsidP="001D41A5">
      <w:pPr>
        <w:pStyle w:val="Bibliography"/>
      </w:pPr>
      <w:bookmarkStart w:id="37" w:name="ref-mcmahon_general_2015"/>
      <w:bookmarkEnd w:id="36"/>
      <w:r>
        <w:t xml:space="preserve">34. </w:t>
      </w:r>
      <w:r>
        <w:tab/>
        <w:t xml:space="preserve">McMahon, S. M. &amp; Parker, G. G. A general model of intra-annual tree growth using dendrometer bands. </w:t>
      </w:r>
      <w:r>
        <w:rPr>
          <w:i/>
          <w:iCs/>
        </w:rPr>
        <w:t>Ecology and Evolution</w:t>
      </w:r>
      <w:r>
        <w:t xml:space="preserve"> </w:t>
      </w:r>
      <w:r>
        <w:rPr>
          <w:b/>
          <w:bCs/>
        </w:rPr>
        <w:t>5</w:t>
      </w:r>
      <w:r>
        <w:t>, 243–254 (2015).</w:t>
      </w:r>
    </w:p>
    <w:p w14:paraId="12F345FC" w14:textId="77777777" w:rsidR="001D41A5" w:rsidRDefault="001D41A5" w:rsidP="001D41A5">
      <w:pPr>
        <w:pStyle w:val="Bibliography"/>
      </w:pPr>
      <w:bookmarkStart w:id="38" w:name="ref-dorangeville_peak_2022"/>
      <w:bookmarkEnd w:id="37"/>
      <w:r>
        <w:t xml:space="preserve">35. </w:t>
      </w:r>
      <w:r>
        <w:tab/>
        <w:t xml:space="preserve">D’Orangeville, L. </w:t>
      </w:r>
      <w:r>
        <w:rPr>
          <w:i/>
          <w:iCs/>
        </w:rPr>
        <w:t>et al.</w:t>
      </w:r>
      <w:r>
        <w:t xml:space="preserve"> Peak radial growth of diffuse-porous species occurs during periods of lower water availability than for ring-porous and coniferous trees. </w:t>
      </w:r>
      <w:r>
        <w:rPr>
          <w:i/>
          <w:iCs/>
        </w:rPr>
        <w:t>Tree Physiology</w:t>
      </w:r>
      <w:r>
        <w:t xml:space="preserve"> </w:t>
      </w:r>
      <w:r>
        <w:rPr>
          <w:b/>
          <w:bCs/>
        </w:rPr>
        <w:t>42</w:t>
      </w:r>
      <w:r>
        <w:t>, 304–316 (2022).</w:t>
      </w:r>
    </w:p>
    <w:p w14:paraId="19D08A33" w14:textId="77777777" w:rsidR="001D41A5" w:rsidRDefault="001D41A5" w:rsidP="001D41A5">
      <w:pPr>
        <w:pStyle w:val="Bibliography"/>
      </w:pPr>
      <w:bookmarkStart w:id="39" w:name="ref-richardson_seasonal_2013"/>
      <w:bookmarkEnd w:id="38"/>
      <w:r>
        <w:t xml:space="preserve">36. </w:t>
      </w:r>
      <w:r>
        <w:tab/>
        <w:t xml:space="preserve">Richardson, A. D. </w:t>
      </w:r>
      <w:r>
        <w:rPr>
          <w:i/>
          <w:iCs/>
        </w:rPr>
        <w:t>et al.</w:t>
      </w:r>
      <w:r>
        <w:t xml:space="preserve"> Seasonal dynamics and age of stemwood nonstructural carbohydrates in temperate forest trees. </w:t>
      </w:r>
      <w:r>
        <w:rPr>
          <w:i/>
          <w:iCs/>
        </w:rPr>
        <w:t>New Phytologist</w:t>
      </w:r>
      <w:r>
        <w:t xml:space="preserve"> </w:t>
      </w:r>
      <w:r>
        <w:rPr>
          <w:b/>
          <w:bCs/>
        </w:rPr>
        <w:t>197</w:t>
      </w:r>
      <w:r>
        <w:t>, 850–861 (2013).</w:t>
      </w:r>
    </w:p>
    <w:p w14:paraId="70527C19" w14:textId="77777777" w:rsidR="001D41A5" w:rsidRDefault="001D41A5" w:rsidP="001D41A5">
      <w:pPr>
        <w:pStyle w:val="Bibliography"/>
      </w:pPr>
      <w:bookmarkStart w:id="40" w:name="ref-elmore_earlier_2016"/>
      <w:bookmarkEnd w:id="39"/>
      <w:r>
        <w:t xml:space="preserve">37. </w:t>
      </w:r>
      <w:r>
        <w:tab/>
        <w:t xml:space="preserve">Elmore, A. J., Nelson, D. M. &amp; Craine, J. M. Earlier springs are causing reduced nitrogen availability in North American eastern deciduous forests. </w:t>
      </w:r>
      <w:r>
        <w:rPr>
          <w:i/>
          <w:iCs/>
        </w:rPr>
        <w:t>Nature Plants</w:t>
      </w:r>
      <w:r>
        <w:t xml:space="preserve"> </w:t>
      </w:r>
      <w:r>
        <w:rPr>
          <w:b/>
          <w:bCs/>
        </w:rPr>
        <w:t>2</w:t>
      </w:r>
      <w:r>
        <w:t>, 16133 (2016).</w:t>
      </w:r>
    </w:p>
    <w:p w14:paraId="276FC66A" w14:textId="77777777" w:rsidR="001D41A5" w:rsidRDefault="001D41A5" w:rsidP="001D41A5">
      <w:pPr>
        <w:pStyle w:val="Bibliography"/>
      </w:pPr>
      <w:bookmarkStart w:id="41" w:name="ref-cuny_woody_2015"/>
      <w:bookmarkEnd w:id="40"/>
      <w:r>
        <w:t xml:space="preserve">38. </w:t>
      </w:r>
      <w:r>
        <w:tab/>
        <w:t xml:space="preserve">Cuny, H. E. </w:t>
      </w:r>
      <w:r>
        <w:rPr>
          <w:i/>
          <w:iCs/>
        </w:rPr>
        <w:t>et al.</w:t>
      </w:r>
      <w:r>
        <w:t xml:space="preserve"> Woody biomass production lags stem-girth increase by over one month in coniferous forests. </w:t>
      </w:r>
      <w:r>
        <w:rPr>
          <w:i/>
          <w:iCs/>
        </w:rPr>
        <w:t>Nature Plants</w:t>
      </w:r>
      <w:r>
        <w:t xml:space="preserve"> </w:t>
      </w:r>
      <w:r>
        <w:rPr>
          <w:b/>
          <w:bCs/>
        </w:rPr>
        <w:t>1</w:t>
      </w:r>
      <w:r>
        <w:t>, 15160 (2015).</w:t>
      </w:r>
    </w:p>
    <w:p w14:paraId="061BA9C0" w14:textId="77777777" w:rsidR="001D41A5" w:rsidRDefault="001D41A5" w:rsidP="001D41A5">
      <w:pPr>
        <w:pStyle w:val="Bibliography"/>
      </w:pPr>
      <w:bookmarkStart w:id="42" w:name="ref-tardif_influence_2006"/>
      <w:bookmarkEnd w:id="41"/>
      <w:r>
        <w:t xml:space="preserve">39. </w:t>
      </w:r>
      <w:r>
        <w:tab/>
        <w:t xml:space="preserve">Tardif, J. C. &amp; Conciatori, F. Influence of climate on tree rings and vessel features in red oak and white oak growing near their northern distribution limit, southwestern Quebec, Canada. </w:t>
      </w:r>
      <w:r>
        <w:rPr>
          <w:i/>
          <w:iCs/>
        </w:rPr>
        <w:t>Canadian Journal of Forest Research</w:t>
      </w:r>
      <w:r>
        <w:t xml:space="preserve"> </w:t>
      </w:r>
      <w:r>
        <w:rPr>
          <w:b/>
          <w:bCs/>
        </w:rPr>
        <w:t>36</w:t>
      </w:r>
      <w:r>
        <w:t>, 2317–2330 (2006).</w:t>
      </w:r>
    </w:p>
    <w:p w14:paraId="6E4BEB09" w14:textId="77777777" w:rsidR="001D41A5" w:rsidRDefault="001D41A5" w:rsidP="001D41A5">
      <w:pPr>
        <w:pStyle w:val="Bibliography"/>
      </w:pPr>
      <w:bookmarkStart w:id="43" w:name="ref-roibu_climatic_2020"/>
      <w:bookmarkEnd w:id="42"/>
      <w:r>
        <w:t xml:space="preserve">40. </w:t>
      </w:r>
      <w:r>
        <w:tab/>
        <w:t xml:space="preserve">Roibu, C.-C. </w:t>
      </w:r>
      <w:r>
        <w:rPr>
          <w:i/>
          <w:iCs/>
        </w:rPr>
        <w:t>et al.</w:t>
      </w:r>
      <w:r>
        <w:t xml:space="preserve"> The climatic response of tree ring width components of ash (Fraxinus excelsior L.) And common oak (Quercus robur L.) From eastern Europe. </w:t>
      </w:r>
      <w:r>
        <w:rPr>
          <w:i/>
          <w:iCs/>
        </w:rPr>
        <w:t>Forests</w:t>
      </w:r>
      <w:r>
        <w:t xml:space="preserve"> </w:t>
      </w:r>
      <w:r>
        <w:rPr>
          <w:b/>
          <w:bCs/>
        </w:rPr>
        <w:t>11</w:t>
      </w:r>
      <w:r>
        <w:t>, 600 (2020).</w:t>
      </w:r>
    </w:p>
    <w:p w14:paraId="7184B2A0" w14:textId="77777777" w:rsidR="001D41A5" w:rsidRDefault="001D41A5" w:rsidP="001D41A5">
      <w:pPr>
        <w:pStyle w:val="Bibliography"/>
      </w:pPr>
      <w:bookmarkStart w:id="44" w:name="ref-kern_multiple_2013"/>
      <w:bookmarkEnd w:id="43"/>
      <w:r>
        <w:lastRenderedPageBreak/>
        <w:t xml:space="preserve">41. </w:t>
      </w:r>
      <w:r>
        <w:tab/>
        <w:t xml:space="preserve">Kern, Z. </w:t>
      </w:r>
      <w:r>
        <w:rPr>
          <w:i/>
          <w:iCs/>
        </w:rPr>
        <w:t>et al.</w:t>
      </w:r>
      <w:r>
        <w:t xml:space="preserve"> Multiple tree-ring proxies (earlywood width, latewood width and </w:t>
      </w:r>
      <m:oMath>
        <m:r>
          <w:rPr>
            <w:rFonts w:ascii="Cambria Math" w:hAnsi="Cambria Math"/>
          </w:rPr>
          <m:t>δ</m:t>
        </m:r>
      </m:oMath>
      <w:r>
        <w:t xml:space="preserve">13C) from pedunculate oak (Quercus robur L.), Hungary. </w:t>
      </w:r>
      <w:r>
        <w:rPr>
          <w:i/>
          <w:iCs/>
        </w:rPr>
        <w:t>Quaternary International</w:t>
      </w:r>
      <w:r>
        <w:t xml:space="preserve"> </w:t>
      </w:r>
      <w:r>
        <w:rPr>
          <w:b/>
          <w:bCs/>
        </w:rPr>
        <w:t>293</w:t>
      </w:r>
      <w:r>
        <w:t>, 257–267 (2013).</w:t>
      </w:r>
    </w:p>
    <w:p w14:paraId="0AC595CB" w14:textId="77777777" w:rsidR="001D41A5" w:rsidRDefault="001D41A5" w:rsidP="001D41A5">
      <w:pPr>
        <w:pStyle w:val="Bibliography"/>
      </w:pPr>
      <w:bookmarkStart w:id="45" w:name="ref-trumbore_quantifying_2002"/>
      <w:bookmarkEnd w:id="44"/>
      <w:r>
        <w:t xml:space="preserve">42. </w:t>
      </w:r>
      <w:r>
        <w:tab/>
        <w:t xml:space="preserve">Trumbore, S., Gaudinski, J. B., Hanson, P. J. &amp; Southon, J. R. Quantifying ecosystem-atmosphere carbon exchange with a 14C label. </w:t>
      </w:r>
      <w:r>
        <w:rPr>
          <w:i/>
          <w:iCs/>
        </w:rPr>
        <w:t>Eos, Transactions American Geophysical Union</w:t>
      </w:r>
      <w:r>
        <w:t xml:space="preserve"> </w:t>
      </w:r>
      <w:r>
        <w:rPr>
          <w:b/>
          <w:bCs/>
        </w:rPr>
        <w:t>83</w:t>
      </w:r>
      <w:r>
        <w:t>, 265–268 (2002).</w:t>
      </w:r>
    </w:p>
    <w:p w14:paraId="5910555A" w14:textId="77777777" w:rsidR="001D41A5" w:rsidRDefault="001D41A5" w:rsidP="001D41A5">
      <w:pPr>
        <w:pStyle w:val="Bibliography"/>
      </w:pPr>
      <w:bookmarkStart w:id="46" w:name="ref-delgado_differences_2020"/>
      <w:bookmarkEnd w:id="45"/>
      <w:r>
        <w:t xml:space="preserve">43. </w:t>
      </w:r>
      <w:r>
        <w:tab/>
        <w:t xml:space="preserve">Delgado, M. del M. </w:t>
      </w:r>
      <w:r>
        <w:rPr>
          <w:i/>
          <w:iCs/>
        </w:rPr>
        <w:t>et al.</w:t>
      </w:r>
      <w:r>
        <w:t xml:space="preserve"> Differences in spatial versus temporal reaction norms for spring and autumn phenological events. </w:t>
      </w:r>
      <w:r>
        <w:rPr>
          <w:i/>
          <w:iCs/>
        </w:rPr>
        <w:t>Proceedings of the National Academy of Sciences</w:t>
      </w:r>
      <w:r>
        <w:t xml:space="preserve"> 202002713 (2020) doi:</w:t>
      </w:r>
      <w:hyperlink r:id="rId10">
        <w:r>
          <w:rPr>
            <w:rStyle w:val="Hyperlink"/>
          </w:rPr>
          <w:t>10.1073/pnas.2002713117</w:t>
        </w:r>
      </w:hyperlink>
      <w:r>
        <w:t>.</w:t>
      </w:r>
    </w:p>
    <w:p w14:paraId="62A737E8" w14:textId="77777777" w:rsidR="001D41A5" w:rsidRDefault="001D41A5" w:rsidP="001D41A5">
      <w:pPr>
        <w:pStyle w:val="Bibliography"/>
      </w:pPr>
      <w:bookmarkStart w:id="47" w:name="ref-anderson-teixeira_joint_2022"/>
      <w:bookmarkEnd w:id="46"/>
      <w:r>
        <w:t xml:space="preserve">44. </w:t>
      </w:r>
      <w:r>
        <w:tab/>
        <w:t xml:space="preserve">Anderson-Teixeira, K. J. </w:t>
      </w:r>
      <w:r>
        <w:rPr>
          <w:i/>
          <w:iCs/>
        </w:rPr>
        <w:t>et al.</w:t>
      </w:r>
      <w:r>
        <w:t xml:space="preserve"> Joint effects of climate, tree size, and year on annual tree growth derived from tree-ring records of ten globally distributed forests. </w:t>
      </w:r>
      <w:r>
        <w:rPr>
          <w:i/>
          <w:iCs/>
        </w:rPr>
        <w:t>Global Change Biology</w:t>
      </w:r>
      <w:r>
        <w:t xml:space="preserve"> </w:t>
      </w:r>
      <w:r>
        <w:rPr>
          <w:b/>
          <w:bCs/>
        </w:rPr>
        <w:t>28</w:t>
      </w:r>
      <w:r>
        <w:t>, 245–266 (2022).</w:t>
      </w:r>
    </w:p>
    <w:p w14:paraId="4418B3CB" w14:textId="77777777" w:rsidR="001D41A5" w:rsidRDefault="001D41A5" w:rsidP="001D41A5">
      <w:pPr>
        <w:pStyle w:val="Bibliography"/>
      </w:pPr>
      <w:bookmarkStart w:id="48" w:name="ref-banburymorgan_global_2021"/>
      <w:bookmarkEnd w:id="47"/>
      <w:r>
        <w:t xml:space="preserve">45. </w:t>
      </w:r>
      <w:r>
        <w:tab/>
        <w:t xml:space="preserve">Banbury Morgan, R. </w:t>
      </w:r>
      <w:r>
        <w:rPr>
          <w:i/>
          <w:iCs/>
        </w:rPr>
        <w:t>et al.</w:t>
      </w:r>
      <w:r>
        <w:t xml:space="preserve"> Global patterns of forest autotrophic carbon fluxes. </w:t>
      </w:r>
      <w:r>
        <w:rPr>
          <w:i/>
          <w:iCs/>
        </w:rPr>
        <w:t>Global Change Biology</w:t>
      </w:r>
      <w:r>
        <w:t xml:space="preserve"> </w:t>
      </w:r>
      <w:r>
        <w:rPr>
          <w:b/>
          <w:bCs/>
        </w:rPr>
        <w:t>27</w:t>
      </w:r>
      <w:r>
        <w:t>, 2840–2855 (2021).</w:t>
      </w:r>
    </w:p>
    <w:p w14:paraId="02B65DE6" w14:textId="77777777" w:rsidR="001D41A5" w:rsidRDefault="001D41A5" w:rsidP="001D41A5">
      <w:pPr>
        <w:pStyle w:val="Bibliography"/>
      </w:pPr>
      <w:bookmarkStart w:id="49" w:name="ref-churkina_spatial_2005"/>
      <w:bookmarkEnd w:id="48"/>
      <w:r>
        <w:t xml:space="preserve">46. </w:t>
      </w:r>
      <w:r>
        <w:tab/>
        <w:t xml:space="preserve">Churkina, G., Schimel, D., Braswell, B. H. &amp; Xiao, X. Spatial analysis of growing season length control over net ecosystem exchange. </w:t>
      </w:r>
      <w:r>
        <w:rPr>
          <w:i/>
          <w:iCs/>
        </w:rPr>
        <w:t>Global Change Biology</w:t>
      </w:r>
      <w:r>
        <w:t xml:space="preserve"> </w:t>
      </w:r>
      <w:r>
        <w:rPr>
          <w:b/>
          <w:bCs/>
        </w:rPr>
        <w:t>11</w:t>
      </w:r>
      <w:r>
        <w:t>, 1777–1787 (2005).</w:t>
      </w:r>
    </w:p>
    <w:p w14:paraId="293CEA4B" w14:textId="77777777" w:rsidR="001D41A5" w:rsidRDefault="001D41A5" w:rsidP="001D41A5">
      <w:pPr>
        <w:pStyle w:val="Bibliography"/>
      </w:pPr>
      <w:bookmarkStart w:id="50" w:name="ref-liu_phenological_2022"/>
      <w:bookmarkEnd w:id="49"/>
      <w:r>
        <w:t xml:space="preserve">47. </w:t>
      </w:r>
      <w:r>
        <w:tab/>
        <w:t xml:space="preserve">Liu, H. </w:t>
      </w:r>
      <w:r>
        <w:rPr>
          <w:i/>
          <w:iCs/>
        </w:rPr>
        <w:t>et al.</w:t>
      </w:r>
      <w:r>
        <w:t xml:space="preserve"> Phenological mismatches between above- and belowground plant responses to climate warming. </w:t>
      </w:r>
      <w:r>
        <w:rPr>
          <w:i/>
          <w:iCs/>
        </w:rPr>
        <w:t>Nature Climate Change</w:t>
      </w:r>
      <w:r>
        <w:t xml:space="preserve"> </w:t>
      </w:r>
      <w:r>
        <w:rPr>
          <w:b/>
          <w:bCs/>
        </w:rPr>
        <w:t>12</w:t>
      </w:r>
      <w:r>
        <w:t>, 97–102 (2022).</w:t>
      </w:r>
    </w:p>
    <w:p w14:paraId="20F4F965" w14:textId="77777777" w:rsidR="001D41A5" w:rsidRDefault="001D41A5" w:rsidP="001D41A5">
      <w:pPr>
        <w:pStyle w:val="Bibliography"/>
      </w:pPr>
      <w:bookmarkStart w:id="51" w:name="ref-novick_increasing_2016"/>
      <w:bookmarkEnd w:id="50"/>
      <w:r>
        <w:t xml:space="preserve">48. </w:t>
      </w:r>
      <w:r>
        <w:tab/>
        <w:t xml:space="preserve">Novick, K. A. </w:t>
      </w:r>
      <w:r>
        <w:rPr>
          <w:i/>
          <w:iCs/>
        </w:rPr>
        <w:t>et al.</w:t>
      </w:r>
      <w:r>
        <w:t xml:space="preserve"> The increasing importance of atmospheric demand for ecosystem water and carbon fluxes. </w:t>
      </w:r>
      <w:r>
        <w:rPr>
          <w:i/>
          <w:iCs/>
        </w:rPr>
        <w:t>Nature Climate Change</w:t>
      </w:r>
      <w:r>
        <w:t xml:space="preserve"> </w:t>
      </w:r>
      <w:r>
        <w:rPr>
          <w:b/>
          <w:bCs/>
        </w:rPr>
        <w:t>6</w:t>
      </w:r>
      <w:r>
        <w:t>, 1023–1027 (2016).</w:t>
      </w:r>
    </w:p>
    <w:p w14:paraId="7110605F" w14:textId="77777777" w:rsidR="001D41A5" w:rsidRDefault="001D41A5" w:rsidP="001D41A5">
      <w:pPr>
        <w:pStyle w:val="Bibliography"/>
      </w:pPr>
      <w:bookmarkStart w:id="52" w:name="ref-zhang_drought_2021"/>
      <w:bookmarkEnd w:id="51"/>
      <w:r>
        <w:t xml:space="preserve">49. </w:t>
      </w:r>
      <w:r>
        <w:tab/>
        <w:t xml:space="preserve">Zhang, J. </w:t>
      </w:r>
      <w:r>
        <w:rPr>
          <w:i/>
          <w:iCs/>
        </w:rPr>
        <w:t>et al.</w:t>
      </w:r>
      <w:r>
        <w:t xml:space="preserve"> Drought limits wood production of Juniperus przewalskii even as growing seasons lengthens in a cold and arid environment. </w:t>
      </w:r>
      <w:r>
        <w:rPr>
          <w:i/>
          <w:iCs/>
        </w:rPr>
        <w:t>CATENA</w:t>
      </w:r>
      <w:r>
        <w:t xml:space="preserve"> </w:t>
      </w:r>
      <w:r>
        <w:rPr>
          <w:b/>
          <w:bCs/>
        </w:rPr>
        <w:t>196</w:t>
      </w:r>
      <w:r>
        <w:t>, 104936 (2021).</w:t>
      </w:r>
    </w:p>
    <w:p w14:paraId="1C4DFDB2" w14:textId="77777777" w:rsidR="001D41A5" w:rsidRDefault="001D41A5" w:rsidP="001D41A5">
      <w:pPr>
        <w:pStyle w:val="Bibliography"/>
      </w:pPr>
      <w:bookmarkStart w:id="53" w:name="ref-lian_summer_2022"/>
      <w:bookmarkEnd w:id="52"/>
      <w:r>
        <w:t xml:space="preserve">50. </w:t>
      </w:r>
      <w:r>
        <w:tab/>
        <w:t xml:space="preserve">Lian, X. </w:t>
      </w:r>
      <w:r>
        <w:rPr>
          <w:i/>
          <w:iCs/>
        </w:rPr>
        <w:t>et al.</w:t>
      </w:r>
      <w:r>
        <w:t xml:space="preserve"> </w:t>
      </w:r>
      <w:proofErr w:type="gramStart"/>
      <w:r>
        <w:t>Summer</w:t>
      </w:r>
      <w:proofErr w:type="gramEnd"/>
      <w:r>
        <w:t xml:space="preserve"> soil drying exacerbated by earlier spring greening of northern vegetation. </w:t>
      </w:r>
      <w:r>
        <w:rPr>
          <w:i/>
          <w:iCs/>
        </w:rPr>
        <w:t>Science Advances</w:t>
      </w:r>
      <w:r>
        <w:t xml:space="preserve"> </w:t>
      </w:r>
      <w:r>
        <w:rPr>
          <w:b/>
          <w:bCs/>
        </w:rPr>
        <w:t>6</w:t>
      </w:r>
      <w:r>
        <w:t>, eaax0255 (2022).</w:t>
      </w:r>
    </w:p>
    <w:bookmarkEnd w:id="53"/>
    <w:p w14:paraId="6FA88989" w14:textId="77777777" w:rsidR="001D41A5" w:rsidRPr="001D41A5" w:rsidRDefault="001D41A5" w:rsidP="001D41A5">
      <w:pPr>
        <w:pStyle w:val="BodyText"/>
      </w:pPr>
    </w:p>
    <w:p w14:paraId="374AC60A" w14:textId="77777777" w:rsidR="00BC6D46" w:rsidRDefault="00F84F50">
      <w:pPr>
        <w:pStyle w:val="Heading1"/>
      </w:pPr>
      <w:bookmarkStart w:id="54" w:name="methods"/>
      <w:bookmarkEnd w:id="3"/>
      <w:r>
        <w:t>Methods</w:t>
      </w:r>
    </w:p>
    <w:p w14:paraId="4A9C39E9" w14:textId="77777777" w:rsidR="00BC6D46" w:rsidRDefault="00F84F50">
      <w:pPr>
        <w:pStyle w:val="Heading2"/>
      </w:pPr>
      <w:bookmarkStart w:id="55" w:name="dendrometer-band-analysis"/>
      <w:r>
        <w:t>Dendrometer band analysis</w:t>
      </w:r>
    </w:p>
    <w:p w14:paraId="66667609" w14:textId="77777777" w:rsidR="00BC6D46" w:rsidRDefault="00F84F50">
      <w:pPr>
        <w:pStyle w:val="FirstParagraph"/>
      </w:pPr>
      <w:r>
        <w:t>Dendrom</w:t>
      </w:r>
      <w:r>
        <w:t>eter band measurements were collected at SCBI</w:t>
      </w:r>
      <w:r>
        <w:rPr>
          <w:vertAlign w:val="superscript"/>
        </w:rPr>
        <w:t>51</w:t>
      </w:r>
      <w:r>
        <w:t xml:space="preserve"> and Harvard Forest</w:t>
      </w:r>
      <w:r>
        <w:rPr>
          <w:vertAlign w:val="superscript"/>
        </w:rPr>
        <w:t>3,35</w:t>
      </w:r>
      <w:r>
        <w:t>, both part of the Forest Global Earth Observatory (ForestGEO)</w:t>
      </w:r>
      <w:r>
        <w:rPr>
          <w:vertAlign w:val="superscript"/>
        </w:rPr>
        <w:t>52,53</w:t>
      </w:r>
      <w:r>
        <w:t xml:space="preserve">. SCBI (38.8935° N, 78.1454° W; elevation 273–338 m.a.s.l.) is located in the Blue Ridge Mountains at the northern end </w:t>
      </w:r>
      <w:r>
        <w:t>of Shenandoah National Park, 5 km south of Front Royal, Virginia. The forest is secondary and mixed age, having established in the mid-19th century after conversion from agricultural fields</w:t>
      </w:r>
      <w:r>
        <w:rPr>
          <w:vertAlign w:val="superscript"/>
        </w:rPr>
        <w:t>51</w:t>
      </w:r>
      <w:r>
        <w:t>. Dominant canopy species within the 25.6 ha ForestGEO plot inclu</w:t>
      </w:r>
      <w:r>
        <w:t>de tulip poplar (</w:t>
      </w:r>
      <w:r>
        <w:rPr>
          <w:i/>
          <w:iCs/>
        </w:rPr>
        <w:t>Liriodendron tulipifera</w:t>
      </w:r>
      <w:r>
        <w:t xml:space="preserve"> L.), </w:t>
      </w:r>
      <w:r>
        <w:lastRenderedPageBreak/>
        <w:t>oaks (</w:t>
      </w:r>
      <w:r>
        <w:rPr>
          <w:i/>
          <w:iCs/>
        </w:rPr>
        <w:t>Quercus spp.</w:t>
      </w:r>
      <w:r>
        <w:t>), and hickories (</w:t>
      </w:r>
      <w:r>
        <w:rPr>
          <w:i/>
          <w:iCs/>
        </w:rPr>
        <w:t>Carya spp.</w:t>
      </w:r>
      <w:r>
        <w:t>)</w:t>
      </w:r>
      <w:r>
        <w:rPr>
          <w:vertAlign w:val="superscript"/>
        </w:rPr>
        <w:t>33</w:t>
      </w:r>
      <w:r>
        <w:t>. The climate is humid temperate, with 1950-2019 mean annual precipitation of 1018 mm and temperatures averaging 1°C in January and 24°C in July</w:t>
      </w:r>
      <w:r>
        <w:rPr>
          <w:vertAlign w:val="superscript"/>
        </w:rPr>
        <w:t>44</w:t>
      </w:r>
      <w:r>
        <w:t>. Within the st</w:t>
      </w:r>
      <w:r>
        <w:t xml:space="preserve">udy period for the dendrometer band analysis (2011-2019), spring temperatures (March and April </w:t>
      </w:r>
      <w:r>
        <w:rPr>
          <w:i/>
          <w:iCs/>
        </w:rPr>
        <w:t>T</w:t>
      </w:r>
      <w:r>
        <w:rPr>
          <w:i/>
          <w:iCs/>
          <w:vertAlign w:val="subscript"/>
        </w:rPr>
        <w:t>max</w:t>
      </w:r>
      <w:r>
        <w:t>; source: CRU v.4.04</w:t>
      </w:r>
      <w:r>
        <w:rPr>
          <w:vertAlign w:val="superscript"/>
        </w:rPr>
        <w:t>54</w:t>
      </w:r>
      <w:r>
        <w:t>) and summer Standardized Precipitation Evapotranspiration Index (SPEI)</w:t>
      </w:r>
      <w:r>
        <w:rPr>
          <w:vertAlign w:val="superscript"/>
        </w:rPr>
        <w:t>55</w:t>
      </w:r>
      <w:r>
        <w:t xml:space="preserve"> values (4-month value of August) were similar to the average climate prior to the study period (1970-2010). Specifically, average spring </w:t>
      </w:r>
      <w:r>
        <w:rPr>
          <w:i/>
          <w:iCs/>
        </w:rPr>
        <w:t>T</w:t>
      </w:r>
      <w:r>
        <w:rPr>
          <w:i/>
          <w:iCs/>
          <w:vertAlign w:val="subscript"/>
        </w:rPr>
        <w:t>max</w:t>
      </w:r>
      <w:r>
        <w:t xml:space="preserve"> was 16.9</w:t>
      </w:r>
      <m:oMath>
        <m:r>
          <m:rPr>
            <m:sty m:val="p"/>
          </m:rPr>
          <w:rPr>
            <w:rFonts w:ascii="Cambria Math" w:hAnsi="Cambria Math"/>
          </w:rPr>
          <m:t>±</m:t>
        </m:r>
      </m:oMath>
      <w:r>
        <w:t xml:space="preserve"> 1.4°C (mean </w:t>
      </w:r>
      <m:oMath>
        <m:r>
          <m:rPr>
            <m:sty m:val="p"/>
          </m:rPr>
          <w:rPr>
            <w:rFonts w:ascii="Cambria Math" w:hAnsi="Cambria Math"/>
          </w:rPr>
          <m:t>±</m:t>
        </m:r>
      </m:oMath>
      <w:r>
        <w:t xml:space="preserve"> 1SD) prior to th</w:t>
      </w:r>
      <w:r>
        <w:t>e study period (range: 14.1-19.9) and 17.6</w:t>
      </w:r>
      <m:oMath>
        <m:r>
          <m:rPr>
            <m:sty m:val="p"/>
          </m:rPr>
          <w:rPr>
            <w:rFonts w:ascii="Cambria Math" w:hAnsi="Cambria Math"/>
          </w:rPr>
          <m:t>±</m:t>
        </m:r>
      </m:oMath>
      <w:r>
        <w:t xml:space="preserve"> 1.7°C (range: 15.6-20) during the study period, while summer SPEI was -0.06</w:t>
      </w:r>
      <m:oMath>
        <m:r>
          <m:rPr>
            <m:sty m:val="p"/>
          </m:rPr>
          <w:rPr>
            <w:rFonts w:ascii="Cambria Math" w:hAnsi="Cambria Math"/>
          </w:rPr>
          <m:t>±</m:t>
        </m:r>
      </m:oMath>
      <w:r>
        <w:t xml:space="preserve"> 1.02 (range: -1.7-2.4) prior to the study period and 0.5</w:t>
      </w:r>
      <m:oMath>
        <m:r>
          <m:rPr>
            <m:sty m:val="p"/>
          </m:rPr>
          <w:rPr>
            <w:rFonts w:ascii="Cambria Math" w:hAnsi="Cambria Math"/>
          </w:rPr>
          <m:t>±</m:t>
        </m:r>
      </m:oMath>
      <w:r>
        <w:t xml:space="preserve"> 0.8 (range: -0.8-1.6) during.</w:t>
      </w:r>
    </w:p>
    <w:p w14:paraId="03CB21AC" w14:textId="77777777" w:rsidR="00BC6D46" w:rsidRDefault="00F84F50">
      <w:pPr>
        <w:pStyle w:val="BodyText"/>
      </w:pPr>
      <w:r>
        <w:t>Harvard Forest (42.5388° N, 72.1755° W, 340-368 m.a.s.l.) is located near the central Massachusetts town of Petersham. The forest is secondary and mixed age, having re-established around the beginning of the 20th century following agricultural use and sign</w:t>
      </w:r>
      <w:r>
        <w:t>ificant hurricane damage in 1938. Dominant species within the 35 ha ForestGEO plot are hemlock (</w:t>
      </w:r>
      <w:r>
        <w:rPr>
          <w:i/>
          <w:iCs/>
        </w:rPr>
        <w:t>Tsuga canadensis</w:t>
      </w:r>
      <w:r>
        <w:t xml:space="preserve"> (L.) Carrière), oak (</w:t>
      </w:r>
      <w:r>
        <w:rPr>
          <w:i/>
          <w:iCs/>
        </w:rPr>
        <w:t>Quercus spp.</w:t>
      </w:r>
      <w:r>
        <w:t>) and red maple (</w:t>
      </w:r>
      <w:r>
        <w:rPr>
          <w:i/>
          <w:iCs/>
        </w:rPr>
        <w:t>Acer rubrum</w:t>
      </w:r>
      <w:r>
        <w:t xml:space="preserve"> L.). The climate is temperate continental, with 1950-2019 mean annual precipitati</w:t>
      </w:r>
      <w:r>
        <w:t>on of 1104 mm and temperatures averaging -5°C in January and 22°C in July</w:t>
      </w:r>
      <w:r>
        <w:rPr>
          <w:vertAlign w:val="superscript"/>
        </w:rPr>
        <w:t>44</w:t>
      </w:r>
      <w:r>
        <w:t xml:space="preserve">. Within the study period for the dendrometer band analysis (1999-2003), spring temperatures (March and April </w:t>
      </w:r>
      <w:r>
        <w:rPr>
          <w:i/>
          <w:iCs/>
        </w:rPr>
        <w:t>T</w:t>
      </w:r>
      <w:r>
        <w:rPr>
          <w:i/>
          <w:iCs/>
          <w:vertAlign w:val="subscript"/>
        </w:rPr>
        <w:t>max</w:t>
      </w:r>
      <w:r>
        <w:t>; source: CRU v.4.04</w:t>
      </w:r>
      <w:r>
        <w:rPr>
          <w:vertAlign w:val="superscript"/>
        </w:rPr>
        <w:t>54</w:t>
      </w:r>
      <w:r>
        <w:t>) and summer SPEI values (4-month value of Au</w:t>
      </w:r>
      <w:r>
        <w:t xml:space="preserve">gust) were similar to the average climate prior to the study period (1970-1998). Specifically, average spring </w:t>
      </w:r>
      <w:r>
        <w:rPr>
          <w:i/>
          <w:iCs/>
        </w:rPr>
        <w:t>T</w:t>
      </w:r>
      <w:r>
        <w:rPr>
          <w:i/>
          <w:iCs/>
          <w:vertAlign w:val="subscript"/>
        </w:rPr>
        <w:t>max</w:t>
      </w:r>
      <w:r>
        <w:t xml:space="preserve"> was 10.9</w:t>
      </w:r>
      <m:oMath>
        <m:r>
          <m:rPr>
            <m:sty m:val="p"/>
          </m:rPr>
          <w:rPr>
            <w:rFonts w:ascii="Cambria Math" w:hAnsi="Cambria Math"/>
          </w:rPr>
          <m:t>±</m:t>
        </m:r>
      </m:oMath>
      <w:r>
        <w:t xml:space="preserve"> 1.5°C prior to the study period (range: 8.0-13.2) and 11.2</w:t>
      </w:r>
      <m:oMath>
        <m:r>
          <m:rPr>
            <m:sty m:val="p"/>
          </m:rPr>
          <w:rPr>
            <w:rFonts w:ascii="Cambria Math" w:hAnsi="Cambria Math"/>
          </w:rPr>
          <m:t>±</m:t>
        </m:r>
      </m:oMath>
      <w:r>
        <w:t xml:space="preserve"> 1.0°C (range: 10.1-12.2) during the study period, while summer SPEI was</w:t>
      </w:r>
      <w:r>
        <w:t xml:space="preserve"> 0.1</w:t>
      </w:r>
      <m:oMath>
        <m:r>
          <m:rPr>
            <m:sty m:val="p"/>
          </m:rPr>
          <w:rPr>
            <w:rFonts w:ascii="Cambria Math" w:hAnsi="Cambria Math"/>
          </w:rPr>
          <m:t>±</m:t>
        </m:r>
      </m:oMath>
      <w:r>
        <w:t xml:space="preserve"> 0.9 (range: -1.8-1.7) prior to the study period and 0.2</w:t>
      </w:r>
      <m:oMath>
        <m:r>
          <m:rPr>
            <m:sty m:val="p"/>
          </m:rPr>
          <w:rPr>
            <w:rFonts w:ascii="Cambria Math" w:hAnsi="Cambria Math"/>
          </w:rPr>
          <m:t>±</m:t>
        </m:r>
      </m:oMath>
      <w:r>
        <w:t xml:space="preserve"> 0.9 (range: -1.0-1.1) during. The driest summer during the study period (1999) had the 5th lowest SPEI value (-1.0) in the period 1970-2003, with precipitation of 52 mm mo</w:t>
      </w:r>
      <w:r>
        <w:rPr>
          <w:vertAlign w:val="superscript"/>
        </w:rPr>
        <w:t>-1</w:t>
      </w:r>
      <w:r>
        <w:t xml:space="preserve"> in June-August comp</w:t>
      </w:r>
      <w:r>
        <w:t>ared to average monthly precipitation of 100+ mm</w:t>
      </w:r>
      <w:r>
        <w:rPr>
          <w:vertAlign w:val="superscript"/>
        </w:rPr>
        <w:t>35</w:t>
      </w:r>
      <w:r>
        <w:t>.</w:t>
      </w:r>
    </w:p>
    <w:p w14:paraId="22D77444" w14:textId="77777777" w:rsidR="00BC6D46" w:rsidRDefault="00F84F50">
      <w:pPr>
        <w:pStyle w:val="BodyText"/>
      </w:pPr>
      <w:r>
        <w:t>Metal dendrometer bands were installed on 941 trees within the SCBI and Harvard Forest ForestGEO plots. Bands were placed on dominant species, including two diffuse- and two ring porous species at SCBI an</w:t>
      </w:r>
      <w:r>
        <w:t>d eight diffuse- and three ring porous species at Harvard Forest (Extended Data Table 1). While we do not estimate the ages of trees in our sample, bands at both sites were placed on individuals of differing sizes in an attempt to measure trees across a ra</w:t>
      </w:r>
      <w:r>
        <w:t>nge of ages. Bands were measured with a digital caliper approximately every 1-2 weeks within the growing season from 2011-2020 at SCBI and 1998-2003 at Harvard Forest. The number of bands measured at each site fluctuated slightly as trees were added or dro</w:t>
      </w:r>
      <w:r>
        <w:t xml:space="preserve">pped from the census (e.g., because of tree mortality). Across years, the number of bands sampled averaged 129 (range: 91-138) at SCBI and 717 (range: 700-755) at Harvard Forest. </w:t>
      </w:r>
    </w:p>
    <w:p w14:paraId="3E9411B2" w14:textId="77777777" w:rsidR="00BC6D46" w:rsidRDefault="00F84F50">
      <w:pPr>
        <w:pStyle w:val="BodyText"/>
      </w:pPr>
      <w:r>
        <w:t>Measurements were timed to begin before the beginning of spring growth and t</w:t>
      </w:r>
      <w:r>
        <w:t>o continue through the cessation of growth in the fall. At SCBI, the median start date was April 14, which was adjusted forward when early leaf-out of understory vegetation was observed, with the earliest start date being March 30 (in 2020). Measurements w</w:t>
      </w:r>
      <w:r>
        <w:t>ere continued through to fall leaf senescence, with the median end date being October 17 and the latest end date November 26 (2012). At Harvard Forest, all measurements from 1998 were dropped because of a late start date (May 26). Among the remaining years</w:t>
      </w:r>
      <w:r>
        <w:t xml:space="preserve">,the median start date was April 21 and median end </w:t>
      </w:r>
      <w:r>
        <w:lastRenderedPageBreak/>
        <w:t>date of October 27. 1999 was an anomalous year where initial measurements were taken on January 5, but not taken again until April 15. The latest end date was November 11, 2002. In our analysis, each band-</w:t>
      </w:r>
      <w:r>
        <w:t>year was treated independently, with no data overlap from one year to the next.</w:t>
      </w:r>
    </w:p>
    <w:p w14:paraId="5177ADF5" w14:textId="77777777" w:rsidR="00BC6D46" w:rsidRDefault="00F84F50">
      <w:pPr>
        <w:pStyle w:val="BodyText"/>
      </w:pPr>
      <w:r>
        <w:t>The raw dendrometer band data were screened to remove records or entire tree-years that were inappropriate for our analysis because of reduced reliability of predicted growth i</w:t>
      </w:r>
      <w:r>
        <w:t>n the modeled curves. Specifically, we removed tree-years with small or negligible total growth (</w:t>
      </w:r>
      <m:oMath>
        <m:r>
          <w:rPr>
            <w:rFonts w:ascii="Cambria Math" w:hAnsi="Cambria Math"/>
          </w:rPr>
          <m:t>ΔDBH</m:t>
        </m:r>
      </m:oMath>
      <w:r>
        <w:t xml:space="preserve"> </w:t>
      </w:r>
      <m:oMath>
        <m:r>
          <m:rPr>
            <m:sty m:val="p"/>
          </m:rPr>
          <w:rPr>
            <w:rFonts w:ascii="Cambria Math" w:hAnsi="Cambria Math"/>
          </w:rPr>
          <m:t>≤</m:t>
        </m:r>
        <m:r>
          <w:rPr>
            <w:rFonts w:ascii="Cambria Math" w:hAnsi="Cambria Math"/>
          </w:rPr>
          <m:t>0.005</m:t>
        </m:r>
      </m:oMath>
      <w:r>
        <w:t xml:space="preserve"> cm; SCBI = 26, Harvard Forest = 253) and tree-years where the first intra-annual measurement was later than the first spring survey (trees that</w:t>
      </w:r>
      <w:r>
        <w:t xml:space="preserve"> were missed in the initial census; SCBI = 22, Harvard Forest = 8). In total, this process removed 309 of the 2701 available tree-year records for 2011-2020 at SCBI and 1999-2003 at Harvard Forest.</w:t>
      </w:r>
    </w:p>
    <w:p w14:paraId="7759771A" w14:textId="77777777" w:rsidR="00BC6D46" w:rsidRDefault="00F84F50">
      <w:pPr>
        <w:pStyle w:val="BodyText"/>
      </w:pPr>
      <w:r>
        <w:t>We fit a five-parameter logistic growth model</w:t>
      </w:r>
      <w:r>
        <w:rPr>
          <w:vertAlign w:val="superscript"/>
        </w:rPr>
        <w:t>34</w:t>
      </w:r>
      <w:r>
        <w:t xml:space="preserve"> to dendrom</w:t>
      </w:r>
      <w:r>
        <w:t xml:space="preserve">eter band data from each tree-year to define stem growth milestones and growth rates (Fig. 1). In particular, we model the observed diameter at breast height (DBH) on a given day of the year (DOY; </w:t>
      </w:r>
      <w:r>
        <w:rPr>
          <w:i/>
          <w:iCs/>
        </w:rPr>
        <w:t>i.e.</w:t>
      </w:r>
      <w:r>
        <w:t>, julian days) as:</w:t>
      </w:r>
    </w:p>
    <w:p w14:paraId="3E3B1E40" w14:textId="77777777" w:rsidR="00BC6D46" w:rsidRDefault="00F84F50">
      <w:pPr>
        <w:pStyle w:val="BodyText"/>
      </w:pPr>
      <m:oMathPara>
        <m:oMathParaPr>
          <m:jc m:val="center"/>
        </m:oMathParaPr>
        <m:oMath>
          <m:r>
            <w:rPr>
              <w:rFonts w:ascii="Cambria Math" w:hAnsi="Cambria Math"/>
            </w:rPr>
            <m:t>DBH</m:t>
          </m:r>
          <m:r>
            <m:rPr>
              <m:sty m:val="p"/>
            </m:rPr>
            <w:rPr>
              <w:rFonts w:ascii="Cambria Math" w:hAnsi="Cambria Math"/>
            </w:rPr>
            <m:t>=</m:t>
          </m:r>
          <m:r>
            <w:rPr>
              <w:rFonts w:ascii="Cambria Math" w:hAnsi="Cambria Math"/>
            </w:rPr>
            <m:t>L</m:t>
          </m:r>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L</m:t>
              </m:r>
            </m:num>
            <m:den>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exp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D</m:t>
              </m:r>
              <m:r>
                <w:rPr>
                  <w:rFonts w:ascii="Cambria Math" w:hAnsi="Cambria Math"/>
                </w:rPr>
                <m:t>O</m:t>
              </m:r>
              <m:r>
                <w:rPr>
                  <w:rFonts w:ascii="Cambria Math" w:hAnsi="Cambria Math"/>
                </w:rPr>
                <m:t>Y</m:t>
              </m:r>
              <m:r>
                <m:rPr>
                  <m:sty m:val="p"/>
                </m:rPr>
                <w:rPr>
                  <w:rFonts w:ascii="Cambria Math" w:hAnsi="Cambria Math"/>
                </w:rPr>
                <m:t>-</m:t>
              </m:r>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ip</m:t>
                  </m:r>
                </m:sub>
              </m:sSub>
              <m:r>
                <m:rPr>
                  <m:sty m:val="p"/>
                </m:rPr>
                <w:rPr>
                  <w:rFonts w:ascii="Cambria Math" w:hAnsi="Cambria Math"/>
                </w:rPr>
                <m:t>)/</m:t>
              </m:r>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θ</m:t>
                  </m:r>
                </m:sup>
              </m:sSup>
            </m:den>
          </m:f>
        </m:oMath>
      </m:oMathPara>
    </w:p>
    <w:p w14:paraId="7D045630" w14:textId="77777777" w:rsidR="00BC6D46" w:rsidRDefault="00F84F50">
      <w:pPr>
        <w:pStyle w:val="FirstParagraph"/>
      </w:pPr>
      <w:r>
        <w:t xml:space="preserve">Here, </w:t>
      </w:r>
      <m:oMath>
        <m:r>
          <w:rPr>
            <w:rFonts w:ascii="Cambria Math" w:hAnsi="Cambria Math"/>
          </w:rPr>
          <m:t>L</m:t>
        </m:r>
      </m:oMath>
      <w:r>
        <w:t xml:space="preserve"> and </w:t>
      </w:r>
      <m:oMath>
        <m:r>
          <w:rPr>
            <w:rFonts w:ascii="Cambria Math" w:hAnsi="Cambria Math"/>
          </w:rPr>
          <m:t>K</m:t>
        </m:r>
      </m:oMath>
      <w:r>
        <w:t xml:space="preserve"> are lower and upper asymptotes of the model. </w:t>
      </w:r>
      <w:r>
        <w:rPr>
          <w:i/>
          <w:iCs/>
        </w:rPr>
        <w:t>DOY</w:t>
      </w:r>
      <w:r>
        <w:rPr>
          <w:i/>
          <w:iCs/>
          <w:vertAlign w:val="subscript"/>
        </w:rPr>
        <w:t>ip</w:t>
      </w:r>
      <w:r>
        <w:t xml:space="preserve"> is the day of year where the inflection point in growth rate occurs, </w:t>
      </w:r>
      <m:oMath>
        <m:r>
          <w:rPr>
            <w:rFonts w:ascii="Cambria Math" w:hAnsi="Cambria Math"/>
          </w:rPr>
          <m:t>r</m:t>
        </m:r>
      </m:oMath>
      <w:r>
        <w:t xml:space="preserve"> </w:t>
      </w:r>
      <w:r>
        <w:t xml:space="preserve">shapes the slope of the curve at the inflection point, and </w:t>
      </w:r>
      <m:oMath>
        <m:r>
          <w:rPr>
            <w:rFonts w:ascii="Cambria Math" w:hAnsi="Cambria Math"/>
          </w:rPr>
          <m:t>θ</m:t>
        </m:r>
      </m:oMath>
      <w:r>
        <w:t xml:space="preserve"> is a tuning parameter controlling the slope of the curve toward the upper asymptote. This allows an asymmetric fit to the data, where the onset of growth can be estimated independent of the cess</w:t>
      </w:r>
      <w:r>
        <w:t xml:space="preserve">ation of growth. When </w:t>
      </w:r>
      <m:oMath>
        <m:r>
          <w:rPr>
            <w:rFonts w:ascii="Cambria Math" w:hAnsi="Cambria Math"/>
          </w:rPr>
          <m:t>θ</m:t>
        </m:r>
        <m:r>
          <m:rPr>
            <m:sty m:val="p"/>
          </m:rPr>
          <w:rPr>
            <w:rFonts w:ascii="Cambria Math" w:hAnsi="Cambria Math"/>
          </w:rPr>
          <m:t>=</m:t>
        </m:r>
        <m:r>
          <w:rPr>
            <w:rFonts w:ascii="Cambria Math" w:hAnsi="Cambria Math"/>
          </w:rPr>
          <m:t>1</m:t>
        </m:r>
      </m:oMath>
      <w:r>
        <w:t xml:space="preserve">, </w:t>
      </w:r>
      <w:r>
        <w:rPr>
          <w:i/>
          <w:iCs/>
        </w:rPr>
        <w:t>g</w:t>
      </w:r>
      <w:r>
        <w:rPr>
          <w:i/>
          <w:iCs/>
          <w:vertAlign w:val="subscript"/>
        </w:rPr>
        <w:t>max</w:t>
      </w:r>
      <w:r>
        <w:t xml:space="preserve"> occurs on </w:t>
      </w:r>
      <w:r>
        <w:rPr>
          <w:i/>
          <w:iCs/>
        </w:rPr>
        <w:t>DOY</w:t>
      </w:r>
      <w:r>
        <w:rPr>
          <w:i/>
          <w:iCs/>
          <w:vertAlign w:val="subscript"/>
        </w:rPr>
        <w:t>ip</w:t>
      </w:r>
      <w:r>
        <w:t xml:space="preserve">. The model outputs two additional variables, </w:t>
      </w:r>
      <m:oMath>
        <m:r>
          <w:rPr>
            <w:rFonts w:ascii="Cambria Math" w:hAnsi="Cambria Math"/>
          </w:rPr>
          <m:t>a</m:t>
        </m:r>
      </m:oMath>
      <w:r>
        <w:t xml:space="preserve"> and </w:t>
      </w:r>
      <m:oMath>
        <m:r>
          <w:rPr>
            <w:rFonts w:ascii="Cambria Math" w:hAnsi="Cambria Math"/>
          </w:rPr>
          <m:t>b</m:t>
        </m:r>
      </m:oMath>
      <w:r>
        <w:t>, which represent the beginning and end DBH in each model year and are constrained by the first and last dendrometer band measurements. The model was fit</w:t>
      </w:r>
      <w:r>
        <w:t xml:space="preserve"> in R v4.0 using the functions developed in the </w:t>
      </w:r>
      <w:r>
        <w:rPr>
          <w:i/>
          <w:iCs/>
        </w:rPr>
        <w:t>Rdendrom</w:t>
      </w:r>
      <w:r>
        <w:t xml:space="preserve"> package</w:t>
      </w:r>
      <w:r>
        <w:rPr>
          <w:vertAlign w:val="superscript"/>
        </w:rPr>
        <w:t>34</w:t>
      </w:r>
      <w:r>
        <w:t xml:space="preserve">. These functions take the time-series of manual dendrometer band measurements and return maximum-likelihood optimized values of the above five parameters that best predict DBH for each day </w:t>
      </w:r>
      <w:r>
        <w:t>of year. An advantage of this approach is that short-term shrinkage and swelling associated with rain events</w:t>
      </w:r>
      <w:r>
        <w:rPr>
          <w:vertAlign w:val="superscript"/>
        </w:rPr>
        <w:t>34,56</w:t>
      </w:r>
      <w:r>
        <w:t xml:space="preserve"> and measurement errors show up as residual variation and do not unduly influence the parameters of interest. Having fit the model for each ban</w:t>
      </w:r>
      <w:r>
        <w:t>d-year of data, we then modeled DBH using these optimal parameter values in our logistic growth model and extracted the intra-annual growth variables of interest (Fig. 1).</w:t>
      </w:r>
    </w:p>
    <w:p w14:paraId="2A6B6095" w14:textId="77777777" w:rsidR="00BC6D46" w:rsidRDefault="00F84F50">
      <w:pPr>
        <w:pStyle w:val="BodyText"/>
      </w:pPr>
      <w:r>
        <w:t>After fitting the growth model, we removed tree-years with poor fits. Models were ju</w:t>
      </w:r>
      <w:r>
        <w:t>dged to be poorly fit if modeled growth parameters were outliers, which were commonly indicative of unrealistic fits (e.g., growth occurring outside the growing season or over a very short period) and underlain by very slow tree growth or poor data records</w:t>
      </w:r>
      <w:r>
        <w:t xml:space="preserve"> that passed the initial screening (described above). Modeled fits for tree-years were removed under two conditions: (1) </w:t>
      </w:r>
      <w:r>
        <w:rPr>
          <w:i/>
          <w:iCs/>
        </w:rPr>
        <w:t>g</w:t>
      </w:r>
      <w:r>
        <w:rPr>
          <w:i/>
          <w:iCs/>
          <w:vertAlign w:val="subscript"/>
        </w:rPr>
        <w:t>max</w:t>
      </w:r>
      <w:r>
        <w:t xml:space="preserve"> was </w:t>
      </w:r>
      <m:oMath>
        <m:r>
          <m:rPr>
            <m:sty m:val="p"/>
          </m:rPr>
          <w:rPr>
            <w:rFonts w:ascii="Cambria Math" w:hAnsi="Cambria Math"/>
          </w:rPr>
          <m:t>≥</m:t>
        </m:r>
        <m:r>
          <w:rPr>
            <w:rFonts w:ascii="Cambria Math" w:hAnsi="Cambria Math"/>
          </w:rPr>
          <m:t>2.5</m:t>
        </m:r>
      </m:oMath>
      <w:r>
        <w:t xml:space="preserve"> standard deviations away from the mean for each site-xylem architecture group combination (SCBI = 3, Harvard Forest = 11)</w:t>
      </w:r>
      <w:r>
        <w:t>; (2) timing variables (</w:t>
      </w:r>
      <w:r>
        <w:rPr>
          <w:i/>
          <w:iCs/>
        </w:rPr>
        <w:t>DOY</w:t>
      </w:r>
      <w:r>
        <w:rPr>
          <w:i/>
          <w:iCs/>
          <w:vertAlign w:val="subscript"/>
        </w:rPr>
        <w:t>ip</w:t>
      </w:r>
      <w:r>
        <w:t xml:space="preserve">, </w:t>
      </w:r>
      <w:r>
        <w:rPr>
          <w:i/>
          <w:iCs/>
        </w:rPr>
        <w:t>DOY</w:t>
      </w:r>
      <w:r>
        <w:rPr>
          <w:i/>
          <w:iCs/>
          <w:vertAlign w:val="subscript"/>
        </w:rPr>
        <w:t>25</w:t>
      </w:r>
      <w:r>
        <w:t xml:space="preserve">, </w:t>
      </w:r>
      <w:r>
        <w:rPr>
          <w:i/>
          <w:iCs/>
        </w:rPr>
        <w:t>DOY</w:t>
      </w:r>
      <w:r>
        <w:rPr>
          <w:i/>
          <w:iCs/>
          <w:vertAlign w:val="subscript"/>
        </w:rPr>
        <w:t>50</w:t>
      </w:r>
      <w:r>
        <w:t xml:space="preserve">, </w:t>
      </w:r>
      <w:r>
        <w:rPr>
          <w:i/>
          <w:iCs/>
        </w:rPr>
        <w:t>DOY</w:t>
      </w:r>
      <w:r>
        <w:rPr>
          <w:i/>
          <w:iCs/>
          <w:vertAlign w:val="subscript"/>
        </w:rPr>
        <w:t>75</w:t>
      </w:r>
      <w:r>
        <w:t xml:space="preserve">) were </w:t>
      </w:r>
      <m:oMath>
        <m:r>
          <m:rPr>
            <m:sty m:val="p"/>
          </m:rPr>
          <w:rPr>
            <w:rFonts w:ascii="Cambria Math" w:hAnsi="Cambria Math"/>
          </w:rPr>
          <m:t>≥</m:t>
        </m:r>
        <m:r>
          <w:rPr>
            <w:rFonts w:ascii="Cambria Math" w:hAnsi="Cambria Math"/>
          </w:rPr>
          <m:t>2.5</m:t>
        </m:r>
      </m:oMath>
      <w:r>
        <w:t xml:space="preserve"> standard deviations away from the means for their site, xylem architecture group, and year (SCBI = 74, Harvard Forest = 101). In total, this process removed 189 of the 2392 tree-</w:t>
      </w:r>
      <w:r>
        <w:lastRenderedPageBreak/>
        <w:t>year records dee</w:t>
      </w:r>
      <w:r>
        <w:t>med appropriate for analysis, leaving a total of 2203 tree-years included in the final analysis (Extended Data Table 1). At both sites the tree-years removed through this method were proportional to the original sample size, indicating that no species or s</w:t>
      </w:r>
      <w:r>
        <w:t>ize class was disproportionately removed compared to others. This process was repeated using 2 and 3 standard deviations as the cutoff for defining outliers, yielding qualitatively similar results.</w:t>
      </w:r>
    </w:p>
    <w:p w14:paraId="7464F264" w14:textId="77777777" w:rsidR="00BC6D46" w:rsidRDefault="00F84F50">
      <w:pPr>
        <w:pStyle w:val="BodyText"/>
      </w:pPr>
      <w:r>
        <w:t>Canopy foliage phenology data for the years 2001-2018 were</w:t>
      </w:r>
      <w:r>
        <w:t xml:space="preserve"> extracted for SCBI and Harvard Forest from the MCD12Q2 V6 Land Cover Dynamics product (a.k.a. MODIS Global Vegetation Phenology product)</w:t>
      </w:r>
      <w:r>
        <w:rPr>
          <w:vertAlign w:val="superscript"/>
        </w:rPr>
        <w:t>57</w:t>
      </w:r>
      <w:r>
        <w:t xml:space="preserve"> via Google Earth Engine. For each year at each site, we extracted data from the pixel (500m resolution) containing t</w:t>
      </w:r>
      <w:r>
        <w:t>he center of each forest plot. Using the daily MODIS 2-band Enhanced Vegetation Index data (EVI2), the product yields the timing of phenometrics (vegetation phenology) over each year, including timing of greenup, midgreenup, peak, and senescence as used in</w:t>
      </w:r>
      <w:r>
        <w:t xml:space="preserve"> this study. Data points were included in the analysis if they were flagged as “good” or “best” quality.</w:t>
      </w:r>
    </w:p>
    <w:p w14:paraId="5FB3E45B" w14:textId="77777777" w:rsidR="00BC6D46" w:rsidRDefault="00F84F50">
      <w:pPr>
        <w:pStyle w:val="BodyText"/>
      </w:pPr>
      <w:r>
        <w:t>For the dendrometer band and leaf phenology analyses, climate data corresponding to the measurement periods were obtained from local weather stations a</w:t>
      </w:r>
      <w:r>
        <w:t>t each focal site. For SCBI, weather data were obtained from a meteorological tower adjacent to the ForestGEO plot, via the ForestGEO Climate Data Portal v1.0 (</w:t>
      </w:r>
      <w:hyperlink r:id="rId11">
        <w:r>
          <w:rPr>
            <w:rStyle w:val="Hyperlink"/>
          </w:rPr>
          <w:t>https://forestgeo.github.io/Climate/</w:t>
        </w:r>
      </w:hyperlink>
      <w:r>
        <w:t>)</w:t>
      </w:r>
      <w:r>
        <w:rPr>
          <w:vertAlign w:val="superscript"/>
        </w:rPr>
        <w:t>58</w:t>
      </w:r>
      <w:r>
        <w:t>.</w:t>
      </w:r>
      <w:r>
        <w:t xml:space="preserve"> The R package </w:t>
      </w:r>
      <w:r>
        <w:rPr>
          <w:i/>
          <w:iCs/>
        </w:rPr>
        <w:t>climpact</w:t>
      </w:r>
      <w:r>
        <w:t xml:space="preserve"> (see www.climpact-sci.org)</w:t>
      </w:r>
      <w:r>
        <w:rPr>
          <w:vertAlign w:val="superscript"/>
        </w:rPr>
        <w:t>59</w:t>
      </w:r>
      <w:r>
        <w:t xml:space="preserve"> was used to plot temperatures for visual inspection and to identify readings that were &gt;3 standard deviations away from yearly means, which were labeled as outliers and removed from the dataset. Gaps in </w:t>
      </w:r>
      <w:r>
        <w:t>the SCBI meteorological tower data were subsequently filled using temperature readings obtained from a National Center for Environmental Information (NCEI) weather station located in Front Royal, Virginia (</w:t>
      </w:r>
      <w:hyperlink r:id="rId12">
        <w:r>
          <w:rPr>
            <w:rStyle w:val="Hyperlink"/>
          </w:rPr>
          <w:t>https://www.ncdc.noaa.gov/cdo-web/datasets/GHCND/stations/GHCND:USC00443229/detail</w:t>
        </w:r>
      </w:hyperlink>
      <w:r>
        <w:t>). Daily temperature records for Harvard Forest, which had already been gap-filled based on other local records, were obta</w:t>
      </w:r>
      <w:r>
        <w:t>ined from the Harvard Forest weather station</w:t>
      </w:r>
      <w:r>
        <w:rPr>
          <w:vertAlign w:val="superscript"/>
        </w:rPr>
        <w:t>60,61</w:t>
      </w:r>
      <w:r>
        <w:t>. For each site, we used records of daily maximum (</w:t>
      </w:r>
      <w:r>
        <w:rPr>
          <w:i/>
          <w:iCs/>
        </w:rPr>
        <w:t>T</w:t>
      </w:r>
      <w:r>
        <w:rPr>
          <w:i/>
          <w:iCs/>
          <w:vertAlign w:val="subscript"/>
        </w:rPr>
        <w:t>max</w:t>
      </w:r>
      <w:r>
        <w:t>) and minimum temperatures (</w:t>
      </w:r>
      <w:r>
        <w:rPr>
          <w:i/>
          <w:iCs/>
        </w:rPr>
        <w:t>T</w:t>
      </w:r>
      <w:r>
        <w:rPr>
          <w:i/>
          <w:iCs/>
          <w:vertAlign w:val="subscript"/>
        </w:rPr>
        <w:t>min</w:t>
      </w:r>
      <w:r>
        <w:t>). Standardized Precipitation Evapotranspiration Index (SPEI)</w:t>
      </w:r>
      <w:r>
        <w:rPr>
          <w:vertAlign w:val="superscript"/>
        </w:rPr>
        <w:t>55</w:t>
      </w:r>
      <w:r>
        <w:t xml:space="preserve"> </w:t>
      </w:r>
      <w:r>
        <w:t>values were obtained from the ForestGEO Climate Data Portal v1.0 (</w:t>
      </w:r>
      <w:hyperlink r:id="rId13">
        <w:r>
          <w:rPr>
            <w:rStyle w:val="Hyperlink"/>
          </w:rPr>
          <w:t>https://forestgeo.github.io/Climate/</w:t>
        </w:r>
      </w:hyperlink>
      <w:r>
        <w:t>)</w:t>
      </w:r>
      <w:r>
        <w:rPr>
          <w:vertAlign w:val="superscript"/>
        </w:rPr>
        <w:t>58,62,63</w:t>
      </w:r>
      <w:r>
        <w:t>.</w:t>
      </w:r>
    </w:p>
    <w:p w14:paraId="134C64FB" w14:textId="77777777" w:rsidR="00BC6D46" w:rsidRDefault="00F84F50">
      <w:pPr>
        <w:pStyle w:val="BodyText"/>
      </w:pPr>
      <w:r>
        <w:t xml:space="preserve">The critical temperature window (CTW, Fig. 1), defined as the period over which </w:t>
      </w:r>
      <w:r>
        <w:rPr>
          <w:i/>
          <w:iCs/>
        </w:rPr>
        <w:t>T</w:t>
      </w:r>
      <w:r>
        <w:rPr>
          <w:i/>
          <w:iCs/>
          <w:vertAlign w:val="subscript"/>
        </w:rPr>
        <w:t>max</w:t>
      </w:r>
      <w:r>
        <w:t xml:space="preserve"> wa</w:t>
      </w:r>
      <w:r>
        <w:t xml:space="preserve">s most strongly correlated with </w:t>
      </w:r>
      <w:r>
        <w:rPr>
          <w:i/>
          <w:iCs/>
        </w:rPr>
        <w:t>DOY</w:t>
      </w:r>
      <w:r>
        <w:rPr>
          <w:i/>
          <w:iCs/>
          <w:vertAlign w:val="subscript"/>
        </w:rPr>
        <w:t>25</w:t>
      </w:r>
      <w:r>
        <w:t xml:space="preserve">, was determined using the R package </w:t>
      </w:r>
      <w:r>
        <w:rPr>
          <w:i/>
          <w:iCs/>
        </w:rPr>
        <w:t>climwin</w:t>
      </w:r>
      <w:r>
        <w:rPr>
          <w:vertAlign w:val="superscript"/>
        </w:rPr>
        <w:t>64</w:t>
      </w:r>
      <w:r>
        <w:t>. This package tests the correlation between one or more predictor climate variable and a biological outcome variable over all consecutive time windows within a specified ti</w:t>
      </w:r>
      <w:r>
        <w:t xml:space="preserve">me-frame. It does so by reporting the correlation and </w:t>
      </w:r>
      <m:oMath>
        <m:r>
          <w:rPr>
            <w:rFonts w:ascii="Cambria Math" w:hAnsi="Cambria Math"/>
          </w:rPr>
          <m:t>ΔAICc</m:t>
        </m:r>
      </m:oMath>
      <w:r>
        <w:t>, the difference in Akaike Information Criterion corrected for small sample size relative to a null model for each window. Here, we tested for correlation between temperature predictor variabl</w:t>
      </w:r>
      <w:r>
        <w:t>es (</w:t>
      </w:r>
      <w:r>
        <w:rPr>
          <w:i/>
          <w:iCs/>
        </w:rPr>
        <w:t>T</w:t>
      </w:r>
      <w:r>
        <w:rPr>
          <w:i/>
          <w:iCs/>
          <w:vertAlign w:val="subscript"/>
        </w:rPr>
        <w:t>max</w:t>
      </w:r>
      <w:r>
        <w:t xml:space="preserve">, </w:t>
      </w:r>
      <w:r>
        <w:rPr>
          <w:i/>
          <w:iCs/>
        </w:rPr>
        <w:t>T</w:t>
      </w:r>
      <w:r>
        <w:rPr>
          <w:i/>
          <w:iCs/>
          <w:vertAlign w:val="subscript"/>
        </w:rPr>
        <w:t>min</w:t>
      </w:r>
      <w:r>
        <w:t xml:space="preserve">) and biological outcome variable </w:t>
      </w:r>
      <w:r>
        <w:rPr>
          <w:i/>
          <w:iCs/>
        </w:rPr>
        <w:t>DOY</w:t>
      </w:r>
      <w:r>
        <w:rPr>
          <w:i/>
          <w:iCs/>
          <w:vertAlign w:val="subscript"/>
        </w:rPr>
        <w:t>25</w:t>
      </w:r>
      <w:r>
        <w:t xml:space="preserve"> over the time-frame from January 1 to the mean </w:t>
      </w:r>
      <w:r>
        <w:rPr>
          <w:i/>
          <w:iCs/>
        </w:rPr>
        <w:t>DOY</w:t>
      </w:r>
      <w:r>
        <w:rPr>
          <w:i/>
          <w:iCs/>
          <w:vertAlign w:val="subscript"/>
        </w:rPr>
        <w:t>25</w:t>
      </w:r>
      <w:r>
        <w:t xml:space="preserve"> for the species group (by xylem porosity) and site (Extended Data Table 2). The time period yielding the lowest </w:t>
      </w:r>
      <m:oMath>
        <m:r>
          <w:rPr>
            <w:rFonts w:ascii="Cambria Math" w:hAnsi="Cambria Math"/>
          </w:rPr>
          <m:t>ΔAICc</m:t>
        </m:r>
      </m:oMath>
      <w:r>
        <w:t xml:space="preserve"> was selected as the CTW. T</w:t>
      </w:r>
      <w:r>
        <w:t xml:space="preserve">o avoid spurious correlations that could occur using temperature data at the daily resolution, we ran this analysis with weekly resolution, using temperatures averaged over weekly time periods. Because </w:t>
      </w:r>
      <w:r>
        <w:rPr>
          <w:i/>
          <w:iCs/>
        </w:rPr>
        <w:t>T</w:t>
      </w:r>
      <w:r>
        <w:rPr>
          <w:i/>
          <w:iCs/>
          <w:vertAlign w:val="subscript"/>
        </w:rPr>
        <w:t>max</w:t>
      </w:r>
      <w:r>
        <w:t xml:space="preserve"> proved to have a generally stronger influence ove</w:t>
      </w:r>
      <w:r>
        <w:t xml:space="preserve">r </w:t>
      </w:r>
      <w:r>
        <w:rPr>
          <w:i/>
          <w:iCs/>
        </w:rPr>
        <w:t>DOY</w:t>
      </w:r>
      <w:r>
        <w:rPr>
          <w:i/>
          <w:iCs/>
          <w:vertAlign w:val="subscript"/>
        </w:rPr>
        <w:t>25</w:t>
      </w:r>
      <w:r>
        <w:t xml:space="preserve"> and other growth parameters, we focused on this variable in our ultimate model, as opposed to </w:t>
      </w:r>
      <w:r>
        <w:rPr>
          <w:i/>
          <w:iCs/>
        </w:rPr>
        <w:t>T</w:t>
      </w:r>
      <w:r>
        <w:rPr>
          <w:i/>
          <w:iCs/>
          <w:vertAlign w:val="subscript"/>
        </w:rPr>
        <w:t>min</w:t>
      </w:r>
      <w:r>
        <w:t xml:space="preserve">. </w:t>
      </w:r>
      <w:r>
        <w:lastRenderedPageBreak/>
        <w:t xml:space="preserve">We defined CTW for </w:t>
      </w:r>
      <w:r>
        <w:rPr>
          <w:i/>
          <w:iCs/>
        </w:rPr>
        <w:t>DOY</w:t>
      </w:r>
      <w:r>
        <w:rPr>
          <w:i/>
          <w:iCs/>
          <w:vertAlign w:val="subscript"/>
        </w:rPr>
        <w:t>25</w:t>
      </w:r>
      <w:r>
        <w:t>, as opposed to other parameters describing the timing of growth, because spring temperatures should have the most direct in</w:t>
      </w:r>
      <w:r>
        <w:t>fluence on this variable.</w:t>
      </w:r>
    </w:p>
    <w:p w14:paraId="74CAB690" w14:textId="77777777" w:rsidR="00BC6D46" w:rsidRDefault="00F84F50">
      <w:pPr>
        <w:pStyle w:val="BodyText"/>
      </w:pPr>
      <w:r>
        <w:t xml:space="preserve">To ensure that patterns were robust under an alternative definition of CTW, and to parallel the monthly time windows used in our tree-ring analysis (detailed below; Fig. 3, Extended Data Figure 6-7), we also ran analyses where we </w:t>
      </w:r>
      <w:r>
        <w:t xml:space="preserve">fixed the CTW identified by </w:t>
      </w:r>
      <w:r>
        <w:rPr>
          <w:i/>
          <w:iCs/>
        </w:rPr>
        <w:t>climwin</w:t>
      </w:r>
      <w:r>
        <w:t xml:space="preserve"> to be the month with the most days in the CTW (Extended Data Table 2) each critical window. The months identified were March and April for ring- and diffuse-porous species at SCBI, respectively, and April and May for rin</w:t>
      </w:r>
      <w:r>
        <w:t>g- and diffuse-porous species at Harvard Forest, respectively.</w:t>
      </w:r>
    </w:p>
    <w:p w14:paraId="1FCABA29" w14:textId="77777777" w:rsidR="00BC6D46" w:rsidRDefault="00F84F50">
      <w:pPr>
        <w:pStyle w:val="BodyText"/>
      </w:pPr>
      <w:r>
        <w:t>Correlation between the dendrometer band-derived growth parameters (</w:t>
      </w:r>
      <w:r>
        <w:rPr>
          <w:i/>
          <w:iCs/>
        </w:rPr>
        <w:t>DOY</w:t>
      </w:r>
      <w:r>
        <w:rPr>
          <w:i/>
          <w:iCs/>
          <w:vertAlign w:val="subscript"/>
        </w:rPr>
        <w:t>25</w:t>
      </w:r>
      <w:r>
        <w:t xml:space="preserve">, </w:t>
      </w:r>
      <w:r>
        <w:rPr>
          <w:i/>
          <w:iCs/>
        </w:rPr>
        <w:t>DOY</w:t>
      </w:r>
      <w:r>
        <w:rPr>
          <w:i/>
          <w:iCs/>
          <w:vertAlign w:val="subscript"/>
        </w:rPr>
        <w:t>50</w:t>
      </w:r>
      <w:r>
        <w:t xml:space="preserve">, </w:t>
      </w:r>
      <w:r>
        <w:rPr>
          <w:i/>
          <w:iCs/>
        </w:rPr>
        <w:t>DOY</w:t>
      </w:r>
      <w:r>
        <w:rPr>
          <w:i/>
          <w:iCs/>
          <w:vertAlign w:val="subscript"/>
        </w:rPr>
        <w:t>75</w:t>
      </w:r>
      <w:r>
        <w:t xml:space="preserve">, </w:t>
      </w:r>
      <w:r>
        <w:rPr>
          <w:i/>
          <w:iCs/>
        </w:rPr>
        <w:t>L</w:t>
      </w:r>
      <w:r>
        <w:rPr>
          <w:i/>
          <w:iCs/>
          <w:vertAlign w:val="subscript"/>
        </w:rPr>
        <w:t>pgs</w:t>
      </w:r>
      <w:r>
        <w:t xml:space="preserve">, </w:t>
      </w:r>
      <w:r>
        <w:rPr>
          <w:i/>
          <w:iCs/>
        </w:rPr>
        <w:t>g</w:t>
      </w:r>
      <w:r>
        <w:rPr>
          <w:i/>
          <w:iCs/>
          <w:vertAlign w:val="subscript"/>
        </w:rPr>
        <w:t>max</w:t>
      </w:r>
      <w:r>
        <w:t xml:space="preserve">, and </w:t>
      </w:r>
      <m:oMath>
        <m:r>
          <w:rPr>
            <w:rFonts w:ascii="Cambria Math" w:hAnsi="Cambria Math"/>
          </w:rPr>
          <m:t>ΔDBH</m:t>
        </m:r>
      </m:oMath>
      <w:r>
        <w:t xml:space="preserve">, Fig. 1) and CTW </w:t>
      </w:r>
      <w:r>
        <w:rPr>
          <w:i/>
          <w:iCs/>
        </w:rPr>
        <w:t>T</w:t>
      </w:r>
      <w:r>
        <w:rPr>
          <w:i/>
          <w:iCs/>
          <w:vertAlign w:val="subscript"/>
        </w:rPr>
        <w:t>max</w:t>
      </w:r>
      <w:r>
        <w:t xml:space="preserve"> (at weekly or monthly resolution, as described above) wer</w:t>
      </w:r>
      <w:r>
        <w:t xml:space="preserve">e assessed using a linear mixed model in a hierarchical Bayesian framework. Analyses were run for both </w:t>
      </w:r>
      <w:r>
        <w:rPr>
          <w:i/>
          <w:iCs/>
        </w:rPr>
        <w:t>T</w:t>
      </w:r>
      <w:r>
        <w:rPr>
          <w:i/>
          <w:iCs/>
          <w:vertAlign w:val="subscript"/>
        </w:rPr>
        <w:t>max</w:t>
      </w:r>
      <w:r>
        <w:t xml:space="preserve"> and </w:t>
      </w:r>
      <w:r>
        <w:rPr>
          <w:i/>
          <w:iCs/>
        </w:rPr>
        <w:t>T</w:t>
      </w:r>
      <w:r>
        <w:rPr>
          <w:i/>
          <w:iCs/>
          <w:vertAlign w:val="subscript"/>
        </w:rPr>
        <w:t>min</w:t>
      </w:r>
      <w:r>
        <w:t xml:space="preserve">, with qualitatively similar results, but we present only results for </w:t>
      </w:r>
      <w:r>
        <w:rPr>
          <w:i/>
          <w:iCs/>
        </w:rPr>
        <w:t>T</w:t>
      </w:r>
      <w:r>
        <w:rPr>
          <w:i/>
          <w:iCs/>
          <w:vertAlign w:val="subscript"/>
        </w:rPr>
        <w:t>max</w:t>
      </w:r>
      <w:r>
        <w:t>, which had overall stronger correlation with growth parameters. M</w:t>
      </w:r>
      <w:r>
        <w:t xml:space="preserve">ixed effects models were used to test the response of growth parameters to fixed effects of xylem porosity and mean </w:t>
      </w:r>
      <w:r>
        <w:rPr>
          <w:i/>
          <w:iCs/>
        </w:rPr>
        <w:t>T</w:t>
      </w:r>
      <w:r>
        <w:rPr>
          <w:i/>
          <w:iCs/>
          <w:vertAlign w:val="subscript"/>
        </w:rPr>
        <w:t>max</w:t>
      </w:r>
      <w:r>
        <w:t xml:space="preserve"> (or </w:t>
      </w:r>
      <w:r>
        <w:rPr>
          <w:i/>
          <w:iCs/>
        </w:rPr>
        <w:t>T</w:t>
      </w:r>
      <w:r>
        <w:rPr>
          <w:i/>
          <w:iCs/>
          <w:vertAlign w:val="subscript"/>
        </w:rPr>
        <w:t>min</w:t>
      </w:r>
      <w:r>
        <w:t>) during the CTW, along with random effects of species and of individual tree. We ran separate models for each site, and for th</w:t>
      </w:r>
      <w:r>
        <w:t xml:space="preserve">e response of all growth parameters to </w:t>
      </w:r>
      <w:r>
        <w:rPr>
          <w:i/>
          <w:iCs/>
        </w:rPr>
        <w:t>T</w:t>
      </w:r>
      <w:r>
        <w:rPr>
          <w:i/>
          <w:iCs/>
          <w:vertAlign w:val="subscript"/>
        </w:rPr>
        <w:t>max</w:t>
      </w:r>
      <w:r>
        <w:t xml:space="preserve"> (or </w:t>
      </w:r>
      <w:r>
        <w:rPr>
          <w:i/>
          <w:iCs/>
        </w:rPr>
        <w:t>T</w:t>
      </w:r>
      <w:r>
        <w:rPr>
          <w:i/>
          <w:iCs/>
          <w:vertAlign w:val="subscript"/>
        </w:rPr>
        <w:t>min</w:t>
      </w:r>
      <w:r>
        <w:t xml:space="preserve">). This mixed-effect model was run within a hierarchical Bayesian framework and fit using the </w:t>
      </w:r>
      <w:r>
        <w:rPr>
          <w:rStyle w:val="VerbatimChar"/>
        </w:rPr>
        <w:t>rstanarm</w:t>
      </w:r>
      <w:r>
        <w:t xml:space="preserve"> R interface to the Stan programming language</w:t>
      </w:r>
      <w:r>
        <w:rPr>
          <w:vertAlign w:val="superscript"/>
        </w:rPr>
        <w:t>65,66</w:t>
      </w:r>
      <w:r>
        <w:t xml:space="preserve">. </w:t>
      </w:r>
      <w:r>
        <w:t xml:space="preserve">In all cases unless otherwise specified, all prior distributions are set to be the weakly informative defaults. </w:t>
      </w:r>
    </w:p>
    <w:p w14:paraId="3F547682" w14:textId="77777777" w:rsidR="00BC6D46" w:rsidRDefault="00F84F50">
      <w:pPr>
        <w:pStyle w:val="BodyText"/>
      </w:pPr>
      <w:r>
        <w:t>To rule out the possibility that observed patterns were strongly influenced by summer drought, we examined the relationship between spring temp</w:t>
      </w:r>
      <w:r>
        <w:t xml:space="preserve">eratures and summer SPEI indices. Linear models were run with 4-, 6-, and 12-month SPEI values of June, July, and August vs April </w:t>
      </w:r>
      <w:r>
        <w:rPr>
          <w:i/>
          <w:iCs/>
        </w:rPr>
        <w:t>T</w:t>
      </w:r>
      <w:r>
        <w:rPr>
          <w:i/>
          <w:iCs/>
          <w:vertAlign w:val="subscript"/>
        </w:rPr>
        <w:t>max</w:t>
      </w:r>
      <w:r>
        <w:t xml:space="preserve"> to determine if warm spring temperatures were associated with greater summer drought stress in our data set. No significa</w:t>
      </w:r>
      <w:r>
        <w:t>nt correlations were found (all p&gt;0.05).</w:t>
      </w:r>
    </w:p>
    <w:p w14:paraId="26533B3C" w14:textId="77777777" w:rsidR="00BC6D46" w:rsidRDefault="00F84F50">
      <w:pPr>
        <w:pStyle w:val="Heading2"/>
      </w:pPr>
      <w:bookmarkStart w:id="56" w:name="tree-ring-analysis"/>
      <w:bookmarkEnd w:id="55"/>
      <w:r>
        <w:t>Tree-ring analysis</w:t>
      </w:r>
    </w:p>
    <w:p w14:paraId="621436C0" w14:textId="77777777" w:rsidR="00BC6D46" w:rsidRDefault="00F84F50">
      <w:pPr>
        <w:pStyle w:val="FirstParagraph"/>
      </w:pPr>
      <w:r>
        <w:t>We analyzed tree-ring records for 108 sites, including our focal sites. All cores had been previously collected, cross-dated, and measured using standard collection and processing methodologies</w:t>
      </w:r>
      <w:r>
        <w:rPr>
          <w:vertAlign w:val="superscript"/>
        </w:rPr>
        <w:t>67,</w:t>
      </w:r>
      <w:r>
        <w:rPr>
          <w:vertAlign w:val="superscript"/>
        </w:rPr>
        <w:t>68</w:t>
      </w:r>
      <w:r>
        <w:t>.</w:t>
      </w:r>
    </w:p>
    <w:p w14:paraId="3C85484E" w14:textId="77777777" w:rsidR="00BC6D46" w:rsidRDefault="00F84F50">
      <w:pPr>
        <w:pStyle w:val="BodyText"/>
      </w:pPr>
      <w:r>
        <w:t>Dominant tree species were cored at both SCBI</w:t>
      </w:r>
      <w:r>
        <w:rPr>
          <w:vertAlign w:val="superscript"/>
        </w:rPr>
        <w:t>33,51</w:t>
      </w:r>
      <w:r>
        <w:t xml:space="preserve"> and Harvard Forest</w:t>
      </w:r>
      <w:r>
        <w:rPr>
          <w:vertAlign w:val="superscript"/>
        </w:rPr>
        <w:t>3,69,70</w:t>
      </w:r>
      <w:r>
        <w:t xml:space="preserve"> following sampling designs that covered a broad range of DBH. We analyzed records for the ring- and diffuse- porous species at each site (Extended Data Table 1), but excluded </w:t>
      </w:r>
      <w:r>
        <w:t xml:space="preserve">semi-ring porous species (e.g., </w:t>
      </w:r>
      <w:r>
        <w:rPr>
          <w:i/>
          <w:iCs/>
        </w:rPr>
        <w:t>Juglans nigra</w:t>
      </w:r>
      <w:r>
        <w:t xml:space="preserve"> L. at SCBI) and conifers (e.g., </w:t>
      </w:r>
      <w:r>
        <w:rPr>
          <w:i/>
          <w:iCs/>
        </w:rPr>
        <w:t>Tsuga canadensis</w:t>
      </w:r>
      <w:r>
        <w:t xml:space="preserve"> at Harvard Forest). We studied a total of 976 cores which included 12 species at SCBI and 4 species at Harvard Forest (Extended Data Table 1).</w:t>
      </w:r>
    </w:p>
    <w:p w14:paraId="6033A908" w14:textId="77777777" w:rsidR="00BC6D46" w:rsidRDefault="00F84F50">
      <w:pPr>
        <w:pStyle w:val="BodyText"/>
      </w:pPr>
      <w:r>
        <w:t>The tree-ring reco</w:t>
      </w:r>
      <w:r>
        <w:t>rds from our focal sites were complemented with a much larger collection spanning 106 deciduous and mixed forest sites in eastern North America</w:t>
      </w:r>
      <w:r>
        <w:rPr>
          <w:vertAlign w:val="superscript"/>
        </w:rPr>
        <w:t>32,71,72</w:t>
      </w:r>
      <w:r>
        <w:t>. For the majority of sampled populations (i.e., site-species combinations), sampling focused on canopy t</w:t>
      </w:r>
      <w:r>
        <w:t>rees (typically &gt;20 trees per population)</w:t>
      </w:r>
      <w:r>
        <w:rPr>
          <w:vertAlign w:val="superscript"/>
        </w:rPr>
        <w:t>32,71,72</w:t>
      </w:r>
      <w:r>
        <w:t xml:space="preserve">, while ~15% of the total 207 chronologies came from plot-level collections where trees above a certain diameter (typically 10 cm DBH) were censused </w:t>
      </w:r>
      <w:r>
        <w:lastRenderedPageBreak/>
        <w:t>and cored</w:t>
      </w:r>
      <w:r>
        <w:rPr>
          <w:vertAlign w:val="superscript"/>
        </w:rPr>
        <w:t>33,70</w:t>
      </w:r>
      <w:r>
        <w:t xml:space="preserve">. Again, analyses were limited to broadleaf </w:t>
      </w:r>
      <w:r>
        <w:t>deciduous species with clearly defined xylem porosity (</w:t>
      </w:r>
      <w:r>
        <w:rPr>
          <w:i/>
          <w:iCs/>
        </w:rPr>
        <w:t>i.e.</w:t>
      </w:r>
      <w:r>
        <w:t>, excluding semi-ring porous).</w:t>
      </w:r>
    </w:p>
    <w:p w14:paraId="38E889CC" w14:textId="77777777" w:rsidR="00BC6D46" w:rsidRDefault="00F84F50">
      <w:pPr>
        <w:pStyle w:val="BodyText"/>
      </w:pPr>
      <w:r>
        <w:t>For each species-site combination, we converted tree-ring records into the dimensionless RWI to emphasize interannual variability associated with climate</w:t>
      </w:r>
      <w:r>
        <w:rPr>
          <w:vertAlign w:val="superscript"/>
        </w:rPr>
        <w:t>73</w:t>
      </w:r>
      <w:r>
        <w:t xml:space="preserve">. A 2/3rds </w:t>
      </w:r>
      <w:r>
        <w:rPr>
          <w:i/>
          <w:iCs/>
        </w:rPr>
        <w:t>n</w:t>
      </w:r>
      <w:r>
        <w:t xml:space="preserve"> spline was applied to each core using ARSTAN to produce standardized ring-width series; </w:t>
      </w:r>
      <w:r>
        <w:rPr>
          <w:i/>
          <w:iCs/>
        </w:rPr>
        <w:t>n</w:t>
      </w:r>
      <w:r>
        <w:t xml:space="preserve"> is the number of years in each series</w:t>
      </w:r>
      <w:r>
        <w:rPr>
          <w:vertAlign w:val="superscript"/>
        </w:rPr>
        <w:t>73,74</w:t>
      </w:r>
      <w:r>
        <w:t>. An adaptive power transformation, a process that also stabilizes the variance over time</w:t>
      </w:r>
      <w:r>
        <w:rPr>
          <w:vertAlign w:val="superscript"/>
        </w:rPr>
        <w:t>75</w:t>
      </w:r>
      <w:r>
        <w:t>, was used to minimize the infl</w:t>
      </w:r>
      <w:r>
        <w:t>uence of outliers in all series. Low series replication, often in the earliest portions of a chronology collection, can also inflate the variance of tree-ring records</w:t>
      </w:r>
      <w:r>
        <w:rPr>
          <w:vertAlign w:val="superscript"/>
        </w:rPr>
        <w:t>76</w:t>
      </w:r>
      <w:r>
        <w:t>. The 1/3rds spline method was chosen when replication in the inner portion of each chro</w:t>
      </w:r>
      <w:r>
        <w:t>nology (the earliest ca. 30–50 yr of each record depending on full chronology length) was less than three trees. When replication was greater than n = 3 trees, we used the average correlation between raw ring-width series (rbar) method. The robust biweight</w:t>
      </w:r>
      <w:r>
        <w:t xml:space="preserve"> mean chronology (RWI) for each species-site combination was calculated from the ring-width indices following variance stabilization</w:t>
      </w:r>
      <w:r>
        <w:rPr>
          <w:vertAlign w:val="superscript"/>
        </w:rPr>
        <w:t>74</w:t>
      </w:r>
      <w:r>
        <w:t>. We defined chronology start year (Extended Data Table 1) as the year where subsample signal strength (SSS) passed a thre</w:t>
      </w:r>
      <w:r>
        <w:t xml:space="preserve">shold of SSS = 0.8, or where </w:t>
      </w:r>
      <m:oMath>
        <m:r>
          <m:rPr>
            <m:sty m:val="p"/>
          </m:rPr>
          <w:rPr>
            <w:rFonts w:ascii="Cambria Math" w:hAnsi="Cambria Math"/>
          </w:rPr>
          <m:t>≥</m:t>
        </m:r>
      </m:oMath>
      <w:r>
        <w:t xml:space="preserve"> 80% of the population signal was captured in the chronology.</w:t>
      </w:r>
    </w:p>
    <w:p w14:paraId="4BFB348B" w14:textId="77777777" w:rsidR="00BC6D46" w:rsidRDefault="00F84F50">
      <w:pPr>
        <w:pStyle w:val="BodyText"/>
      </w:pPr>
      <w:r>
        <w:t xml:space="preserve">For the analysis of correlation between RWI and climate variables, we obtained monthly </w:t>
      </w:r>
      <w:r>
        <w:rPr>
          <w:i/>
          <w:iCs/>
        </w:rPr>
        <w:t>T</w:t>
      </w:r>
      <w:r>
        <w:rPr>
          <w:i/>
          <w:iCs/>
          <w:vertAlign w:val="subscript"/>
        </w:rPr>
        <w:t>max</w:t>
      </w:r>
      <w:r>
        <w:t xml:space="preserve"> and </w:t>
      </w:r>
      <w:r>
        <w:rPr>
          <w:i/>
          <w:iCs/>
        </w:rPr>
        <w:t>T</w:t>
      </w:r>
      <w:r>
        <w:rPr>
          <w:i/>
          <w:iCs/>
          <w:vertAlign w:val="subscript"/>
        </w:rPr>
        <w:t>min</w:t>
      </w:r>
      <w:r>
        <w:t xml:space="preserve"> data for 1901-2019 from CRU v.4.04.</w:t>
      </w:r>
      <w:r>
        <w:rPr>
          <w:vertAlign w:val="superscript"/>
        </w:rPr>
        <w:t>54</w:t>
      </w:r>
      <w:r>
        <w:t xml:space="preserve"> Correlations between mont</w:t>
      </w:r>
      <w:r>
        <w:t>hly climate and RWI were assessed in R v 4.0</w:t>
      </w:r>
      <w:r>
        <w:rPr>
          <w:vertAlign w:val="superscript"/>
        </w:rPr>
        <w:t>77</w:t>
      </w:r>
      <w:r>
        <w:t xml:space="preserve"> using the packages </w:t>
      </w:r>
      <w:r>
        <w:rPr>
          <w:i/>
          <w:iCs/>
        </w:rPr>
        <w:t>dplR</w:t>
      </w:r>
      <w:r>
        <w:rPr>
          <w:vertAlign w:val="superscript"/>
        </w:rPr>
        <w:t>78</w:t>
      </w:r>
      <w:r>
        <w:t xml:space="preserve"> and </w:t>
      </w:r>
      <w:r>
        <w:rPr>
          <w:i/>
          <w:iCs/>
        </w:rPr>
        <w:t>bootRes</w:t>
      </w:r>
      <w:r>
        <w:rPr>
          <w:vertAlign w:val="superscript"/>
        </w:rPr>
        <w:t>79</w:t>
      </w:r>
      <w:r>
        <w:t xml:space="preserve"> to assess correlations, provide bootstrapped confidence intervals for these relationships, and create summary figures (Fig. 3, Extended Data Figures 6-7). Our analysis f</w:t>
      </w:r>
      <w:r>
        <w:t>ocused on assessing correlations of RWI to months spanning January through September of the current year (presented in Fig. 3, Extended Data Figure 6). To test for potential lag effects of spring temperatures on growth the following year, we also ran a ver</w:t>
      </w:r>
      <w:r>
        <w:t>sion of the analysis extending back to include climate of every month of the previous year (Extended Data Figure 7). Correlations and significance levels for months March-August are given in SI Table 1.</w:t>
      </w:r>
    </w:p>
    <w:p w14:paraId="7F1BA5BD" w14:textId="77777777" w:rsidR="00BC6D46" w:rsidRDefault="00F84F50">
      <w:pPr>
        <w:pStyle w:val="BodyText"/>
      </w:pPr>
      <w:r>
        <w:t>We used a multivariate model to test for joint effect</w:t>
      </w:r>
      <w:r>
        <w:t xml:space="preserve">s of April and summer </w:t>
      </w:r>
      <w:r>
        <w:rPr>
          <w:i/>
          <w:iCs/>
        </w:rPr>
        <w:t>T</w:t>
      </w:r>
      <w:r>
        <w:rPr>
          <w:i/>
          <w:iCs/>
          <w:vertAlign w:val="subscript"/>
        </w:rPr>
        <w:t>max</w:t>
      </w:r>
      <w:r>
        <w:t xml:space="preserve"> on RWI. We focused on April to represent spring temperatures because it was the month with greatest overall alignment with the CTW’s identified in the dendrometer band analysis and had the highest rate of positive correlations wi</w:t>
      </w:r>
      <w:r>
        <w:t xml:space="preserve">th RWI (Extended Data Table 3). We began by testing univariate correlations of </w:t>
      </w:r>
      <w:r>
        <w:rPr>
          <w:i/>
          <w:iCs/>
        </w:rPr>
        <w:t>T</w:t>
      </w:r>
      <w:r>
        <w:rPr>
          <w:i/>
          <w:iCs/>
          <w:vertAlign w:val="subscript"/>
        </w:rPr>
        <w:t>max</w:t>
      </w:r>
      <w:r>
        <w:t xml:space="preserve"> over three summer windows: June, June-July, and May-August. Having determined that, among these, June-July explained the most variation, we then analyzed the joint effects </w:t>
      </w:r>
      <w:r>
        <w:t xml:space="preserve">of April </w:t>
      </w:r>
      <w:r>
        <w:rPr>
          <w:i/>
          <w:iCs/>
        </w:rPr>
        <w:t>T</w:t>
      </w:r>
      <w:r>
        <w:rPr>
          <w:i/>
          <w:iCs/>
          <w:vertAlign w:val="subscript"/>
        </w:rPr>
        <w:t>max</w:t>
      </w:r>
      <w:r>
        <w:t xml:space="preserve"> and June-July </w:t>
      </w:r>
      <w:r>
        <w:rPr>
          <w:i/>
          <w:iCs/>
        </w:rPr>
        <w:t>T</w:t>
      </w:r>
      <w:r>
        <w:rPr>
          <w:i/>
          <w:iCs/>
          <w:vertAlign w:val="subscript"/>
        </w:rPr>
        <w:t>max</w:t>
      </w:r>
      <w:r>
        <w:t xml:space="preserve"> on RWI for each chronology independently using the base lm() function in R. Slopes and p-values for each chronology are given in SI Table 1. Although some models may have benefited from data transformations, we determined t</w:t>
      </w:r>
      <w:r>
        <w:t>hat assumptions of normality and homoscedasticity were sufficiently met for the purposes of this analysis.</w:t>
      </w:r>
    </w:p>
    <w:p w14:paraId="62B23D6B" w14:textId="1BA606AF" w:rsidR="00BC6D46" w:rsidRDefault="00F84F50">
      <w:pPr>
        <w:pStyle w:val="Heading2"/>
      </w:pPr>
      <w:bookmarkStart w:id="57" w:name="methods-references"/>
      <w:bookmarkEnd w:id="56"/>
      <w:r>
        <w:t>Methods References</w:t>
      </w:r>
    </w:p>
    <w:p w14:paraId="4B5B32E0" w14:textId="77777777" w:rsidR="001D41A5" w:rsidRPr="001D41A5" w:rsidRDefault="001D41A5" w:rsidP="001D41A5">
      <w:pPr>
        <w:pStyle w:val="BodyText"/>
      </w:pPr>
    </w:p>
    <w:p w14:paraId="50C2D1C0" w14:textId="77777777" w:rsidR="001D41A5" w:rsidRDefault="001D41A5" w:rsidP="001D41A5">
      <w:pPr>
        <w:pStyle w:val="Bibliography"/>
      </w:pPr>
      <w:bookmarkStart w:id="58" w:name="refs"/>
      <w:bookmarkStart w:id="59" w:name="ref-bourg_initial_2013"/>
      <w:r>
        <w:lastRenderedPageBreak/>
        <w:t xml:space="preserve">51. </w:t>
      </w:r>
      <w:r>
        <w:tab/>
        <w:t xml:space="preserve">Bourg, N. A., McShea, W. J., Thompson, J. R., McGarvey, J. C. &amp; Shen, X. Initial census, woody seedling, seed rain, and stand structure data for the SCBI SIGEO Large Forest Dynamics Plot: </w:t>
      </w:r>
      <w:r>
        <w:rPr>
          <w:i/>
          <w:iCs/>
        </w:rPr>
        <w:t>Ecological Archives</w:t>
      </w:r>
      <w:r>
        <w:t xml:space="preserve"> E094-195. </w:t>
      </w:r>
      <w:r>
        <w:rPr>
          <w:i/>
          <w:iCs/>
        </w:rPr>
        <w:t>Ecology</w:t>
      </w:r>
      <w:r>
        <w:t xml:space="preserve"> </w:t>
      </w:r>
      <w:r>
        <w:rPr>
          <w:b/>
          <w:bCs/>
        </w:rPr>
        <w:t>94</w:t>
      </w:r>
      <w:r>
        <w:t>, 2111–2112 (2013).</w:t>
      </w:r>
    </w:p>
    <w:p w14:paraId="5CF5A16B" w14:textId="77777777" w:rsidR="001D41A5" w:rsidRDefault="001D41A5" w:rsidP="001D41A5">
      <w:pPr>
        <w:pStyle w:val="Bibliography"/>
      </w:pPr>
      <w:bookmarkStart w:id="60" w:name="ref-anderson-teixeira_ctfsforestgeo_2015"/>
      <w:bookmarkEnd w:id="59"/>
      <w:r>
        <w:t xml:space="preserve">52. </w:t>
      </w:r>
      <w:r>
        <w:tab/>
        <w:t xml:space="preserve">Anderson-Teixeira, K. J. </w:t>
      </w:r>
      <w:r>
        <w:rPr>
          <w:i/>
          <w:iCs/>
        </w:rPr>
        <w:t>et al.</w:t>
      </w:r>
      <w:r>
        <w:t xml:space="preserve"> CTFS-</w:t>
      </w:r>
      <w:proofErr w:type="gramStart"/>
      <w:r>
        <w:t>ForestGEO :</w:t>
      </w:r>
      <w:proofErr w:type="gramEnd"/>
      <w:r>
        <w:t xml:space="preserve"> A worldwide network monitoring forests in an era of global change. </w:t>
      </w:r>
      <w:r>
        <w:rPr>
          <w:i/>
          <w:iCs/>
        </w:rPr>
        <w:t>Global Change Biology</w:t>
      </w:r>
      <w:r>
        <w:t xml:space="preserve"> </w:t>
      </w:r>
      <w:r>
        <w:rPr>
          <w:b/>
          <w:bCs/>
        </w:rPr>
        <w:t>21</w:t>
      </w:r>
      <w:r>
        <w:t>, 528–549 (2015).</w:t>
      </w:r>
    </w:p>
    <w:p w14:paraId="563E6A93" w14:textId="77777777" w:rsidR="001D41A5" w:rsidRDefault="001D41A5" w:rsidP="001D41A5">
      <w:pPr>
        <w:pStyle w:val="Bibliography"/>
      </w:pPr>
      <w:bookmarkStart w:id="61" w:name="ref-davies_forestgeo_2021"/>
      <w:bookmarkEnd w:id="60"/>
      <w:r>
        <w:t xml:space="preserve">53. </w:t>
      </w:r>
      <w:r>
        <w:tab/>
        <w:t xml:space="preserve">Davies, S. J. </w:t>
      </w:r>
      <w:r>
        <w:rPr>
          <w:i/>
          <w:iCs/>
        </w:rPr>
        <w:t>et al.</w:t>
      </w:r>
      <w:r>
        <w:t xml:space="preserve"> ForestGEO: </w:t>
      </w:r>
      <w:proofErr w:type="gramStart"/>
      <w:r>
        <w:t>Understanding forest</w:t>
      </w:r>
      <w:proofErr w:type="gramEnd"/>
      <w:r>
        <w:t xml:space="preserve"> diversity and dynamics through a global observatory network. </w:t>
      </w:r>
      <w:r>
        <w:rPr>
          <w:i/>
          <w:iCs/>
        </w:rPr>
        <w:t>Biological Conservation</w:t>
      </w:r>
      <w:r>
        <w:t xml:space="preserve"> </w:t>
      </w:r>
      <w:r>
        <w:rPr>
          <w:b/>
          <w:bCs/>
        </w:rPr>
        <w:t>253</w:t>
      </w:r>
      <w:r>
        <w:t>, 108907 (2021).</w:t>
      </w:r>
    </w:p>
    <w:p w14:paraId="338B680A" w14:textId="77777777" w:rsidR="001D41A5" w:rsidRDefault="001D41A5" w:rsidP="001D41A5">
      <w:pPr>
        <w:pStyle w:val="Bibliography"/>
      </w:pPr>
      <w:bookmarkStart w:id="62" w:name="ref-harris_version_2020"/>
      <w:bookmarkEnd w:id="61"/>
      <w:r>
        <w:t xml:space="preserve">54. </w:t>
      </w:r>
      <w:r>
        <w:tab/>
        <w:t xml:space="preserve">Harris, I., Osborn, T. J., Jones, P. &amp; Lister, D. Version 4 of the CRU TS monthly high-resolution gridded multivariate climate dataset. </w:t>
      </w:r>
      <w:r>
        <w:rPr>
          <w:i/>
          <w:iCs/>
        </w:rPr>
        <w:t>Scientific Data</w:t>
      </w:r>
      <w:r>
        <w:t xml:space="preserve"> </w:t>
      </w:r>
      <w:r>
        <w:rPr>
          <w:b/>
          <w:bCs/>
        </w:rPr>
        <w:t>7</w:t>
      </w:r>
      <w:r>
        <w:t>, (2020).</w:t>
      </w:r>
    </w:p>
    <w:p w14:paraId="06230AEC" w14:textId="77777777" w:rsidR="001D41A5" w:rsidRDefault="001D41A5" w:rsidP="001D41A5">
      <w:pPr>
        <w:pStyle w:val="Bibliography"/>
      </w:pPr>
      <w:bookmarkStart w:id="63" w:name="ref-vicente-serrano_multiscalar_2010"/>
      <w:bookmarkEnd w:id="62"/>
      <w:r>
        <w:t xml:space="preserve">55. </w:t>
      </w:r>
      <w:r>
        <w:tab/>
        <w:t xml:space="preserve">Vicente-Serrano, S. M., Beguería, S. &amp; López-Moreno, J. I. A Multiscalar Drought Index Sensitive to Global Warming: The Standardized Precipitation Evapotranspiration Index. </w:t>
      </w:r>
      <w:r>
        <w:rPr>
          <w:i/>
          <w:iCs/>
        </w:rPr>
        <w:t>Journal of Climate</w:t>
      </w:r>
      <w:r>
        <w:t xml:space="preserve"> </w:t>
      </w:r>
      <w:r>
        <w:rPr>
          <w:b/>
          <w:bCs/>
        </w:rPr>
        <w:t>23</w:t>
      </w:r>
      <w:r>
        <w:t>, 1696–1718 (2010).</w:t>
      </w:r>
    </w:p>
    <w:p w14:paraId="0966B78F" w14:textId="77777777" w:rsidR="001D41A5" w:rsidRDefault="001D41A5" w:rsidP="001D41A5">
      <w:pPr>
        <w:pStyle w:val="Bibliography"/>
      </w:pPr>
      <w:bookmarkStart w:id="64" w:name="ref-herrmann_tree_2016"/>
      <w:bookmarkEnd w:id="63"/>
      <w:r>
        <w:t xml:space="preserve">56. </w:t>
      </w:r>
      <w:r>
        <w:tab/>
        <w:t xml:space="preserve">Herrmann, V. </w:t>
      </w:r>
      <w:r>
        <w:rPr>
          <w:i/>
          <w:iCs/>
        </w:rPr>
        <w:t>et al.</w:t>
      </w:r>
      <w:r>
        <w:t xml:space="preserve"> Tree Circumference Dynamics in Four Forests Characterized Using Automated Dendrometer Bands. </w:t>
      </w:r>
      <w:r>
        <w:rPr>
          <w:i/>
          <w:iCs/>
        </w:rPr>
        <w:t>PloS one</w:t>
      </w:r>
      <w:r>
        <w:t xml:space="preserve"> </w:t>
      </w:r>
      <w:r>
        <w:rPr>
          <w:b/>
          <w:bCs/>
        </w:rPr>
        <w:t>11</w:t>
      </w:r>
      <w:r>
        <w:t>, e0169020 (2016).</w:t>
      </w:r>
    </w:p>
    <w:p w14:paraId="449CA8CA" w14:textId="77777777" w:rsidR="001D41A5" w:rsidRDefault="001D41A5" w:rsidP="001D41A5">
      <w:pPr>
        <w:pStyle w:val="Bibliography"/>
      </w:pPr>
      <w:bookmarkStart w:id="65" w:name="ref-friedl_mcd12q2_2019"/>
      <w:bookmarkEnd w:id="64"/>
      <w:r>
        <w:t xml:space="preserve">57. </w:t>
      </w:r>
      <w:r>
        <w:tab/>
        <w:t>Friedl, M., Gray, J. &amp; Sulla-Menashe, D. MCD12Q2 MODIS/Terra+Aqua Land Cover Dynamics Yearly L3 Global 500m SIN Grid V006. (2019) doi:</w:t>
      </w:r>
      <w:hyperlink r:id="rId14">
        <w:r>
          <w:rPr>
            <w:rStyle w:val="Hyperlink"/>
          </w:rPr>
          <w:t>10.5067/MODIS/MCD12Q2.006</w:t>
        </w:r>
      </w:hyperlink>
      <w:r>
        <w:t>.</w:t>
      </w:r>
    </w:p>
    <w:p w14:paraId="49041DEE" w14:textId="77777777" w:rsidR="001D41A5" w:rsidRDefault="001D41A5" w:rsidP="001D41A5">
      <w:pPr>
        <w:pStyle w:val="Bibliography"/>
      </w:pPr>
      <w:bookmarkStart w:id="66" w:name="ref-anderson-teixeira_forestgeo_2020"/>
      <w:bookmarkEnd w:id="65"/>
      <w:r>
        <w:t xml:space="preserve">58. </w:t>
      </w:r>
      <w:r>
        <w:tab/>
        <w:t xml:space="preserve">Anderson-Teixeira, K. </w:t>
      </w:r>
      <w:r>
        <w:rPr>
          <w:i/>
          <w:iCs/>
        </w:rPr>
        <w:t>et al.</w:t>
      </w:r>
      <w:r>
        <w:t xml:space="preserve"> Forestgeo/Climate: Initial release. (2020) doi:</w:t>
      </w:r>
      <w:hyperlink r:id="rId15">
        <w:r>
          <w:rPr>
            <w:rStyle w:val="Hyperlink"/>
          </w:rPr>
          <w:t>10.5281/ZENODO.4041609</w:t>
        </w:r>
      </w:hyperlink>
      <w:r>
        <w:t>.</w:t>
      </w:r>
    </w:p>
    <w:p w14:paraId="3DFD176A" w14:textId="77777777" w:rsidR="001D41A5" w:rsidRDefault="001D41A5" w:rsidP="001D41A5">
      <w:pPr>
        <w:pStyle w:val="Bibliography"/>
      </w:pPr>
      <w:bookmarkStart w:id="67" w:name="ref-benestad_empiricalstatistical_2008"/>
      <w:bookmarkEnd w:id="66"/>
      <w:r>
        <w:t xml:space="preserve">59. </w:t>
      </w:r>
      <w:r>
        <w:tab/>
        <w:t xml:space="preserve">Benestad, R. E., Hanssen-Bauer, I. &amp; Chen, D. </w:t>
      </w:r>
      <w:r>
        <w:rPr>
          <w:i/>
          <w:iCs/>
        </w:rPr>
        <w:t>Empirical-statistical downscaling</w:t>
      </w:r>
      <w:r>
        <w:t>. (World Scientific Pub Co Inc, 2008).</w:t>
      </w:r>
    </w:p>
    <w:p w14:paraId="31782330" w14:textId="77777777" w:rsidR="001D41A5" w:rsidRDefault="001D41A5" w:rsidP="001D41A5">
      <w:pPr>
        <w:pStyle w:val="Bibliography"/>
      </w:pPr>
      <w:bookmarkStart w:id="68" w:name="ref-boose_shaler_2021"/>
      <w:bookmarkEnd w:id="67"/>
      <w:r>
        <w:t xml:space="preserve">60. </w:t>
      </w:r>
      <w:r>
        <w:tab/>
        <w:t>Boose, E. &amp; Gould, E. Shaler Meteorological Station at Harvard Forest 1964-2002. (2021) doi:</w:t>
      </w:r>
      <w:hyperlink r:id="rId16">
        <w:r>
          <w:rPr>
            <w:rStyle w:val="Hyperlink"/>
          </w:rPr>
          <w:t>10.6073/PASTA/213335F5DAA17222A738C105B9FA60C4</w:t>
        </w:r>
      </w:hyperlink>
      <w:r>
        <w:t>.</w:t>
      </w:r>
    </w:p>
    <w:p w14:paraId="68EAAE91" w14:textId="77777777" w:rsidR="001D41A5" w:rsidRDefault="001D41A5" w:rsidP="001D41A5">
      <w:pPr>
        <w:pStyle w:val="Bibliography"/>
      </w:pPr>
      <w:bookmarkStart w:id="69" w:name="ref-boose_fisher_2021"/>
      <w:bookmarkEnd w:id="68"/>
      <w:r>
        <w:t xml:space="preserve">61. </w:t>
      </w:r>
      <w:r>
        <w:tab/>
        <w:t>Boose, E. Fisher Meteorological Station at Harvard Forest since 2001. (2021) doi:</w:t>
      </w:r>
      <w:hyperlink r:id="rId17">
        <w:r>
          <w:rPr>
            <w:rStyle w:val="Hyperlink"/>
          </w:rPr>
          <w:t>10.6073/PASTA/69E92642B512897032446CFE795CFFB8</w:t>
        </w:r>
      </w:hyperlink>
      <w:r>
        <w:t>.</w:t>
      </w:r>
    </w:p>
    <w:p w14:paraId="0E37F17B" w14:textId="77777777" w:rsidR="001D41A5" w:rsidRDefault="001D41A5" w:rsidP="001D41A5">
      <w:pPr>
        <w:pStyle w:val="Bibliography"/>
      </w:pPr>
      <w:bookmarkStart w:id="70" w:name="ref-begueria_standardized_2014"/>
      <w:bookmarkEnd w:id="69"/>
      <w:r>
        <w:t xml:space="preserve">62. </w:t>
      </w:r>
      <w:r>
        <w:tab/>
        <w:t xml:space="preserve">Beguería, S., Vicente-Serrano, S. M., Reig, F. &amp; Latorre, B. Standardized precipitation evapotranspiration index (SPEI) revisited: Parameter fitting, evapotranspiration models, tools, </w:t>
      </w:r>
      <w:proofErr w:type="gramStart"/>
      <w:r>
        <w:t>datasets</w:t>
      </w:r>
      <w:proofErr w:type="gramEnd"/>
      <w:r>
        <w:t xml:space="preserve"> and drought monitoring. </w:t>
      </w:r>
      <w:r>
        <w:rPr>
          <w:i/>
          <w:iCs/>
        </w:rPr>
        <w:t>International Journal of Climatology</w:t>
      </w:r>
      <w:r>
        <w:t xml:space="preserve"> </w:t>
      </w:r>
      <w:r>
        <w:rPr>
          <w:b/>
          <w:bCs/>
        </w:rPr>
        <w:t>34</w:t>
      </w:r>
      <w:r>
        <w:t>, 3001–3023 (2014).</w:t>
      </w:r>
    </w:p>
    <w:p w14:paraId="1337B861" w14:textId="77777777" w:rsidR="001D41A5" w:rsidRDefault="001D41A5" w:rsidP="001D41A5">
      <w:pPr>
        <w:pStyle w:val="Bibliography"/>
      </w:pPr>
      <w:bookmarkStart w:id="71" w:name="ref-vicente-serrano_multiscalar_2010a"/>
      <w:bookmarkEnd w:id="70"/>
      <w:r>
        <w:t xml:space="preserve">63. </w:t>
      </w:r>
      <w:r>
        <w:tab/>
        <w:t xml:space="preserve">Vicente-Serrano, S. M., Beguería, S. &amp; López-Moreno, J. I. A Multiscalar Drought Index Sensitive to Global Warming: The Standardized Precipitation Evapotranspiration Index. </w:t>
      </w:r>
      <w:r>
        <w:rPr>
          <w:i/>
          <w:iCs/>
        </w:rPr>
        <w:t>Journal of Climate</w:t>
      </w:r>
      <w:r>
        <w:t xml:space="preserve"> </w:t>
      </w:r>
      <w:r>
        <w:rPr>
          <w:b/>
          <w:bCs/>
        </w:rPr>
        <w:t>23</w:t>
      </w:r>
      <w:r>
        <w:t>, 1696–1718 (2010).</w:t>
      </w:r>
    </w:p>
    <w:p w14:paraId="5BA919A8" w14:textId="77777777" w:rsidR="001D41A5" w:rsidRDefault="001D41A5" w:rsidP="001D41A5">
      <w:pPr>
        <w:pStyle w:val="Bibliography"/>
      </w:pPr>
      <w:bookmarkStart w:id="72" w:name="ref-vandepol_identifying_2016"/>
      <w:bookmarkEnd w:id="71"/>
      <w:r>
        <w:t xml:space="preserve">64. </w:t>
      </w:r>
      <w:r>
        <w:tab/>
        <w:t xml:space="preserve">van de Pol, M. </w:t>
      </w:r>
      <w:r>
        <w:rPr>
          <w:i/>
          <w:iCs/>
        </w:rPr>
        <w:t>et al.</w:t>
      </w:r>
      <w:r>
        <w:t xml:space="preserve"> Identifying the best climatic predictors in ecology and evolution. </w:t>
      </w:r>
      <w:r>
        <w:rPr>
          <w:i/>
          <w:iCs/>
        </w:rPr>
        <w:t>Methods in Ecology and Evolution</w:t>
      </w:r>
      <w:r>
        <w:t xml:space="preserve"> </w:t>
      </w:r>
      <w:r>
        <w:rPr>
          <w:b/>
          <w:bCs/>
        </w:rPr>
        <w:t>7</w:t>
      </w:r>
      <w:r>
        <w:t>, 1246–1257 (2016).</w:t>
      </w:r>
    </w:p>
    <w:p w14:paraId="014A399F" w14:textId="77777777" w:rsidR="001D41A5" w:rsidRDefault="001D41A5" w:rsidP="001D41A5">
      <w:pPr>
        <w:pStyle w:val="Bibliography"/>
      </w:pPr>
      <w:bookmarkStart w:id="73" w:name="ref-gabry_rstanarm_2020"/>
      <w:bookmarkEnd w:id="72"/>
      <w:r>
        <w:t xml:space="preserve">65. </w:t>
      </w:r>
      <w:r>
        <w:tab/>
        <w:t xml:space="preserve">Gabry, J. </w:t>
      </w:r>
      <w:r>
        <w:rPr>
          <w:i/>
          <w:iCs/>
        </w:rPr>
        <w:t>et al.</w:t>
      </w:r>
      <w:r>
        <w:t xml:space="preserve"> Rstanarm: Bayesian Applied Regression Modeling via Stan. (2020).</w:t>
      </w:r>
    </w:p>
    <w:p w14:paraId="17913858" w14:textId="77777777" w:rsidR="001D41A5" w:rsidRDefault="001D41A5" w:rsidP="001D41A5">
      <w:pPr>
        <w:pStyle w:val="Bibliography"/>
      </w:pPr>
      <w:bookmarkStart w:id="74" w:name="ref-standevelopmentteam_stan_2019"/>
      <w:bookmarkEnd w:id="73"/>
      <w:r>
        <w:lastRenderedPageBreak/>
        <w:t xml:space="preserve">66. </w:t>
      </w:r>
      <w:r>
        <w:tab/>
        <w:t>Stan Development Team. Stan Modeling Language Users Guide and Reference Manual, 2.28. (2019).</w:t>
      </w:r>
    </w:p>
    <w:p w14:paraId="392B488F" w14:textId="77777777" w:rsidR="001D41A5" w:rsidRDefault="001D41A5" w:rsidP="001D41A5">
      <w:pPr>
        <w:pStyle w:val="Bibliography"/>
      </w:pPr>
      <w:bookmarkStart w:id="75" w:name="ref-stokes_introduction_1968"/>
      <w:bookmarkEnd w:id="74"/>
      <w:r>
        <w:t xml:space="preserve">67. </w:t>
      </w:r>
      <w:r>
        <w:tab/>
        <w:t xml:space="preserve">Stokes, M. A. &amp; Smiley, T. L. </w:t>
      </w:r>
      <w:r>
        <w:rPr>
          <w:i/>
          <w:iCs/>
        </w:rPr>
        <w:t>An Introduction to Tree-ring Dating</w:t>
      </w:r>
      <w:r>
        <w:t>. (University of Arizona Press, 1968).</w:t>
      </w:r>
    </w:p>
    <w:p w14:paraId="4C8B6AF4" w14:textId="77777777" w:rsidR="001D41A5" w:rsidRDefault="001D41A5" w:rsidP="001D41A5">
      <w:pPr>
        <w:pStyle w:val="Bibliography"/>
      </w:pPr>
      <w:bookmarkStart w:id="76" w:name="ref-speer_fundamentals_2010"/>
      <w:bookmarkEnd w:id="75"/>
      <w:r>
        <w:t xml:space="preserve">68. </w:t>
      </w:r>
      <w:r>
        <w:tab/>
        <w:t xml:space="preserve">Speer, J. H. </w:t>
      </w:r>
      <w:r>
        <w:rPr>
          <w:i/>
          <w:iCs/>
        </w:rPr>
        <w:t>Fundamentals of tree-ring research</w:t>
      </w:r>
      <w:r>
        <w:t>. (Univ. of Arizona Press, 2010).</w:t>
      </w:r>
    </w:p>
    <w:p w14:paraId="1B930270" w14:textId="77777777" w:rsidR="001D41A5" w:rsidRDefault="001D41A5" w:rsidP="001D41A5">
      <w:pPr>
        <w:pStyle w:val="Bibliography"/>
      </w:pPr>
      <w:bookmarkStart w:id="77" w:name="ref-alexander_potential_2019"/>
      <w:bookmarkEnd w:id="76"/>
      <w:r>
        <w:t xml:space="preserve">69. </w:t>
      </w:r>
      <w:r>
        <w:tab/>
        <w:t xml:space="preserve">Alexander, M. R. </w:t>
      </w:r>
      <w:r>
        <w:rPr>
          <w:i/>
          <w:iCs/>
        </w:rPr>
        <w:t>et al.</w:t>
      </w:r>
      <w:r>
        <w:t xml:space="preserve"> The potential to strengthen temperature reconstructions in ecoregions with limited tree line using a multispecies approach. </w:t>
      </w:r>
      <w:r>
        <w:rPr>
          <w:i/>
          <w:iCs/>
        </w:rPr>
        <w:t>Quaternary Research</w:t>
      </w:r>
      <w:r>
        <w:t xml:space="preserve"> </w:t>
      </w:r>
      <w:r>
        <w:rPr>
          <w:b/>
          <w:bCs/>
        </w:rPr>
        <w:t>92</w:t>
      </w:r>
      <w:r>
        <w:t>, 583–597 (2019).</w:t>
      </w:r>
    </w:p>
    <w:p w14:paraId="71D13676" w14:textId="77777777" w:rsidR="001D41A5" w:rsidRDefault="001D41A5" w:rsidP="001D41A5">
      <w:pPr>
        <w:pStyle w:val="Bibliography"/>
      </w:pPr>
      <w:bookmarkStart w:id="78" w:name="ref-dye_comparing_2016"/>
      <w:bookmarkEnd w:id="77"/>
      <w:r>
        <w:t xml:space="preserve">70. </w:t>
      </w:r>
      <w:r>
        <w:tab/>
        <w:t xml:space="preserve">Dye, A. </w:t>
      </w:r>
      <w:r>
        <w:rPr>
          <w:i/>
          <w:iCs/>
        </w:rPr>
        <w:t>et al.</w:t>
      </w:r>
      <w:r>
        <w:t xml:space="preserve"> Comparing tree-ring and permanent plot estimates of aboveground net primary production in three eastern U.S. forests. </w:t>
      </w:r>
      <w:r>
        <w:rPr>
          <w:i/>
          <w:iCs/>
        </w:rPr>
        <w:t>Ecosphere</w:t>
      </w:r>
      <w:r>
        <w:t xml:space="preserve"> </w:t>
      </w:r>
      <w:r>
        <w:rPr>
          <w:b/>
          <w:bCs/>
        </w:rPr>
        <w:t>7</w:t>
      </w:r>
      <w:r>
        <w:t>, e01454 (2016).</w:t>
      </w:r>
    </w:p>
    <w:p w14:paraId="02233A6B" w14:textId="77777777" w:rsidR="001D41A5" w:rsidRDefault="001D41A5" w:rsidP="001D41A5">
      <w:pPr>
        <w:pStyle w:val="Bibliography"/>
      </w:pPr>
      <w:bookmarkStart w:id="79" w:name="ref-pederson_climatic_2005"/>
      <w:bookmarkEnd w:id="78"/>
      <w:r>
        <w:t xml:space="preserve">71. </w:t>
      </w:r>
      <w:r>
        <w:tab/>
        <w:t xml:space="preserve">Pederson, N. Climatic </w:t>
      </w:r>
      <w:proofErr w:type="gramStart"/>
      <w:r>
        <w:t>sensitivity</w:t>
      </w:r>
      <w:proofErr w:type="gramEnd"/>
      <w:r>
        <w:t xml:space="preserve"> and growth of southern temperate trees in the eastern United States: Implications for the carbon cycle - ProQuest. (Columbia University, 2005).</w:t>
      </w:r>
    </w:p>
    <w:p w14:paraId="1C84BD91" w14:textId="77777777" w:rsidR="001D41A5" w:rsidRDefault="001D41A5" w:rsidP="001D41A5">
      <w:pPr>
        <w:pStyle w:val="Bibliography"/>
      </w:pPr>
      <w:bookmarkStart w:id="80" w:name="ref-maxwell_sampling_2020"/>
      <w:bookmarkEnd w:id="79"/>
      <w:r>
        <w:t xml:space="preserve">72. </w:t>
      </w:r>
      <w:r>
        <w:tab/>
        <w:t xml:space="preserve">Maxwell, J. T. </w:t>
      </w:r>
      <w:r>
        <w:rPr>
          <w:i/>
          <w:iCs/>
        </w:rPr>
        <w:t>et al.</w:t>
      </w:r>
      <w:r>
        <w:t xml:space="preserve"> Sampling density and date along with species selection influence spatial representation of tree-ring reconstructions. </w:t>
      </w:r>
      <w:r>
        <w:rPr>
          <w:i/>
          <w:iCs/>
        </w:rPr>
        <w:t>Climate of the Past</w:t>
      </w:r>
      <w:r>
        <w:t xml:space="preserve"> </w:t>
      </w:r>
      <w:r>
        <w:rPr>
          <w:b/>
          <w:bCs/>
        </w:rPr>
        <w:t>16</w:t>
      </w:r>
      <w:r>
        <w:t>, 1901–1916 (2020).</w:t>
      </w:r>
    </w:p>
    <w:p w14:paraId="2B691AFA" w14:textId="77777777" w:rsidR="001D41A5" w:rsidRDefault="001D41A5" w:rsidP="001D41A5">
      <w:pPr>
        <w:pStyle w:val="Bibliography"/>
      </w:pPr>
      <w:bookmarkStart w:id="81" w:name="ref-cook_methods_1990"/>
      <w:bookmarkEnd w:id="80"/>
      <w:r>
        <w:t xml:space="preserve">73. </w:t>
      </w:r>
      <w:r>
        <w:tab/>
        <w:t xml:space="preserve">Cook, E. R. &amp; Kairiukstis, L. A. </w:t>
      </w:r>
      <w:r>
        <w:rPr>
          <w:i/>
          <w:iCs/>
        </w:rPr>
        <w:t>Methods of Dendrochronology: Applications in the Environmental Sciences</w:t>
      </w:r>
      <w:r>
        <w:t>. (Springer Netherlands, 1990). doi:</w:t>
      </w:r>
      <w:hyperlink r:id="rId18">
        <w:r>
          <w:rPr>
            <w:rStyle w:val="Hyperlink"/>
          </w:rPr>
          <w:t>10.1007/978-94-015-7879-0</w:t>
        </w:r>
      </w:hyperlink>
      <w:r>
        <w:t>.</w:t>
      </w:r>
    </w:p>
    <w:p w14:paraId="7A3CB53E" w14:textId="77777777" w:rsidR="001D41A5" w:rsidRDefault="001D41A5" w:rsidP="001D41A5">
      <w:pPr>
        <w:pStyle w:val="Bibliography"/>
      </w:pPr>
      <w:bookmarkStart w:id="82" w:name="ref-cook_time_1985"/>
      <w:bookmarkEnd w:id="81"/>
      <w:r>
        <w:t xml:space="preserve">74. </w:t>
      </w:r>
      <w:r>
        <w:tab/>
        <w:t>Cook, E. R. A Time Series Analysis Approach to Tree Ring Standardization. (University of Arizona, 1985).</w:t>
      </w:r>
    </w:p>
    <w:p w14:paraId="06021638" w14:textId="77777777" w:rsidR="001D41A5" w:rsidRDefault="001D41A5" w:rsidP="001D41A5">
      <w:pPr>
        <w:pStyle w:val="Bibliography"/>
      </w:pPr>
      <w:bookmarkStart w:id="83" w:name="ref-cook_calculating_1997"/>
      <w:bookmarkEnd w:id="82"/>
      <w:r>
        <w:t xml:space="preserve">75. </w:t>
      </w:r>
      <w:r>
        <w:tab/>
        <w:t xml:space="preserve">Cook, E. R. &amp; Peters, K. Calculating unbiased tree-ring indices for the study of climatic and environmental change. </w:t>
      </w:r>
      <w:r>
        <w:rPr>
          <w:i/>
          <w:iCs/>
        </w:rPr>
        <w:t>The Holocene</w:t>
      </w:r>
      <w:r>
        <w:t xml:space="preserve"> </w:t>
      </w:r>
      <w:r>
        <w:rPr>
          <w:b/>
          <w:bCs/>
        </w:rPr>
        <w:t>7</w:t>
      </w:r>
      <w:r>
        <w:t>, 361–370 (1997).</w:t>
      </w:r>
    </w:p>
    <w:p w14:paraId="191B1E37" w14:textId="77777777" w:rsidR="001D41A5" w:rsidRDefault="001D41A5" w:rsidP="001D41A5">
      <w:pPr>
        <w:pStyle w:val="Bibliography"/>
      </w:pPr>
      <w:bookmarkStart w:id="84" w:name="ref-jones_estimating_1997"/>
      <w:bookmarkEnd w:id="83"/>
      <w:r>
        <w:t xml:space="preserve">76. </w:t>
      </w:r>
      <w:r>
        <w:tab/>
        <w:t xml:space="preserve">Jones, P. D., Osborn, T. J. &amp; Briffa, K. R. Estimating sampling errors in large-scale temperature averages. </w:t>
      </w:r>
      <w:r>
        <w:rPr>
          <w:i/>
          <w:iCs/>
        </w:rPr>
        <w:t>Journal of Climate</w:t>
      </w:r>
      <w:r>
        <w:t xml:space="preserve"> </w:t>
      </w:r>
      <w:r>
        <w:rPr>
          <w:b/>
          <w:bCs/>
        </w:rPr>
        <w:t>10</w:t>
      </w:r>
      <w:r>
        <w:t>, 2548–2568 (1997).</w:t>
      </w:r>
    </w:p>
    <w:p w14:paraId="4062DC7A" w14:textId="77777777" w:rsidR="001D41A5" w:rsidRDefault="001D41A5" w:rsidP="001D41A5">
      <w:pPr>
        <w:pStyle w:val="Bibliography"/>
      </w:pPr>
      <w:bookmarkStart w:id="85" w:name="ref-rcoreteam_language_2020"/>
      <w:bookmarkEnd w:id="84"/>
      <w:r>
        <w:t xml:space="preserve">77. </w:t>
      </w:r>
      <w:r>
        <w:tab/>
        <w:t xml:space="preserve">R Core Team. </w:t>
      </w:r>
      <w:proofErr w:type="gramStart"/>
      <w:r>
        <w:t>R :</w:t>
      </w:r>
      <w:proofErr w:type="gramEnd"/>
      <w:r>
        <w:t xml:space="preserve"> A language and environment for statistical computing. R Foundation for Statistical Computing, Vienna, Austria. URL http://www.R-project.org/. (2020).</w:t>
      </w:r>
    </w:p>
    <w:p w14:paraId="2BB10C83" w14:textId="77777777" w:rsidR="001D41A5" w:rsidRDefault="001D41A5" w:rsidP="001D41A5">
      <w:pPr>
        <w:pStyle w:val="Bibliography"/>
      </w:pPr>
      <w:bookmarkStart w:id="86" w:name="ref-bunn_dendrochronology_2008"/>
      <w:bookmarkEnd w:id="85"/>
      <w:r>
        <w:t xml:space="preserve">78. </w:t>
      </w:r>
      <w:r>
        <w:tab/>
        <w:t xml:space="preserve">Bunn, A. G. A dendrochronology program library in R (dplR). </w:t>
      </w:r>
      <w:r>
        <w:rPr>
          <w:i/>
          <w:iCs/>
        </w:rPr>
        <w:t>Dendrochronologia</w:t>
      </w:r>
      <w:r>
        <w:t xml:space="preserve"> </w:t>
      </w:r>
      <w:r>
        <w:rPr>
          <w:b/>
          <w:bCs/>
        </w:rPr>
        <w:t>26</w:t>
      </w:r>
      <w:r>
        <w:t>, 115–124 (2008).</w:t>
      </w:r>
    </w:p>
    <w:p w14:paraId="4239CF69" w14:textId="77777777" w:rsidR="001D41A5" w:rsidRDefault="001D41A5" w:rsidP="001D41A5">
      <w:pPr>
        <w:pStyle w:val="Bibliography"/>
      </w:pPr>
      <w:bookmarkStart w:id="87" w:name="ref-zang_dendroclimatic_2013"/>
      <w:bookmarkEnd w:id="86"/>
      <w:r>
        <w:t xml:space="preserve">79. </w:t>
      </w:r>
      <w:r>
        <w:tab/>
        <w:t xml:space="preserve">Zang, C. &amp; Biondi, F. Dendroclimatic calibration in R: The bootRes package for response and correlation function analysis. </w:t>
      </w:r>
      <w:r>
        <w:rPr>
          <w:i/>
          <w:iCs/>
        </w:rPr>
        <w:t>Dendrochronologia</w:t>
      </w:r>
      <w:r>
        <w:t xml:space="preserve"> </w:t>
      </w:r>
      <w:r>
        <w:rPr>
          <w:b/>
          <w:bCs/>
        </w:rPr>
        <w:t>31</w:t>
      </w:r>
      <w:r>
        <w:t>, 68–74 (2013).</w:t>
      </w:r>
    </w:p>
    <w:bookmarkEnd w:id="58"/>
    <w:bookmarkEnd w:id="87"/>
    <w:p w14:paraId="4F26A478" w14:textId="77777777" w:rsidR="001D41A5" w:rsidRPr="001D41A5" w:rsidRDefault="001D41A5" w:rsidP="001D41A5">
      <w:pPr>
        <w:pStyle w:val="BodyText"/>
      </w:pPr>
    </w:p>
    <w:p w14:paraId="6AEB1227" w14:textId="77777777" w:rsidR="00BC6D46" w:rsidRDefault="00F84F50">
      <w:pPr>
        <w:pStyle w:val="Heading1"/>
      </w:pPr>
      <w:bookmarkStart w:id="88" w:name="acknowledgements"/>
      <w:bookmarkEnd w:id="54"/>
      <w:bookmarkEnd w:id="57"/>
      <w:r>
        <w:lastRenderedPageBreak/>
        <w:t>Acknowledgements</w:t>
      </w:r>
    </w:p>
    <w:p w14:paraId="57244BAA" w14:textId="77777777" w:rsidR="00BC6D46" w:rsidRDefault="00F84F50">
      <w:pPr>
        <w:pStyle w:val="FirstParagraph"/>
      </w:pPr>
      <w:r>
        <w:t>We gratefully acknowledge all researchers who assisted with data collection in the field and laboratory, particularly Tsun Fung Au, Joshua Bregy, James Dickens, Karen Heeter, Anna Hennage, Daniel King, James McGee, Benjamin Lockwood, Jennifer McGarvey, Vic</w:t>
      </w:r>
      <w:r>
        <w:t>toria Meakem, Josh Oliver, Jessica Shue, Karly Schmidt-Simard, Brandon Strange, Alyssa Terrell, Brynn Taylor, Michael Thornton, Senna Robeson, Matt Wenzel, and Luke Wylie. Thanks to David A. Orwig, members of the ForestGEO Ecosystems &amp; Climate Lab at SCBI,</w:t>
      </w:r>
      <w:r>
        <w:t xml:space="preserve"> and four anonymous reviewers for helpful feedback. The research was funded by ForestGEO (Smithsonian). Collection of tree-ring samples was funded by a USDA Agriculture and Food Research Initiative grant 2017-67013-26191 and from the Indiana University Vic</w:t>
      </w:r>
      <w:r>
        <w:t>e Provost for Research Faculty Research Program.</w:t>
      </w:r>
    </w:p>
    <w:p w14:paraId="2677AF5F" w14:textId="77777777" w:rsidR="00BC6D46" w:rsidRDefault="00F84F50">
      <w:pPr>
        <w:pStyle w:val="Heading1"/>
      </w:pPr>
      <w:bookmarkStart w:id="89" w:name="author-information"/>
      <w:bookmarkEnd w:id="88"/>
      <w:r>
        <w:t>Author Information</w:t>
      </w:r>
    </w:p>
    <w:p w14:paraId="588F9797" w14:textId="77777777" w:rsidR="00BC6D46" w:rsidRDefault="00F84F50">
      <w:pPr>
        <w:pStyle w:val="Heading2"/>
      </w:pPr>
      <w:bookmarkStart w:id="90" w:name="contributions"/>
      <w:r>
        <w:t>Contributions</w:t>
      </w:r>
    </w:p>
    <w:p w14:paraId="17B77205" w14:textId="77777777" w:rsidR="00BC6D46" w:rsidRDefault="00F84F50">
      <w:pPr>
        <w:pStyle w:val="FirstParagraph"/>
      </w:pPr>
      <w:r>
        <w:t>Cameron Dow and Kristina J. Anderson-Teixeira conceived the ideas and designed the study; Cameron Dow, Loïc D’Orangeville, Erika B. Gonzalez-Akre, Ryan Helcoski, Grant L. Har</w:t>
      </w:r>
      <w:r>
        <w:t>ley, Justin T. Maxwell, Ian R. McGregor, William McShea, Neil Pederson, Alan J. Tepley, and Kristina J. Anderson-Teixeira collected or oversaw collection of data; Cameron Dow, Albert Y. Kim, Valentine Herrmann, Justin T. Maxwell, Ian R. McGregor, Sean M. M</w:t>
      </w:r>
      <w:r>
        <w:t>cMahon analyzed the data or provided analytical tools; Cameron Dow and Kristina J. Anderson-Teixeira led the writing of the manuscript. All authors contributed critically to the drafts and gave final approval for publication.</w:t>
      </w:r>
    </w:p>
    <w:p w14:paraId="739DEE73" w14:textId="77777777" w:rsidR="00BC6D46" w:rsidRDefault="00F84F50">
      <w:pPr>
        <w:pStyle w:val="Heading2"/>
      </w:pPr>
      <w:bookmarkStart w:id="91" w:name="corresponding-author"/>
      <w:bookmarkEnd w:id="90"/>
      <w:r>
        <w:t>Corresponding Author</w:t>
      </w:r>
    </w:p>
    <w:p w14:paraId="0CD19A4E" w14:textId="77777777" w:rsidR="00BC6D46" w:rsidRDefault="00F84F50">
      <w:pPr>
        <w:pStyle w:val="FirstParagraph"/>
      </w:pPr>
      <w:r>
        <w:t xml:space="preserve">Correspondence to </w:t>
      </w:r>
      <w:hyperlink r:id="rId19">
        <w:r>
          <w:rPr>
            <w:rStyle w:val="Hyperlink"/>
          </w:rPr>
          <w:t>Kristina J. Anderson-Teixeira</w:t>
        </w:r>
      </w:hyperlink>
      <w:r>
        <w:t>.</w:t>
      </w:r>
    </w:p>
    <w:p w14:paraId="601964CC" w14:textId="77777777" w:rsidR="00BC6D46" w:rsidRDefault="00F84F50">
      <w:pPr>
        <w:pStyle w:val="Heading1"/>
      </w:pPr>
      <w:bookmarkStart w:id="92" w:name="ethics-declarations"/>
      <w:bookmarkEnd w:id="89"/>
      <w:bookmarkEnd w:id="91"/>
      <w:r>
        <w:t>Ethics declarations</w:t>
      </w:r>
    </w:p>
    <w:p w14:paraId="493CC45E" w14:textId="77777777" w:rsidR="00BC6D46" w:rsidRDefault="00F84F50">
      <w:pPr>
        <w:pStyle w:val="Heading2"/>
      </w:pPr>
      <w:bookmarkStart w:id="93" w:name="competing-interests"/>
      <w:r>
        <w:t>Competing interests</w:t>
      </w:r>
    </w:p>
    <w:p w14:paraId="3B463752" w14:textId="77777777" w:rsidR="00BC6D46" w:rsidRDefault="00F84F50">
      <w:pPr>
        <w:pStyle w:val="FirstParagraph"/>
      </w:pPr>
      <w:r>
        <w:t>The authors declare no competing interests.</w:t>
      </w:r>
    </w:p>
    <w:p w14:paraId="0FC51138" w14:textId="77777777" w:rsidR="00BC6D46" w:rsidRDefault="00F84F50">
      <w:pPr>
        <w:pStyle w:val="Heading1"/>
      </w:pPr>
      <w:bookmarkStart w:id="94" w:name="data-availability-statement"/>
      <w:bookmarkEnd w:id="92"/>
      <w:bookmarkEnd w:id="93"/>
      <w:r>
        <w:t>Data Availability Statement</w:t>
      </w:r>
    </w:p>
    <w:p w14:paraId="16324F50" w14:textId="77777777" w:rsidR="00BC6D46" w:rsidRDefault="00F84F50">
      <w:pPr>
        <w:pStyle w:val="FirstParagraph"/>
      </w:pPr>
      <w:r>
        <w:t>The datasets generated and analysed during the current stud</w:t>
      </w:r>
      <w:r>
        <w:t xml:space="preserve">y are available via GitHub in the </w:t>
      </w:r>
      <w:r>
        <w:rPr>
          <w:i/>
          <w:iCs/>
        </w:rPr>
        <w:t>growth_phenology</w:t>
      </w:r>
      <w:r>
        <w:t xml:space="preserve"> repository of the ForestGEO Ecosystems &amp; Climate Lab @ SCBI, (</w:t>
      </w:r>
      <w:hyperlink r:id="rId20">
        <w:r>
          <w:rPr>
            <w:rStyle w:val="Hyperlink"/>
          </w:rPr>
          <w:t>https://github.com/EcoClimLab/growth_phenology</w:t>
        </w:r>
      </w:hyperlink>
      <w:r>
        <w:t xml:space="preserve">) and archived in Zenodo (DOI </w:t>
      </w:r>
      <w:r>
        <w:rPr>
          <w:i/>
          <w:iCs/>
        </w:rPr>
        <w:t>[</w:t>
      </w:r>
      <w:r>
        <w:rPr>
          <w:i/>
          <w:iCs/>
        </w:rPr>
        <w:t>TBD]</w:t>
      </w:r>
      <w:r>
        <w:t xml:space="preserve">). Master versions of the dendrometer band data are available for SCBI via GitHub in the </w:t>
      </w:r>
      <w:r>
        <w:rPr>
          <w:i/>
          <w:iCs/>
        </w:rPr>
        <w:t>Dendrobands</w:t>
      </w:r>
      <w:r>
        <w:t xml:space="preserve"> repository of the Smithsonian Conservation Biology Institute ForestGEO plot (</w:t>
      </w:r>
      <w:hyperlink r:id="rId21">
        <w:r>
          <w:rPr>
            <w:rStyle w:val="Hyperlink"/>
          </w:rPr>
          <w:t>https://g</w:t>
        </w:r>
        <w:r>
          <w:rPr>
            <w:rStyle w:val="Hyperlink"/>
          </w:rPr>
          <w:t>ithub.com/SCBI-ForestGEO/Dendrobands</w:t>
        </w:r>
      </w:hyperlink>
      <w:r>
        <w:t xml:space="preserve">), which is archived in Zenodo (DOI </w:t>
      </w:r>
      <w:r>
        <w:lastRenderedPageBreak/>
        <w:t>10.5281/zenodo.5551143), and for Harvard Forest via the Harvard Forest Data Archive (</w:t>
      </w:r>
      <w:hyperlink r:id="rId22">
        <w:r>
          <w:rPr>
            <w:rStyle w:val="Hyperlink"/>
          </w:rPr>
          <w:t>https://harvardforest1.fas.harvard.edu/exist/apps/datasets/showData.html?id=HF149</w:t>
        </w:r>
      </w:hyperlink>
      <w:r>
        <w:t>). Weather data for SCBI were obtained from the ForestGEO Climate Data Portal v1.0 (</w:t>
      </w:r>
      <w:hyperlink r:id="rId23">
        <w:r>
          <w:rPr>
            <w:rStyle w:val="Hyperlink"/>
          </w:rPr>
          <w:t>https://github.com/forestgeo/Climate/tree/master/Climate_Data/Met_Stations/SCBI</w:t>
        </w:r>
      </w:hyperlink>
      <w:r>
        <w:t>), which is archived in Zenodo (DOI: 10.5281/zenodo.3958215), and the National Center for Environmental Information (NCEI) weather station located in Front Royal, Virg</w:t>
      </w:r>
      <w:r>
        <w:t>inia (</w:t>
      </w:r>
      <w:hyperlink r:id="rId24">
        <w:r>
          <w:rPr>
            <w:rStyle w:val="Hyperlink"/>
          </w:rPr>
          <w:t>https://www.ncdc.noaa.gov/cdo-web/datasets/GHCND/stations/GHCND:USC00443229/detail</w:t>
        </w:r>
      </w:hyperlink>
      <w:r>
        <w:t>). Weather data for Harvard Forest are available through the Harva</w:t>
      </w:r>
      <w:r>
        <w:t>rd Forest Data Archive (</w:t>
      </w:r>
      <w:hyperlink r:id="rId25">
        <w:r>
          <w:rPr>
            <w:rStyle w:val="Hyperlink"/>
          </w:rPr>
          <w:t>https://harvardforest1.fas.harvard.edu/exist/apps/datasets/showData.html?id=HF001</w:t>
        </w:r>
      </w:hyperlink>
      <w:r>
        <w:t xml:space="preserve"> AND </w:t>
      </w:r>
      <w:hyperlink r:id="rId26">
        <w:r>
          <w:rPr>
            <w:rStyle w:val="Hyperlink"/>
          </w:rPr>
          <w:t>https://harvardforest1.fas.harvard.edu/exist/apps/datasets/showData.html?id=HF000</w:t>
        </w:r>
      </w:hyperlink>
      <w:r>
        <w:t>). Climate data were obtained from CRU v.4.04 via the ForestGEO Climate Data Portal v1.0 (</w:t>
      </w:r>
      <w:hyperlink r:id="rId27">
        <w:r>
          <w:rPr>
            <w:rStyle w:val="Hyperlink"/>
          </w:rPr>
          <w:t>https://github.com/forestgeo/Climate/tree/master/Climate_Data/CRU</w:t>
        </w:r>
      </w:hyperlink>
      <w:r>
        <w:t>), which is archived in Zenodo (DOI: 10.5281/zenodo.3958215). The Standardised Precipitation-Evapotranspiration Index was obtained from</w:t>
      </w:r>
      <w:r>
        <w:t xml:space="preserve"> the ForestGEO Climate Data Portal v1.0 (</w:t>
      </w:r>
      <w:hyperlink r:id="rId28">
        <w:r>
          <w:rPr>
            <w:rStyle w:val="Hyperlink"/>
          </w:rPr>
          <w:t>https://github.com/forestgeo/Climate/tree/master/Climate_Data/SPEI</w:t>
        </w:r>
      </w:hyperlink>
      <w:r>
        <w:t>), which is archived in Zenodo (DOI: 10.5281/zenodo.3958215). C</w:t>
      </w:r>
      <w:r>
        <w:t>anopy foliage phenology data were extracted from the MCD12Q2 V6 Land Cover Dynamics product (a.k.a. MODIS Global Vegetation Phenology product) via Google Earth Engine (</w:t>
      </w:r>
      <w:hyperlink r:id="rId29" w:anchor="description">
        <w:r>
          <w:rPr>
            <w:rStyle w:val="Hyperlink"/>
          </w:rPr>
          <w:t>https://developers.google.com/earth-engine/datasets/catalog/MODIS_006_MCD12Q2#description</w:t>
        </w:r>
      </w:hyperlink>
      <w:r>
        <w:t>). In addition to being archived in this project’s repository, many tree-ring data sets are archived in the International Tree-Ring Data Bank</w:t>
      </w:r>
      <w:r>
        <w:t xml:space="preserve"> (ITRDB;</w:t>
      </w:r>
      <w:hyperlink r:id="rId30">
        <w:r>
          <w:rPr>
            <w:rStyle w:val="Hyperlink"/>
          </w:rPr>
          <w:t>https://www.ncei.noaa.gov/products/paleoclimatology/tree-ring</w:t>
        </w:r>
      </w:hyperlink>
      <w:r>
        <w:t xml:space="preserve">), the DendroEcological Network (DEN; </w:t>
      </w:r>
      <w:hyperlink r:id="rId31">
        <w:r>
          <w:rPr>
            <w:rStyle w:val="Hyperlink"/>
          </w:rPr>
          <w:t>https://www.uvm.</w:t>
        </w:r>
        <w:r>
          <w:rPr>
            <w:rStyle w:val="Hyperlink"/>
          </w:rPr>
          <w:t>edu/femc/dendro/</w:t>
        </w:r>
      </w:hyperlink>
      <w:r>
        <w:t>), and/or the Harvard Forest Data Archive (</w:t>
      </w:r>
      <w:hyperlink r:id="rId32">
        <w:r>
          <w:rPr>
            <w:rStyle w:val="Hyperlink"/>
          </w:rPr>
          <w:t>https://harvardforest.fas.harvard.edu/harvard-forest-data-archive</w:t>
        </w:r>
      </w:hyperlink>
      <w:r>
        <w:t>), as detailed in SI Table 1. Original tree cores are archived at the institutions of various members of the author team (Harvard Forest, Smithsonian Conservation Biology Institute, Indiana U</w:t>
      </w:r>
      <w:r>
        <w:t>niversity, and University of Idaho) and will be made available upon reasonable request.</w:t>
      </w:r>
    </w:p>
    <w:p w14:paraId="23196BDB" w14:textId="77777777" w:rsidR="00BC6D46" w:rsidRDefault="00F84F50">
      <w:pPr>
        <w:pStyle w:val="Heading1"/>
      </w:pPr>
      <w:bookmarkStart w:id="95" w:name="code-availability-statement"/>
      <w:bookmarkEnd w:id="94"/>
      <w:r>
        <w:t>Code Availability Statement</w:t>
      </w:r>
    </w:p>
    <w:p w14:paraId="214B8874" w14:textId="77777777" w:rsidR="00BC6D46" w:rsidRDefault="00F84F50">
      <w:pPr>
        <w:pStyle w:val="FirstParagraph"/>
      </w:pPr>
      <w:r>
        <w:t xml:space="preserve">Data were analysed in the open source statistical software R (version 4.0). We used packages </w:t>
      </w:r>
      <w:r>
        <w:rPr>
          <w:i/>
          <w:iCs/>
        </w:rPr>
        <w:t>climwin</w:t>
      </w:r>
      <w:r>
        <w:t xml:space="preserve"> v.1.2.3 (</w:t>
      </w:r>
      <w:hyperlink r:id="rId33">
        <w:r>
          <w:rPr>
            <w:rStyle w:val="Hyperlink"/>
          </w:rPr>
          <w:t>https://cran.r-project.org/web/packages/climwin/index.html</w:t>
        </w:r>
      </w:hyperlink>
      <w:r>
        <w:t xml:space="preserve">), </w:t>
      </w:r>
      <w:r>
        <w:rPr>
          <w:i/>
          <w:iCs/>
        </w:rPr>
        <w:t>dplR</w:t>
      </w:r>
      <w:r>
        <w:t xml:space="preserve"> v.1.0.2, and </w:t>
      </w:r>
      <w:r>
        <w:rPr>
          <w:i/>
          <w:iCs/>
        </w:rPr>
        <w:t>bootRes</w:t>
      </w:r>
      <w:r>
        <w:t xml:space="preserve"> v1.2.4, </w:t>
      </w:r>
      <w:r>
        <w:rPr>
          <w:i/>
          <w:iCs/>
        </w:rPr>
        <w:t>rstanarm</w:t>
      </w:r>
      <w:r>
        <w:t xml:space="preserve"> v.2.21.1, and functions from </w:t>
      </w:r>
      <w:r>
        <w:rPr>
          <w:i/>
          <w:iCs/>
        </w:rPr>
        <w:t>Rdendrom</w:t>
      </w:r>
      <w:r>
        <w:t xml:space="preserve"> (</w:t>
      </w:r>
      <w:hyperlink r:id="rId34">
        <w:r>
          <w:rPr>
            <w:rStyle w:val="Hyperlink"/>
          </w:rPr>
          <w:t>https://g</w:t>
        </w:r>
        <w:r>
          <w:rPr>
            <w:rStyle w:val="Hyperlink"/>
          </w:rPr>
          <w:t>ithub.com/seanmcm/RDendrom/</w:t>
        </w:r>
      </w:hyperlink>
      <w:r>
        <w:t xml:space="preserve">). We used </w:t>
      </w:r>
      <w:r>
        <w:rPr>
          <w:i/>
          <w:iCs/>
        </w:rPr>
        <w:t>climpact</w:t>
      </w:r>
      <w:r>
        <w:t xml:space="preserve"> software v.1.2.8 (see www.climpact-sci.org). All custom code is available through the EcoClimlab GitHub repository (</w:t>
      </w:r>
      <w:hyperlink r:id="rId35">
        <w:r>
          <w:rPr>
            <w:rStyle w:val="Hyperlink"/>
          </w:rPr>
          <w:t>https://github.com/EcoClimL</w:t>
        </w:r>
        <w:r>
          <w:rPr>
            <w:rStyle w:val="Hyperlink"/>
          </w:rPr>
          <w:t>ab/growth_phenology</w:t>
        </w:r>
      </w:hyperlink>
      <w:r>
        <w:t xml:space="preserve">) and archived in Zenodo (DOI: </w:t>
      </w:r>
      <w:r>
        <w:rPr>
          <w:i/>
          <w:iCs/>
        </w:rPr>
        <w:t>[TBD]</w:t>
      </w:r>
      <w:r>
        <w:t>).</w:t>
      </w:r>
    </w:p>
    <w:p w14:paraId="69BE8016" w14:textId="77777777" w:rsidR="00BC6D46" w:rsidRDefault="00F84F50">
      <w:pPr>
        <w:pStyle w:val="Heading1"/>
      </w:pPr>
      <w:bookmarkStart w:id="96" w:name="additional-information"/>
      <w:bookmarkEnd w:id="95"/>
      <w:r>
        <w:t>Additional Information</w:t>
      </w:r>
    </w:p>
    <w:p w14:paraId="4C44C3CD" w14:textId="77777777" w:rsidR="00BC6D46" w:rsidRDefault="00F84F50">
      <w:pPr>
        <w:pStyle w:val="FirstParagraph"/>
      </w:pPr>
      <w:r>
        <w:rPr>
          <w:b/>
          <w:bCs/>
        </w:rPr>
        <w:t>Supplementary Information</w:t>
      </w:r>
      <w:r>
        <w:t xml:space="preserve"> is available for this paper.</w:t>
      </w:r>
    </w:p>
    <w:p w14:paraId="05187A53" w14:textId="77777777" w:rsidR="00BC6D46" w:rsidRDefault="00F84F50">
      <w:pPr>
        <w:pStyle w:val="BodyText"/>
      </w:pPr>
      <w:r>
        <w:t>Correspondence and requests for materials should be addressed to Kristina Anderson-Teixeira (</w:t>
      </w:r>
      <w:hyperlink r:id="rId36">
        <w:r>
          <w:rPr>
            <w:rStyle w:val="Hyperlink"/>
          </w:rPr>
          <w:t>teixeirak@si.edu</w:t>
        </w:r>
      </w:hyperlink>
      <w:r>
        <w:t>).</w:t>
      </w:r>
    </w:p>
    <w:p w14:paraId="17197661" w14:textId="77777777" w:rsidR="00BC6D46" w:rsidRDefault="00F84F50">
      <w:r>
        <w:lastRenderedPageBreak/>
        <w:br w:type="page"/>
      </w:r>
    </w:p>
    <w:p w14:paraId="46DF31DE" w14:textId="77777777" w:rsidR="00BC6D46" w:rsidRDefault="00F84F50">
      <w:pPr>
        <w:pStyle w:val="Heading1"/>
      </w:pPr>
      <w:bookmarkStart w:id="97" w:name="figure-captions"/>
      <w:bookmarkEnd w:id="96"/>
      <w:r>
        <w:lastRenderedPageBreak/>
        <w:t>Figure Captions</w:t>
      </w:r>
    </w:p>
    <w:p w14:paraId="7B88E830" w14:textId="77777777" w:rsidR="00BC6D46" w:rsidRDefault="00F84F50">
      <w:pPr>
        <w:pStyle w:val="FirstParagraph"/>
      </w:pPr>
      <w:r>
        <w:rPr>
          <w:b/>
          <w:bCs/>
        </w:rPr>
        <w:t>Figure 1 | Summary of temperate deciduous tree growth responses to warmer spring temperatures.</w:t>
      </w:r>
      <w:r>
        <w:t xml:space="preserve"> (a) Schematic illustrating parameters of interest and summarizing predominant responses of each to warmer ma</w:t>
      </w:r>
      <w:r>
        <w:t xml:space="preserve">ximum temperatures during a ‘critical temperature window’, defined as the period with the strongest temperature control over </w:t>
      </w:r>
      <w:r>
        <w:rPr>
          <w:i/>
          <w:iCs/>
        </w:rPr>
        <w:t>DOY</w:t>
      </w:r>
      <w:r>
        <w:rPr>
          <w:i/>
          <w:iCs/>
          <w:vertAlign w:val="subscript"/>
        </w:rPr>
        <w:t>25</w:t>
      </w:r>
      <w:r>
        <w:t>; (b) Variable definitions and summary of responses to warmer spring temperatures at two temperate forests – Smithsonian Conse</w:t>
      </w:r>
      <w:r>
        <w:t>rvation Biology Institute (SCBI) and Harvard Forest – and for two groups of broadleaf deciduous species (RP=ring porous; DP=diffuse porous), where up and down arrows indicate increases and decreases that are significant both statistically (p&lt;0.05) and biol</w:t>
      </w:r>
      <w:r>
        <w:t xml:space="preserve">ogically (effect size &gt;3%/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 indicates no significant correlation, and ‘mixed’ indicates a mix of significant and non-significant correlations, often in different directions.</w:t>
      </w:r>
    </w:p>
    <w:p w14:paraId="4E4071C6" w14:textId="77777777" w:rsidR="00BC6D46" w:rsidRDefault="00F84F50">
      <w:pPr>
        <w:pStyle w:val="BodyText"/>
      </w:pPr>
      <w:r>
        <w:rPr>
          <w:b/>
          <w:bCs/>
        </w:rPr>
        <w:t>Figure 2 | Responses of foliage phenology (a,b) and stem growth timing (c</w:t>
      </w:r>
      <w:r>
        <w:rPr>
          <w:b/>
          <w:bCs/>
        </w:rPr>
        <w:t>,d) to spring temperatures at the Smithsonian Conservation Biology Institute (a,c) and Harvard Forest (b,d).</w:t>
      </w:r>
      <w:r>
        <w:t xml:space="preserve"> Panels (a-b) show ecosystem-level canopy foliage phenology from 2001-2018, obtained from the MODIS Global Vegetation Phenology product (MCD12Q2.006</w:t>
      </w:r>
      <w:r>
        <w:t>) for a single pixel at the center of each ForestGEO plot, where G = Greenup, M=Mid-greenup, P=peak, and S=Senescence (i.e., beginning of green-down). Panels (c-d) show the dates at which stem growth milestones were achieved, on average, for sampled popula</w:t>
      </w:r>
      <w:r>
        <w:t xml:space="preserve">tions of ring porous and diffuse porous trees at SCBI (2011-2020) and Harvard Forest (1999-2003). Mean </w:t>
      </w:r>
      <w:r>
        <w:rPr>
          <w:i/>
          <w:iCs/>
        </w:rPr>
        <w:t>DOY</w:t>
      </w:r>
      <w:r>
        <w:rPr>
          <w:i/>
          <w:iCs/>
          <w:vertAlign w:val="subscript"/>
        </w:rPr>
        <w:t>25</w:t>
      </w:r>
      <w:r>
        <w:t xml:space="preserve">, </w:t>
      </w:r>
      <w:r>
        <w:rPr>
          <w:i/>
          <w:iCs/>
        </w:rPr>
        <w:t>DOY</w:t>
      </w:r>
      <w:r>
        <w:rPr>
          <w:i/>
          <w:iCs/>
          <w:vertAlign w:val="subscript"/>
        </w:rPr>
        <w:t>50</w:t>
      </w:r>
      <w:r>
        <w:t xml:space="preserve">, and </w:t>
      </w:r>
      <w:r>
        <w:rPr>
          <w:i/>
          <w:iCs/>
        </w:rPr>
        <w:t>DOY</w:t>
      </w:r>
      <w:r>
        <w:rPr>
          <w:i/>
          <w:iCs/>
          <w:vertAlign w:val="subscript"/>
        </w:rPr>
        <w:t>75</w:t>
      </w:r>
      <w:r>
        <w:t xml:space="preserve"> were estimated using the Bayesian model visualized, with confidence intervals, in Extended Data Figure 4. Mean maximum temperatur</w:t>
      </w:r>
      <w:r>
        <w:t>e (</w:t>
      </w:r>
      <w:r>
        <w:rPr>
          <w:i/>
          <w:iCs/>
        </w:rPr>
        <w:t>T</w:t>
      </w:r>
      <w:r>
        <w:rPr>
          <w:i/>
          <w:iCs/>
          <w:vertAlign w:val="subscript"/>
        </w:rPr>
        <w:t>max</w:t>
      </w:r>
      <w:r>
        <w:t>) was calculated for each xylem architecture/site combination over the respective critical temperature window (CTW), then turned into a ratio and assigned a color on a gradient where the coldest year in the sample is blue and the warmest is red. Lea</w:t>
      </w:r>
      <w:r>
        <w:t xml:space="preserve">f phenology years are colored according to the CTW </w:t>
      </w:r>
      <w:r>
        <w:rPr>
          <w:i/>
          <w:iCs/>
        </w:rPr>
        <w:t>T</w:t>
      </w:r>
      <w:r>
        <w:rPr>
          <w:i/>
          <w:iCs/>
          <w:vertAlign w:val="subscript"/>
        </w:rPr>
        <w:t>max</w:t>
      </w:r>
      <w:r>
        <w:t xml:space="preserve"> of the porosity group containing the dominant canopy species at each site (diffuse porous at SCBI, ring porous at Harvard Forest).</w:t>
      </w:r>
    </w:p>
    <w:p w14:paraId="1AC273DD" w14:textId="5350CAD2" w:rsidR="00BC6D46" w:rsidRDefault="00F84F50" w:rsidP="001D41A5">
      <w:pPr>
        <w:pStyle w:val="BodyText"/>
      </w:pPr>
      <w:r>
        <w:rPr>
          <w:b/>
          <w:bCs/>
        </w:rPr>
        <w:t xml:space="preserve">Figure 3 | Sensitivity of annual growth, as derived from tree-rings, </w:t>
      </w:r>
      <w:r>
        <w:rPr>
          <w:b/>
          <w:bCs/>
        </w:rPr>
        <w:t>to monthly mean maximum temperatures (</w:t>
      </w:r>
      <w:r>
        <w:rPr>
          <w:b/>
          <w:bCs/>
          <w:i/>
          <w:iCs/>
        </w:rPr>
        <w:t>T</w:t>
      </w:r>
      <w:r>
        <w:rPr>
          <w:b/>
          <w:bCs/>
          <w:i/>
          <w:iCs/>
          <w:vertAlign w:val="subscript"/>
        </w:rPr>
        <w:t>max</w:t>
      </w:r>
      <w:r>
        <w:rPr>
          <w:b/>
          <w:bCs/>
        </w:rPr>
        <w:t>), for 207 chronologies from 108 sites across eastern North America</w:t>
      </w:r>
      <w:r>
        <w:t xml:space="preserve">. Colors indicate the correlation between monthly </w:t>
      </w:r>
      <w:r>
        <w:rPr>
          <w:i/>
          <w:iCs/>
        </w:rPr>
        <w:t>T</w:t>
      </w:r>
      <w:r>
        <w:rPr>
          <w:i/>
          <w:iCs/>
          <w:vertAlign w:val="subscript"/>
        </w:rPr>
        <w:t>max</w:t>
      </w:r>
      <w:r>
        <w:t xml:space="preserve"> </w:t>
      </w:r>
      <w:r>
        <w:t xml:space="preserve">and a dimensionless ring width index (RWI) derived from the multiple trees that form each chronology and emphasizing interannual variability associated with climate. Chronologies are grouped by xylem porosity and ordered by mean April </w:t>
      </w:r>
      <w:r>
        <w:rPr>
          <w:i/>
          <w:iCs/>
        </w:rPr>
        <w:t>T</w:t>
      </w:r>
      <w:r>
        <w:rPr>
          <w:i/>
          <w:iCs/>
          <w:vertAlign w:val="subscript"/>
        </w:rPr>
        <w:t>max</w:t>
      </w:r>
      <w:r>
        <w:t>. Plots are annot</w:t>
      </w:r>
      <w:r>
        <w:t>ated to highlight records from our two focal sites, the Smithsonian Conservation Biology Institute (SCBI) and Harvard Forest (HF; Extended Data Table 1). Sites included are mapped in Extended Data Figure 1, species analyzed and numbers of significant corre</w:t>
      </w:r>
      <w:r>
        <w:t xml:space="preserve">lations to </w:t>
      </w:r>
      <w:r>
        <w:rPr>
          <w:i/>
          <w:iCs/>
        </w:rPr>
        <w:t>T</w:t>
      </w:r>
      <w:r>
        <w:rPr>
          <w:i/>
          <w:iCs/>
          <w:vertAlign w:val="subscript"/>
        </w:rPr>
        <w:t>max</w:t>
      </w:r>
      <w:r>
        <w:t xml:space="preserve"> are summarized in Extended Data Table 3, and chronology details are given in SI Table 1.</w:t>
      </w:r>
      <w:bookmarkEnd w:id="97"/>
    </w:p>
    <w:sectPr w:rsidR="00BC6D46" w:rsidSect="00322D48">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1B7FF" w14:textId="77777777" w:rsidR="00F84F50" w:rsidRDefault="00F84F50">
      <w:pPr>
        <w:spacing w:after="0"/>
      </w:pPr>
      <w:r>
        <w:separator/>
      </w:r>
    </w:p>
  </w:endnote>
  <w:endnote w:type="continuationSeparator" w:id="0">
    <w:p w14:paraId="055C6842" w14:textId="77777777" w:rsidR="00F84F50" w:rsidRDefault="00F84F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3BF24" w14:textId="77777777" w:rsidR="00F84F50" w:rsidRDefault="00F84F50">
      <w:r>
        <w:separator/>
      </w:r>
    </w:p>
  </w:footnote>
  <w:footnote w:type="continuationSeparator" w:id="0">
    <w:p w14:paraId="2B6FDA48" w14:textId="77777777" w:rsidR="00F84F50" w:rsidRDefault="00F84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41A5"/>
    <w:rsid w:val="004E29B3"/>
    <w:rsid w:val="00590D07"/>
    <w:rsid w:val="00784D58"/>
    <w:rsid w:val="008D6863"/>
    <w:rsid w:val="00B86B75"/>
    <w:rsid w:val="00BC48D5"/>
    <w:rsid w:val="00BC6D46"/>
    <w:rsid w:val="00C36279"/>
    <w:rsid w:val="00DE05AF"/>
    <w:rsid w:val="00E315A3"/>
    <w:rsid w:val="00F84F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48739"/>
  <w15:docId w15:val="{92CD18AC-A351-FF46-8F39-4485E124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estgeo.github.io/Climate/" TargetMode="External"/><Relationship Id="rId18" Type="http://schemas.openxmlformats.org/officeDocument/2006/relationships/hyperlink" Target="https://doi.org/10.1007/978-94-015-7879-0" TargetMode="External"/><Relationship Id="rId26" Type="http://schemas.openxmlformats.org/officeDocument/2006/relationships/hyperlink" Target="https://harvardforest1.fas.harvard.edu/exist/apps/datasets/showData.html?id=HF000" TargetMode="External"/><Relationship Id="rId21" Type="http://schemas.openxmlformats.org/officeDocument/2006/relationships/hyperlink" Target="https://github.com/SCBI-ForestGEO/Dendrobands" TargetMode="External"/><Relationship Id="rId34" Type="http://schemas.openxmlformats.org/officeDocument/2006/relationships/hyperlink" Target="https://github.com/seanmcm/RDendrom/" TargetMode="External"/><Relationship Id="rId7" Type="http://schemas.openxmlformats.org/officeDocument/2006/relationships/hyperlink" Target="mailto:teixeirak@si.edu" TargetMode="External"/><Relationship Id="rId12" Type="http://schemas.openxmlformats.org/officeDocument/2006/relationships/hyperlink" Target="https://www.ncdc.noaa.gov/cdo-web/datasets/GHCND/stations/GHCND:USC00443229/detail" TargetMode="External"/><Relationship Id="rId17" Type="http://schemas.openxmlformats.org/officeDocument/2006/relationships/hyperlink" Target="https://doi.org/10.6073/PASTA/69E92642B512897032446CFE795CFFB8" TargetMode="External"/><Relationship Id="rId25" Type="http://schemas.openxmlformats.org/officeDocument/2006/relationships/hyperlink" Target="https://harvardforest1.fas.harvard.edu/exist/apps/datasets/showData.html?id=HF001" TargetMode="External"/><Relationship Id="rId33" Type="http://schemas.openxmlformats.org/officeDocument/2006/relationships/hyperlink" Target="https://cran.r-project.org/web/packages/climwin/index.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6073/PASTA/213335F5DAA17222A738C105B9FA60C4" TargetMode="External"/><Relationship Id="rId20" Type="http://schemas.openxmlformats.org/officeDocument/2006/relationships/hyperlink" Target="https://github.com/EcoClimLab/growth_phenology" TargetMode="External"/><Relationship Id="rId29" Type="http://schemas.openxmlformats.org/officeDocument/2006/relationships/hyperlink" Target="https://developers.google.com/earth-engine/datasets/catalog/MODIS_006_MCD12Q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estgeo.github.io/Climate/" TargetMode="External"/><Relationship Id="rId24" Type="http://schemas.openxmlformats.org/officeDocument/2006/relationships/hyperlink" Target="https://www.ncdc.noaa.gov/cdo-web/datasets/GHCND/stations/GHCND:USC00443229/detail" TargetMode="External"/><Relationship Id="rId32" Type="http://schemas.openxmlformats.org/officeDocument/2006/relationships/hyperlink" Target="https://harvardforest.fas.harvard.edu/harvard-forest-data-archiv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5281/ZENODO.4041609" TargetMode="External"/><Relationship Id="rId23" Type="http://schemas.openxmlformats.org/officeDocument/2006/relationships/hyperlink" Target="https://github.com/forestgeo/Climate/tree/master/Climate_Data/Met_Stations/SCBI" TargetMode="External"/><Relationship Id="rId28" Type="http://schemas.openxmlformats.org/officeDocument/2006/relationships/hyperlink" Target="https://github.com/forestgeo/Climate/tree/master/Climate_Data/SPEI" TargetMode="External"/><Relationship Id="rId36" Type="http://schemas.openxmlformats.org/officeDocument/2006/relationships/hyperlink" Target="mailto:teixeirak@si.edu" TargetMode="External"/><Relationship Id="rId10" Type="http://schemas.openxmlformats.org/officeDocument/2006/relationships/hyperlink" Target="https://doi.org/10.1073/pnas.2002713117" TargetMode="External"/><Relationship Id="rId19" Type="http://schemas.openxmlformats.org/officeDocument/2006/relationships/hyperlink" Target="teixeirak@si.edu" TargetMode="External"/><Relationship Id="rId31" Type="http://schemas.openxmlformats.org/officeDocument/2006/relationships/hyperlink" Target="https://www.uvm.edu/femc/dendro/" TargetMode="External"/><Relationship Id="rId4" Type="http://schemas.openxmlformats.org/officeDocument/2006/relationships/webSettings" Target="webSettings.xml"/><Relationship Id="rId9" Type="http://schemas.openxmlformats.org/officeDocument/2006/relationships/hyperlink" Target="https://doi.org/10.1038/s41559-022-01668-4" TargetMode="External"/><Relationship Id="rId14" Type="http://schemas.openxmlformats.org/officeDocument/2006/relationships/hyperlink" Target="https://doi.org/10.5067/MODIS/MCD12Q2.006" TargetMode="External"/><Relationship Id="rId22" Type="http://schemas.openxmlformats.org/officeDocument/2006/relationships/hyperlink" Target="https://harvardforest1.fas.harvard.edu/exist/apps/datasets/showData.html?id=HF149" TargetMode="External"/><Relationship Id="rId27" Type="http://schemas.openxmlformats.org/officeDocument/2006/relationships/hyperlink" Target="https://github.com/forestgeo/Climate/tree/master/Climate_Data/CRU" TargetMode="External"/><Relationship Id="rId30" Type="http://schemas.openxmlformats.org/officeDocument/2006/relationships/hyperlink" Target="https://www.ncei.noaa.gov/products/paleoclimatology/tree-ring" TargetMode="External"/><Relationship Id="rId35" Type="http://schemas.openxmlformats.org/officeDocument/2006/relationships/hyperlink" Target="https://github.com/EcoClimLab/growth_phenology" TargetMode="External"/><Relationship Id="rId8" Type="http://schemas.openxmlformats.org/officeDocument/2006/relationships/hyperlink" Target="https://doi.org/10.1038/s41558-020-00976-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9219</Words>
  <Characters>52554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61650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Teixeira, Kristina A.</dc:creator>
  <cp:keywords/>
  <cp:lastModifiedBy>Teixeira, Kristina A.</cp:lastModifiedBy>
  <cp:revision>3</cp:revision>
  <dcterms:created xsi:type="dcterms:W3CDTF">2022-05-21T10:34:00Z</dcterms:created>
  <dcterms:modified xsi:type="dcterms:W3CDTF">2022-05-21T10:35:00Z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