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4" w:name="referees-comments"/>
    <w:p>
      <w:pPr>
        <w:pStyle w:val="Heading1"/>
      </w:pPr>
      <w:r>
        <w:t xml:space="preserve">Referees’ comments:</w:t>
      </w:r>
    </w:p>
    <w:bookmarkStart w:id="20"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p>
    <w:p>
      <w:pPr>
        <w:pStyle w:val="BodyText"/>
      </w:pPr>
      <w:r>
        <w:rPr>
          <w:bCs/>
          <w:b/>
        </w:rPr>
        <w:t xml:space="preserve">We agree with this comment and specify our motivation in the methods section:</w:t>
      </w:r>
      <w:r>
        <w:rPr>
          <w:bCs/>
          <w:b/>
        </w:rPr>
        <w:t xml:space="preserve"> </w:t>
      </w:r>
      <w:r>
        <w:rPr>
          <w:bCs/>
          <w:b/>
        </w:rPr>
        <w:t xml:space="preserve">“</w:t>
      </w:r>
      <w:r>
        <w:rPr>
          <w:bCs/>
          <w:b/>
        </w:rPr>
        <w:t xml:space="preserve">We defined CTW for</w:t>
      </w:r>
      <w:r>
        <w:rPr>
          <w:bCs/>
          <w:b/>
        </w:rPr>
        <w:t xml:space="preserve"> </w:t>
      </w:r>
      <w:r>
        <w:rPr>
          <w:iCs/>
          <w:i/>
          <w:bCs/>
          <w:b/>
        </w:rPr>
        <w:t xml:space="preserve">DOY</w:t>
      </w:r>
      <w:r>
        <w:rPr>
          <w:vertAlign w:val="subscript"/>
          <w:iCs/>
          <w:i/>
          <w:bCs/>
          <w:b/>
        </w:rPr>
        <w:t xml:space="preserve">25</w:t>
      </w:r>
      <w:r>
        <w:rPr>
          <w:bCs/>
          <w:b/>
        </w:rPr>
        <w:t xml:space="preserve">, as opposed to other parameters describing the timing of growth, because spring temperatures should have the most direct influence on this variable.</w:t>
      </w:r>
      <w:r>
        <w:rPr>
          <w:bCs/>
          <w:b/>
        </w:rPr>
        <w:t xml:space="preserve">”</w:t>
      </w:r>
    </w:p>
    <w:p>
      <w:pPr>
        <w:pStyle w:val="BodyText"/>
      </w:pPr>
      <w:r>
        <w:rPr>
          <w:bCs/>
          <w:b/>
        </w:rPr>
        <w:t xml:space="preserve">We also repeat the analyses using a definition of CTW that is independent of</w:t>
      </w:r>
      <w:r>
        <w:rPr>
          <w:bCs/>
          <w:b/>
        </w:rPr>
        <w:t xml:space="preserve"> </w:t>
      </w:r>
      <w:r>
        <w:rPr>
          <w:iCs/>
          <w:i/>
          <w:bCs/>
          <w:b/>
        </w:rPr>
        <w:t xml:space="preserve">DOY</w:t>
      </w:r>
      <w:r>
        <w:rPr>
          <w:vertAlign w:val="subscript"/>
          <w:iCs/>
          <w:i/>
          <w:bCs/>
          <w:b/>
        </w:rPr>
        <w:t xml:space="preserve">25</w:t>
      </w:r>
      <w:r>
        <w:rPr>
          <w:bCs/>
          <w:b/>
        </w:rPr>
        <w:t xml:space="preserve"> </w:t>
      </w:r>
      <w:r>
        <w:rPr>
          <w:bCs/>
          <w:b/>
        </w:rPr>
        <w:t xml:space="preserve">and all other response variables. As explained in the methods,</w:t>
      </w:r>
      <w:r>
        <w:rPr>
          <w:bCs/>
          <w:b/>
        </w:rPr>
        <w:t xml:space="preserve"> </w:t>
      </w:r>
      <w:r>
        <w:rPr>
          <w:bCs/>
          <w:b/>
        </w:rPr>
        <w:t xml:space="preserve">“</w:t>
      </w:r>
      <w:r>
        <w:rPr>
          <w:bCs/>
          <w:b/>
        </w:rPr>
        <w:t xml:space="preserve">To ensure that patterns were robust under an alternative definition of CTW, and to parallel the monthly time windows used in our tree-ring analysis (detailed below; Fig. 3, Extended Data Figure 6-7), we also ran analyses where we fixed the CTW identified by climwin to be the month with the most days in the CTW (Extended Data Table 2) each critical window.</w:t>
      </w:r>
      <w:r>
        <w:rPr>
          <w:bCs/>
          <w:b/>
        </w:rPr>
        <w:t xml:space="preserve">”</w:t>
      </w:r>
    </w:p>
    <w:p>
      <w:pPr>
        <w:pStyle w:val="BodyText"/>
      </w:pP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bCs/>
          <w:b/>
        </w:rPr>
        <w:t xml:space="preserve">We simplified the presentation of our data cleaning methods, ensuring that these numbers are clearly presented for both stagges of cleaning:</w:t>
      </w:r>
    </w:p>
    <w:p>
      <w:pPr>
        <w:numPr>
          <w:ilvl w:val="0"/>
          <w:numId w:val="1001"/>
        </w:numPr>
        <w:pStyle w:val="Compact"/>
      </w:pPr>
      <w:r>
        <w:rPr>
          <w:bCs/>
          <w:b/>
        </w:rPr>
        <w:t xml:space="preserve">Paragraph describing screening of raw dendrometer band data:</w:t>
      </w:r>
      <w:r>
        <w:rPr>
          <w:bCs/>
          <w:b/>
        </w:rPr>
        <w:t xml:space="preserve"> </w:t>
      </w:r>
      <w:r>
        <w:rPr>
          <w:bCs/>
          <w:b/>
        </w:rPr>
        <w:t xml:space="preserve">“</w:t>
      </w:r>
      <w:r>
        <w:rPr>
          <w:bCs/>
          <w:b/>
        </w:rPr>
        <w:t xml:space="preserve">In total, this process removed 309 of the 2210 available records for 2011-2020 at SCBI and 1999-2003 at Harvard Forest.</w:t>
      </w:r>
      <w:r>
        <w:rPr>
          <w:bCs/>
          <w:b/>
        </w:rPr>
        <w:t xml:space="preserve">”</w:t>
      </w:r>
    </w:p>
    <w:p>
      <w:pPr>
        <w:numPr>
          <w:ilvl w:val="0"/>
          <w:numId w:val="1001"/>
        </w:numPr>
        <w:pStyle w:val="Compact"/>
      </w:pPr>
      <w:r>
        <w:rPr>
          <w:bCs/>
          <w:b/>
        </w:rPr>
        <w:t xml:space="preserve">Paragraph describing removal of poorly fit records:</w:t>
      </w:r>
      <w:r>
        <w:rPr>
          <w:bCs/>
          <w:b/>
        </w:rPr>
        <w:t xml:space="preserve"> </w:t>
      </w:r>
      <w:r>
        <w:rPr>
          <w:bCs/>
          <w:b/>
        </w:rPr>
        <w:t xml:space="preserve">“</w:t>
      </w:r>
      <w:r>
        <w:rPr>
          <w:bCs/>
          <w:b/>
        </w:rPr>
        <w:t xml:space="preserve">In total, this process removed 189 of the 2467 records deemed appropriate for analysis.</w:t>
      </w:r>
      <w:r>
        <w:rPr>
          <w:bCs/>
          <w:b/>
        </w:rPr>
        <w:t xml:space="preserve">”</w:t>
      </w:r>
    </w:p>
    <w:p>
      <w:pPr>
        <w:pStyle w:val="FirstParagraph"/>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0"/>
    <w:bookmarkStart w:id="21"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bCs/>
          <w:b/>
        </w:rPr>
        <w:t xml:space="preserve">We have clarified this in the abstract as follows: "Using dendrometer band measurements from 440 trees across two forests, we show that warmer spring temperatures shifted stem</w:t>
      </w:r>
      <w:r>
        <w:rPr>
          <w:bCs/>
          <w:b/>
        </w:rPr>
        <w:t xml:space="preserve"> </w:t>
      </w:r>
      <w:r>
        <w:rPr>
          <w:iCs/>
          <w:i/>
          <w:bCs/>
          <w:b/>
        </w:rPr>
        <w:t xml:space="preserve">diameter</w:t>
      </w:r>
      <w:r>
        <w:rPr>
          <w:bCs/>
          <w:b/>
        </w:rPr>
        <w:t xml:space="preserve"> </w:t>
      </w:r>
      <w:r>
        <w:rPr>
          <w:bCs/>
          <w:b/>
        </w:rPr>
        <w:t xml:space="preserve">growth of deciduous trees earlier but had no consistent effect on peak growing season length, maximum growth rates, or annual growth. The latter finding was confirmed on the centennial scale by 207 tree-ring chronologies from 108 forests across eastern North America, where annual</w:t>
      </w:r>
      <w:r>
        <w:rPr>
          <w:bCs/>
          <w:b/>
        </w:rPr>
        <w:t xml:space="preserve"> </w:t>
      </w:r>
      <w:r>
        <w:rPr>
          <w:iCs/>
          <w:i/>
          <w:bCs/>
          <w:b/>
        </w:rPr>
        <w:t xml:space="preserve">ring width</w:t>
      </w:r>
      <w:r>
        <w:rPr>
          <w:bCs/>
          <w:b/>
        </w:rPr>
        <w:t xml:space="preserve"> </w:t>
      </w:r>
      <w:r>
        <w:rPr>
          <w:bCs/>
          <w:b/>
        </w:rPr>
        <w:t xml:space="preserve">was far more sensitive to temperatures during the peak growing season than in the spring.</w:t>
      </w:r>
    </w:p>
    <w:p>
      <w:pPr>
        <w:pStyle w:val="BodyText"/>
      </w:pPr>
      <w:r>
        <w:rPr>
          <w:bCs/>
          <w:b/>
        </w:rPr>
        <w:t xml:space="preserve">We have clarified this in several key places throughout the main body, including the following:</w:t>
      </w:r>
    </w:p>
    <w:p>
      <w:pPr>
        <w:numPr>
          <w:ilvl w:val="0"/>
          <w:numId w:val="1002"/>
        </w:numPr>
        <w:pStyle w:val="Compact"/>
      </w:pPr>
      <w:r>
        <w:rPr>
          <w:bCs/>
          <w:b/>
        </w:rPr>
        <w:t xml:space="preserve">last paragraph of intro: Here, we evaluate how spring temperatures affect</w:t>
      </w:r>
      <w:r>
        <w:rPr>
          <w:bCs/>
          <w:b/>
        </w:rPr>
        <w:t xml:space="preserve"> </w:t>
      </w:r>
      <w:r>
        <w:rPr>
          <w:iCs/>
          <w:i/>
          <w:bCs/>
          <w:b/>
        </w:rPr>
        <w:t xml:space="preserve">the timing, rates, and annual increments of stem diameter growth</w:t>
      </w:r>
      <w:r>
        <w:rPr>
          <w:bCs/>
          <w:b/>
        </w:rPr>
        <w:t xml:space="preserve"> </w:t>
      </w:r>
      <w:r>
        <w:rPr>
          <w:bCs/>
          <w:b/>
        </w:rPr>
        <w:t xml:space="preserve">of temperate deciduous trees across eastern North America. To test whether warmer springs advance the timing and extend the duration of stem</w:t>
      </w:r>
      <w:r>
        <w:rPr>
          <w:bCs/>
          <w:b/>
        </w:rPr>
        <w:t xml:space="preserve"> </w:t>
      </w:r>
      <w:r>
        <w:rPr>
          <w:iCs/>
          <w:i/>
          <w:bCs/>
          <w:b/>
        </w:rPr>
        <w:t xml:space="preserve">diameter</w:t>
      </w:r>
      <w:r>
        <w:rPr>
          <w:bCs/>
          <w:b/>
        </w:rPr>
        <w:t xml:space="preserve"> </w:t>
      </w:r>
      <w:r>
        <w:rPr>
          <w:bCs/>
          <w:b/>
        </w:rPr>
        <w:t xml:space="preserve">growth, we used dendrometer band measurements on 440 trees across two mid-latitude forests. To test whether spring temperatures consistently increased</w:t>
      </w:r>
      <w:r>
        <w:rPr>
          <w:bCs/>
          <w:b/>
        </w:rPr>
        <w:t xml:space="preserve"> </w:t>
      </w:r>
      <w:r>
        <w:rPr>
          <w:iCs/>
          <w:i/>
          <w:bCs/>
          <w:b/>
        </w:rPr>
        <w:t xml:space="preserve">annual radial increments</w:t>
      </w:r>
      <w:r>
        <w:rPr>
          <w:bCs/>
          <w:b/>
        </w:rPr>
        <w:t xml:space="preserve">, we analyzed 207 tree-ring chronologies from 108 forests."</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Dendrometer Bands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we fit a logistic growth model35 to determine the days of year (DOY) when 25, 50, and 75% annual</w:t>
      </w:r>
      <w:r>
        <w:rPr>
          <w:bCs/>
          <w:b/>
        </w:rPr>
        <w:t xml:space="preserve"> </w:t>
      </w:r>
      <w:r>
        <w:rPr>
          <w:iCs/>
          <w:i/>
          <w:bCs/>
          <w:b/>
        </w:rPr>
        <w:t xml:space="preserve">diameter</w:t>
      </w:r>
      <w:r>
        <w:rPr>
          <w:bCs/>
          <w:b/>
        </w:rPr>
        <w:t xml:space="preserve"> </w:t>
      </w:r>
      <w:r>
        <w:rPr>
          <w:bCs/>
          <w:b/>
        </w:rPr>
        <w:t xml:space="preserve">growth were achieved (DOY25, DOY50, DOY75), …</w:t>
      </w:r>
      <w:r>
        <w:rPr>
          <w:bCs/>
          <w:b/>
        </w:rPr>
        <w:t xml:space="preserve">”</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Tree-ring analysis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To understand how annual</w:t>
      </w:r>
      <w:r>
        <w:rPr>
          <w:bCs/>
          <w:b/>
        </w:rPr>
        <w:t xml:space="preserve"> </w:t>
      </w:r>
      <w:r>
        <w:rPr>
          <w:iCs/>
          <w:i/>
          <w:bCs/>
          <w:b/>
        </w:rPr>
        <w:t xml:space="preserve">radial stem</w:t>
      </w:r>
      <w:r>
        <w:rPr>
          <w:bCs/>
          <w:b/>
        </w:rPr>
        <w:t xml:space="preserve"> </w:t>
      </w:r>
      <w:r>
        <w:rPr>
          <w:bCs/>
          <w:b/>
        </w:rPr>
        <w:t xml:space="preserve">growth increments have responded to spring temperatures at the centennial scale, we analyzed tree-ring chronologies …</w:t>
      </w:r>
      <w:r>
        <w:rPr>
          <w:bCs/>
          <w:b/>
        </w:rPr>
        <w:t xml:space="preserve">”</w:t>
      </w:r>
    </w:p>
    <w:p>
      <w:pPr>
        <w:numPr>
          <w:ilvl w:val="0"/>
          <w:numId w:val="1002"/>
        </w:numPr>
        <w:pStyle w:val="Compact"/>
      </w:pPr>
      <w:r>
        <w:rPr>
          <w:bCs/>
          <w:b/>
        </w:rPr>
        <w:t xml:space="preserve">first sentence of discussion:</w:t>
      </w:r>
      <w:r>
        <w:rPr>
          <w:bCs/>
          <w:b/>
        </w:rPr>
        <w:t xml:space="preserve"> </w:t>
      </w:r>
      <w:r>
        <w:rPr>
          <w:bCs/>
          <w:b/>
        </w:rPr>
        <w:t xml:space="preserve">“</w:t>
      </w:r>
      <w:r>
        <w:rPr>
          <w:bCs/>
          <w:b/>
        </w:rPr>
        <w:t xml:space="preserve">Together, our results demonstrate that warmer spring temperatures in the temperate deciduous forests of eastern North America advance the timing of stem</w:t>
      </w:r>
      <w:r>
        <w:rPr>
          <w:bCs/>
          <w:b/>
        </w:rPr>
        <w:t xml:space="preserve"> </w:t>
      </w:r>
      <w:r>
        <w:rPr>
          <w:iCs/>
          <w:i/>
          <w:bCs/>
          <w:b/>
        </w:rPr>
        <w:t xml:space="preserve">diameter</w:t>
      </w:r>
      <w:r>
        <w:rPr>
          <w:bCs/>
          <w:b/>
        </w:rPr>
        <w:t xml:space="preserve"> </w:t>
      </w:r>
      <w:r>
        <w:rPr>
          <w:bCs/>
          <w:b/>
        </w:rPr>
        <w:t xml:space="preserve">growth but have little effect on annual</w:t>
      </w:r>
      <w:r>
        <w:rPr>
          <w:bCs/>
          <w:b/>
        </w:rPr>
        <w:t xml:space="preserve"> </w:t>
      </w:r>
      <w:r>
        <w:rPr>
          <w:iCs/>
          <w:i/>
          <w:bCs/>
          <w:b/>
        </w:rPr>
        <w:t xml:space="preserve">increments</w:t>
      </w:r>
      <w:r>
        <w:rPr>
          <w:bCs/>
          <w:b/>
        </w:rPr>
        <w:t xml:space="preserve">”</w:t>
      </w:r>
    </w:p>
    <w:bookmarkEnd w:id="21"/>
    <w:bookmarkStart w:id="22"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2"/>
    <w:bookmarkStart w:id="23"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2022-05-09T17:12:31Z</dcterms:created>
  <dcterms:modified xsi:type="dcterms:W3CDTF">2022-05-09T17:12:31Z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