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↑ </w:t>
            </w:r>
            <w:r w:rsidR="00492442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356F94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356F94" w:rsidRDefault="00356F9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356F94" w:rsidRDefault="00356F94" w:rsidP="002B05C4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356F94" w:rsidRPr="00C01029" w:rsidRDefault="00356F9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356F94" w:rsidRDefault="00356F94" w:rsidP="002B05C4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↑ </w:t>
            </w:r>
            <w:r w:rsidR="00492442">
              <w:rPr>
                <w:rFonts w:ascii="Calibri" w:hAnsi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356F94" w:rsidRDefault="00356F9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AD1FB34" w:rsidR="00356F94" w:rsidRDefault="00356F9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6A4BA8D6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="001246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33D73C4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0755385F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407F5F0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B4FCC4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4ABA4E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7E85EA7C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4140A80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4F1AD72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24C102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00E2C3B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8155DD" w14:textId="77777777" w:rsidR="002B05C4" w:rsidRDefault="002B05C4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0EE9E667" w14:textId="77777777" w:rsidR="00850049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0825762" w14:textId="77777777" w:rsidR="00850049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3E38B4F1" w:rsidR="00850049" w:rsidRPr="00DF0F8D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26D55AD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59BB8EF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2E532FEF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45B3B8A9" w:rsidR="002B05C4" w:rsidRDefault="002B05C4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241DF57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0D72272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BD42B0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512C528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5EE3998A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="0049244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1A3EE43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lastRenderedPageBreak/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356F94">
        <w:rPr>
          <w:sz w:val="18"/>
          <w:szCs w:val="18"/>
        </w:rPr>
        <w:t xml:space="preserve">; </w:t>
      </w:r>
      <w:r w:rsidR="00356F94" w:rsidRPr="00356F94">
        <w:rPr>
          <w:b/>
          <w:bCs/>
          <w:sz w:val="18"/>
          <w:szCs w:val="18"/>
        </w:rPr>
        <w:t>47.</w:t>
      </w:r>
      <w:r w:rsidR="00356F94">
        <w:rPr>
          <w:sz w:val="18"/>
          <w:szCs w:val="18"/>
        </w:rPr>
        <w:t xml:space="preserve"> </w:t>
      </w:r>
      <w:r w:rsidR="00356F94" w:rsidRPr="00356F94">
        <w:rPr>
          <w:sz w:val="18"/>
          <w:szCs w:val="18"/>
        </w:rPr>
        <w:t>Slot et al. 2021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44</cp:revision>
  <cp:lastPrinted>2021-09-12T19:43:00Z</cp:lastPrinted>
  <dcterms:created xsi:type="dcterms:W3CDTF">2021-07-12T20:53:00Z</dcterms:created>
  <dcterms:modified xsi:type="dcterms:W3CDTF">2021-09-28T14:53:00Z</dcterms:modified>
</cp:coreProperties>
</file>