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3"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w:r>
        <w:rPr>
          <w:bCs/>
          <w:b/>
        </w:rPr>
        <w:t xml:space="preserve">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Added the following lines:</w:t>
      </w:r>
      <w:r>
        <w:t xml:space="preserve"> </w:t>
      </w:r>
      <w:r>
        <w:rPr>
          <w:bCs/>
          <w:b/>
        </w:rPr>
        <w:t xml:space="preserve">Canopy foliage absorb a large portion of PAR, and selectively filter incident light along the gradient, therefore altering the spectral characteristics of light received in the lower canopy layers. Along with decreasing PAR, this entails a decrease in red to far red ratio of light as it reaches the forest floor, where understories are enriched in near infra red radiation and absorb light in wavelengths of 700-1000nm [de Castro 2000;</w:t>
      </w:r>
      <w:r>
        <w:rPr>
          <w:bCs/>
          <w:b/>
        </w:rPr>
        <w:t xml:space="preserve"> </w:t>
      </w:r>
      <w:r>
        <w:rPr>
          <w:bCs/>
          <w:b/>
        </w:rPr>
        <w:t xml:space="preserve">Poorter</w:t>
      </w:r>
      <w:r>
        <w:rPr>
          <w:bCs/>
          <w:b/>
        </w:rPr>
        <w:t xml:space="preserve"> </w:t>
      </w:r>
      <w:r>
        <w:rPr>
          <w:iCs/>
          <w:i/>
          <w:bCs/>
          <w:b/>
        </w:rPr>
        <w:t xml:space="preserve">et al.</w:t>
      </w:r>
      <w:r>
        <w:rPr>
          <w:bCs/>
          <w:b/>
        </w:rPr>
        <w:t xml:space="preserve"> </w:t>
      </w:r>
      <w:r>
        <w:rPr>
          <w:bCs/>
          <w:b/>
        </w:rPr>
        <w:t xml:space="preserve">(2000)</w:t>
      </w:r>
      <w:r>
        <w:rPr>
          <w:bCs/>
          <w:b/>
        </w:rPr>
        <w:t xml:space="preserve">]</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iCs/>
          <w:i/>
        </w:rPr>
        <w:t xml:space="preserve">yes, I think this sentence is confusing now that I am reading it again, need to work on this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Done</w:t>
      </w:r>
    </w:p>
    <w:p>
      <w:pPr>
        <w:pStyle w:val="BodyText"/>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iCs/>
          <w:i/>
        </w:rPr>
        <w:t xml:space="preserve">removed the second</w:t>
      </w:r>
      <w:r>
        <w:rPr>
          <w:iCs/>
          <w:i/>
        </w:rPr>
        <w:t xml:space="preserve"> </w:t>
      </w:r>
      <w:r>
        <w:rPr>
          <w:iCs/>
          <w:i/>
        </w:rPr>
        <w:t xml:space="preserve">‘</w:t>
      </w:r>
      <w:r>
        <w:rPr>
          <w:iCs/>
          <w:i/>
        </w:rPr>
        <w:t xml:space="preserve">understory</w:t>
      </w:r>
      <w:r>
        <w:rPr>
          <w:iCs/>
          <w:i/>
        </w:rPr>
        <w:t xml:space="preserve">’</w:t>
      </w:r>
      <w:r>
        <w:rPr>
          <w:iCs/>
          <w:i/>
        </w:rPr>
        <w:t xml:space="preserve"> </w:t>
      </w:r>
      <w:r>
        <w:rPr>
          <w:iCs/>
          <w:i/>
        </w:rPr>
        <w:t xml:space="preserve">word here:</w:t>
      </w:r>
      <w:r>
        <w:t xml:space="preserve"> </w:t>
      </w:r>
      <w:r>
        <w:rPr>
          <w:iCs/>
          <w:i/>
        </w:rPr>
        <w:t xml:space="preserve">‘</w:t>
      </w:r>
      <w:r>
        <w:rPr>
          <w:iCs/>
          <w:i/>
        </w:rPr>
        <w:t xml:space="preserve">… but understory leaf area density is often relatively high in the understory as well</w:t>
      </w:r>
      <w:r>
        <w:rPr>
          <w:iCs/>
          <w:i/>
        </w:rPr>
        <w:t xml:space="preserve">’</w:t>
      </w:r>
      <w:r>
        <w:rPr>
          <w:iCs/>
          <w:i/>
        </w:rPr>
        <w:t xml:space="preserve"> </w:t>
      </w:r>
      <w:r>
        <w:rPr>
          <w:iCs/>
          <w:i/>
        </w:rPr>
        <w:t xml:space="preserve">sounds redundant.</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Done</w:t>
      </w:r>
      <w:r>
        <w:t xml:space="preserve"> </w:t>
      </w:r>
      <w:r>
        <w:rPr>
          <w:iCs/>
          <w:i/>
        </w:rPr>
        <w:t xml:space="preserve">Need to replace updated Fig 1 image in the .rmd once all changes are made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iCs/>
          <w:i/>
        </w:rPr>
        <w:t xml:space="preserve">Buffering was replaced with the following sentences:</w:t>
      </w:r>
      <w:r>
        <w:t xml:space="preserve"> </w:t>
      </w:r>
      <w:r>
        <w:rPr>
          <w:iCs/>
          <w:i/>
        </w:rPr>
        <w:t xml:space="preserve">Wind speeds are also higher at the top of the canopy, that are substantially reduced moving into lower canopy layers due to resistance caused by canopy foliage</w:t>
      </w:r>
      <w:r>
        <w:rPr>
          <w:iCs/>
          <w:i/>
        </w:rPr>
        <w:t xml:space="preserve"> </w:t>
      </w:r>
      <w:r>
        <w:rPr>
          <w:iCs/>
          <w:i/>
        </w:rPr>
        <w:t xml:space="preserve">(Jiao-jun</w:t>
      </w:r>
      <w:r>
        <w:rPr>
          <w:iCs/>
          <w:i/>
        </w:rPr>
        <w:t xml:space="preserve"> </w:t>
      </w:r>
      <w:r>
        <w:rPr>
          <w:iCs/>
          <w:i/>
          <w:iCs/>
          <w:i/>
        </w:rPr>
        <w:t xml:space="preserve">et al.</w:t>
      </w:r>
      <w:r>
        <w:rPr>
          <w:iCs/>
          <w:i/>
        </w:rPr>
        <w:t xml:space="preserve">, 2004; Jucker</w:t>
      </w:r>
      <w:r>
        <w:rPr>
          <w:iCs/>
          <w:i/>
        </w:rPr>
        <w:t xml:space="preserve"> </w:t>
      </w:r>
      <w:r>
        <w:rPr>
          <w:iCs/>
          <w:i/>
          <w:iCs/>
          <w:i/>
        </w:rPr>
        <w:t xml:space="preserve">et al.</w:t>
      </w:r>
      <w:r>
        <w:rPr>
          <w:iCs/>
          <w:i/>
        </w:rPr>
        <w:t xml:space="preserve">, 2018)</w:t>
      </w:r>
      <w:r>
        <w:rPr>
          <w:iCs/>
          <w:i/>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t xml:space="preserve">*This is either a semantics issue, or a case where the reviewer is expecting greater realism that what we’re actually doing. You should make that clear in the caption (also addresses comment above), and perhaps use</w:t>
      </w:r>
      <w:r>
        <w:t xml:space="preserve"> </w:t>
      </w:r>
      <w:r>
        <w:t xml:space="preserve">“</w:t>
      </w:r>
      <w:r>
        <w:t xml:space="preserve">humid</w:t>
      </w:r>
      <w:r>
        <w:t xml:space="preserve">”</w:t>
      </w:r>
      <w:r>
        <w:t xml:space="preserve"> </w:t>
      </w:r>
      <w:r>
        <w:t xml:space="preserve">and</w:t>
      </w:r>
      <w:r>
        <w:t xml:space="preserve"> </w:t>
      </w:r>
      <w:r>
        <w:t xml:space="preserve">“</w:t>
      </w:r>
      <w:r>
        <w:t xml:space="preserve">dry</w:t>
      </w:r>
      <w:r>
        <w:t xml:space="preserve">”</w:t>
      </w:r>
      <w:r>
        <w:t xml:space="preserve"> </w:t>
      </w:r>
      <w:r>
        <w:t xml:space="preserve">(rather than drought).</w:t>
      </w:r>
    </w:p>
    <w:p>
      <w:pPr>
        <w:pStyle w:val="BodyText"/>
      </w:pPr>
      <w: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t xml:space="preserve">*changed to</w:t>
      </w:r>
      <w:r>
        <w:t xml:space="preserve"> </w:t>
      </w:r>
      <w:r>
        <w:t xml:space="preserve">“</w:t>
      </w:r>
      <w:r>
        <w:t xml:space="preserve">drought</w:t>
      </w:r>
      <w:r>
        <w:t xml:space="preserve">”</w:t>
      </w:r>
      <w:r>
        <w:t xml:space="preserve"> </w:t>
      </w:r>
      <w:r>
        <w:t xml:space="preserve">to</w:t>
      </w:r>
      <w:r>
        <w:t xml:space="preserve"> </w:t>
      </w:r>
      <w:r>
        <w:t xml:space="preserve">“</w:t>
      </w:r>
      <w:r>
        <w:t xml:space="preserve">dry</w:t>
      </w:r>
      <w:r>
        <w:t xml:space="preserve">”</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Done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2" w:name="references"/>
    <w:p>
      <w:pPr>
        <w:pStyle w:val="Heading2"/>
      </w:pPr>
      <w:r>
        <w:t xml:space="preserve">References</w:t>
      </w:r>
    </w:p>
    <w:bookmarkStart w:id="41"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jiao-junWindProfilesTrees2004"/>
    <w:p>
      <w:pPr>
        <w:pStyle w:val="Bibliography"/>
      </w:pPr>
      <w:r>
        <w:rPr>
          <w:bCs/>
          <w:b/>
          <w:bCs/>
          <w:b/>
        </w:rPr>
        <w:t xml:space="preserve">Jiao-jun Z</w:t>
      </w:r>
      <w:r>
        <w:rPr>
          <w:bCs/>
          <w:b/>
        </w:rPr>
        <w:t xml:space="preserve">,</w:t>
      </w:r>
      <w:r>
        <w:rPr>
          <w:bCs/>
          <w:b/>
        </w:rPr>
        <w:t xml:space="preserve"> </w:t>
      </w:r>
      <w:r>
        <w:rPr>
          <w:bCs/>
          <w:b/>
          <w:bCs/>
          <w:b/>
        </w:rPr>
        <w:t xml:space="preserve">Xiu-fen L</w:t>
      </w:r>
      <w:r>
        <w:rPr>
          <w:bCs/>
          <w:b/>
        </w:rPr>
        <w:t xml:space="preserve">,</w:t>
      </w:r>
      <w:r>
        <w:rPr>
          <w:bCs/>
          <w:b/>
        </w:rPr>
        <w:t xml:space="preserve"> </w:t>
      </w:r>
      <w:r>
        <w:rPr>
          <w:bCs/>
          <w:b/>
          <w:bCs/>
          <w:b/>
        </w:rPr>
        <w:t xml:space="preserve">Yutaka G</w:t>
      </w:r>
      <w:r>
        <w:rPr>
          <w:bCs/>
          <w:b/>
        </w:rPr>
        <w:t xml:space="preserve">,</w:t>
      </w:r>
      <w:r>
        <w:rPr>
          <w:bCs/>
          <w:b/>
        </w:rPr>
        <w:t xml:space="preserve"> </w:t>
      </w:r>
      <w:r>
        <w:rPr>
          <w:bCs/>
          <w:b/>
          <w:bCs/>
          <w:b/>
        </w:rPr>
        <w:t xml:space="preserve">Takeshi M</w:t>
      </w:r>
      <w:r>
        <w:t xml:space="preserve">.</w:t>
      </w:r>
      <w:r>
        <w:t xml:space="preserve"> </w:t>
      </w:r>
      <w:r>
        <w:rPr>
          <w:bCs/>
          <w:b/>
        </w:rPr>
        <w:t xml:space="preserve">2004</w:t>
      </w:r>
      <w:r>
        <w:t xml:space="preserve">. Wind profiles in and over trees.</w:t>
      </w:r>
      <w:r>
        <w:t xml:space="preserve"> </w:t>
      </w:r>
      <w:r>
        <w:rPr>
          <w:iCs/>
          <w:i/>
        </w:rPr>
        <w:t xml:space="preserve">Journal of Forestry Research</w:t>
      </w:r>
      <w:r>
        <w:t xml:space="preserve"> </w:t>
      </w:r>
      <w:r>
        <w:rPr>
          <w:bCs/>
          <w:b/>
        </w:rPr>
        <w:t xml:space="preserve">15</w:t>
      </w:r>
      <w:r>
        <w:t xml:space="preserve">: 305.</w:t>
      </w:r>
    </w:p>
    <w:bookmarkEnd w:id="34"/>
    <w:bookmarkStart w:id="35" w:name="ref-juckerCanopyStructureTopography2018"/>
    <w:p>
      <w:pPr>
        <w:pStyle w:val="Bibliography"/>
      </w:pPr>
      <w:r>
        <w:rPr>
          <w:bCs/>
          <w:b/>
          <w:bCs/>
          <w:b/>
        </w:rPr>
        <w:t xml:space="preserve">Jucker T</w:t>
      </w:r>
      <w:r>
        <w:rPr>
          <w:bCs/>
          <w:b/>
        </w:rPr>
        <w:t xml:space="preserve">,</w:t>
      </w:r>
      <w:r>
        <w:rPr>
          <w:bCs/>
          <w:b/>
        </w:rPr>
        <w:t xml:space="preserve"> </w:t>
      </w:r>
      <w:r>
        <w:rPr>
          <w:bCs/>
          <w:b/>
          <w:bCs/>
          <w:b/>
        </w:rPr>
        <w:t xml:space="preserve">Hardwick SR</w:t>
      </w:r>
      <w:r>
        <w:rPr>
          <w:bCs/>
          <w:b/>
        </w:rPr>
        <w:t xml:space="preserve">,</w:t>
      </w:r>
      <w:r>
        <w:rPr>
          <w:bCs/>
          <w:b/>
        </w:rPr>
        <w:t xml:space="preserve"> </w:t>
      </w:r>
      <w:r>
        <w:rPr>
          <w:bCs/>
          <w:b/>
          <w:bCs/>
          <w:b/>
        </w:rPr>
        <w:t xml:space="preserve">Both S</w:t>
      </w:r>
      <w:r>
        <w:rPr>
          <w:bCs/>
          <w:b/>
        </w:rPr>
        <w:t xml:space="preserve">,</w:t>
      </w:r>
      <w:r>
        <w:rPr>
          <w:bCs/>
          <w:b/>
        </w:rPr>
        <w:t xml:space="preserve"> </w:t>
      </w:r>
      <w:r>
        <w:rPr>
          <w:bCs/>
          <w:b/>
          <w:bCs/>
          <w:b/>
        </w:rPr>
        <w:t xml:space="preserve">Elias DMO</w:t>
      </w:r>
      <w:r>
        <w:rPr>
          <w:bCs/>
          <w:b/>
        </w:rPr>
        <w:t xml:space="preserve">,</w:t>
      </w:r>
      <w:r>
        <w:rPr>
          <w:bCs/>
          <w:b/>
        </w:rPr>
        <w:t xml:space="preserve"> </w:t>
      </w:r>
      <w:r>
        <w:rPr>
          <w:bCs/>
          <w:b/>
          <w:bCs/>
          <w:b/>
        </w:rPr>
        <w:t xml:space="preserve">Ewers RM</w:t>
      </w:r>
      <w:r>
        <w:rPr>
          <w:bCs/>
          <w:b/>
        </w:rPr>
        <w:t xml:space="preserve">,</w:t>
      </w:r>
      <w:r>
        <w:rPr>
          <w:bCs/>
          <w:b/>
        </w:rPr>
        <w:t xml:space="preserve"> </w:t>
      </w:r>
      <w:r>
        <w:rPr>
          <w:bCs/>
          <w:b/>
          <w:bCs/>
          <w:b/>
        </w:rPr>
        <w:t xml:space="preserve">Milodowski DT</w:t>
      </w:r>
      <w:r>
        <w:rPr>
          <w:bCs/>
          <w:b/>
        </w:rPr>
        <w:t xml:space="preserve">,</w:t>
      </w:r>
      <w:r>
        <w:rPr>
          <w:bCs/>
          <w:b/>
        </w:rPr>
        <w:t xml:space="preserve"> </w:t>
      </w:r>
      <w:r>
        <w:rPr>
          <w:bCs/>
          <w:b/>
          <w:bCs/>
          <w:b/>
        </w:rPr>
        <w:t xml:space="preserve">Swinfield T</w:t>
      </w:r>
      <w:r>
        <w:rPr>
          <w:bCs/>
          <w:b/>
        </w:rPr>
        <w:t xml:space="preserve">,</w:t>
      </w:r>
      <w:r>
        <w:rPr>
          <w:bCs/>
          <w:b/>
        </w:rPr>
        <w:t xml:space="preserve"> </w:t>
      </w:r>
      <w:r>
        <w:rPr>
          <w:bCs/>
          <w:b/>
          <w:bCs/>
          <w:b/>
        </w:rPr>
        <w:t xml:space="preserve">Coomes DA</w:t>
      </w:r>
      <w:r>
        <w:t xml:space="preserve">.</w:t>
      </w:r>
      <w:r>
        <w:t xml:space="preserve"> </w:t>
      </w:r>
      <w:r>
        <w:rPr>
          <w:bCs/>
          <w:b/>
        </w:rPr>
        <w:t xml:space="preserve">2018</w:t>
      </w:r>
      <w:r>
        <w:t xml:space="preserve">. Canopy structure and topography jointly constrain the microclimate of human-modified tropical landscapes.</w:t>
      </w:r>
      <w:r>
        <w:t xml:space="preserve"> </w:t>
      </w:r>
      <w:r>
        <w:rPr>
          <w:iCs/>
          <w:i/>
        </w:rPr>
        <w:t xml:space="preserve">Global Change Biology</w:t>
      </w:r>
      <w:r>
        <w:t xml:space="preserve"> </w:t>
      </w:r>
      <w:r>
        <w:rPr>
          <w:bCs/>
          <w:b/>
        </w:rPr>
        <w:t xml:space="preserve">24</w:t>
      </w:r>
      <w:r>
        <w:t xml:space="preserve">: 5243–5258.</w:t>
      </w:r>
    </w:p>
    <w:bookmarkEnd w:id="35"/>
    <w:bookmarkStart w:id="3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6"/>
    <w:bookmarkStart w:id="3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7"/>
    <w:bookmarkStart w:id="3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8"/>
    <w:bookmarkStart w:id="39"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39"/>
    <w:bookmarkStart w:id="40"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0"/>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2022-01-13T13:58:12Z</dcterms:created>
  <dcterms:modified xsi:type="dcterms:W3CDTF">2022-01-13T13:58:12Z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