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54"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 We have also added some discussion of canopy dieback events here:</w:t>
      </w:r>
      <w:r>
        <w:t xml:space="preserve"> </w:t>
      </w:r>
      <w:r>
        <w:rPr>
          <w:bCs/>
          <w:b/>
        </w:rPr>
        <w:t xml:space="preserve">Increase in the severity and frequency of heat waves, accompanied with an increase in VPD and ET, can rapidly dry soils up, exacerbating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rPr>
          <w:bCs/>
          <w:b/>
        </w:rPr>
        <w:t xml:space="preserve">We seperated VAZ section from VOC, and provided further context to NPQ in the following lines:</w:t>
      </w:r>
    </w:p>
    <w:p>
      <w:pPr>
        <w:numPr>
          <w:ilvl w:val="0"/>
          <w:numId w:val="1002"/>
        </w:numPr>
        <w:pStyle w:val="Compact"/>
      </w:pPr>
      <w:r>
        <w:rPr>
          <w:bCs/>
          <w:b/>
        </w:rPr>
        <w:t xml:space="preserve">With saturating irradiance in canopy leaves, unused energy from photosystem II antennae is further dissipated as heat energy through non-photochemical quenching (NPQ)</w:t>
      </w:r>
      <w:r>
        <w:rPr>
          <w:bCs/>
          <w:b/>
        </w:rPr>
        <w:t xml:space="preserve"> </w:t>
      </w:r>
      <w:r>
        <w:rPr>
          <w:bCs/>
          <w:b/>
        </w:rPr>
        <w:t xml:space="preserve">(Mathur</w:t>
      </w:r>
      <w:r>
        <w:rPr>
          <w:bCs/>
          <w:b/>
        </w:rPr>
        <w:t xml:space="preserve"> </w:t>
      </w:r>
      <w:r>
        <w:rPr>
          <w:iCs/>
          <w:i/>
          <w:bCs/>
          <w:b/>
        </w:rPr>
        <w:t xml:space="preserve">et al.</w:t>
      </w:r>
      <w:r>
        <w:rPr>
          <w:bCs/>
          <w:b/>
        </w:rPr>
        <w:t xml:space="preserve">, 2018)</w:t>
      </w:r>
      <w:r>
        <w:rPr>
          <w:bCs/>
          <w:b/>
        </w:rPr>
        <w:t xml:space="preserve">. Efficient light-use is optimized through this process while preventing the accumulation of excess light, provoking the over production of harmful reactive oxygen species (ROS). However, at a photon flux density (PPFD) of</w:t>
      </w:r>
      <w:r>
        <w:rPr>
          <w:bCs/>
          <w:b/>
        </w:rPr>
        <w:t xml:space="preserve"> </w:t>
      </w:r>
      <m:oMath>
        <m:r>
          <m:t>200</m:t>
        </m:r>
        <m:r>
          <m:t>μ</m:t>
        </m:r>
        <m:r>
          <m:t>m</m:t>
        </m:r>
        <m:r>
          <m:t>o</m:t>
        </m:r>
        <m:r>
          <m:t>l</m:t>
        </m:r>
        <m:sSup>
          <m:e>
            <m:r>
              <m:t>m</m:t>
            </m:r>
          </m:e>
          <m:sup>
            <m:r>
              <m:rPr>
                <m:sty m:val="p"/>
              </m:rPr>
              <m:t>−</m:t>
            </m:r>
            <m:r>
              <m:t>2</m:t>
            </m:r>
          </m:sup>
        </m:sSup>
        <m:sSup>
          <m:e>
            <m:r>
              <m:t>s</m:t>
            </m:r>
          </m:e>
          <m:sup>
            <m:r>
              <m:rPr>
                <m:sty m:val="p"/>
              </m:rPr>
              <m:t>−</m:t>
            </m:r>
            <m:r>
              <m:t>1</m:t>
            </m:r>
          </m:sup>
        </m:sSup>
      </m:oMath>
      <w:r>
        <w:rPr>
          <w:bCs/>
          <w:b/>
        </w:rPr>
        <w:t xml:space="preserve">, within beech canopy, shaded lower canopy leaves have been observed to have higher NPQ rates than upper canopy reflecting rapid photosynthetic kinetics in shaded leaves as an acclimation to sunflecks. However, beyond this PPFD threshold, NPQ rates of upper canopy increase with an increase in light intensity</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 The dissipation of excess light energy is also important for leaf acclimation to higher temperatures if high</w:t>
      </w:r>
      <w:r>
        <w:rPr>
          <w:bCs/>
          <w:b/>
        </w:rPr>
        <w:t xml:space="preserve"> </w:t>
      </w:r>
      <m:oMath>
        <m:sSub>
          <m:e>
            <m:r>
              <m:t>T</m:t>
            </m:r>
          </m:e>
          <m:sub>
            <m:r>
              <m:t>l</m:t>
            </m:r>
            <m:r>
              <m:t>e</m:t>
            </m:r>
            <m:r>
              <m:t>a</m:t>
            </m:r>
            <m:r>
              <m:t>f</m:t>
            </m:r>
          </m:sub>
        </m:sSub>
      </m:oMath>
      <w:r>
        <w:rPr>
          <w:bCs/>
          <w:b/>
        </w:rPr>
        <w:t xml:space="preserve"> </w:t>
      </w:r>
      <w:r>
        <w:rPr>
          <w:bCs/>
          <w:b/>
        </w:rPr>
        <w:t xml:space="preserve">impairs the photochemical energy dissipation pathway</w:t>
      </w:r>
      <w:r>
        <w:rPr>
          <w:bCs/>
          <w:b/>
        </w:rPr>
        <w:t xml:space="preserve"> </w:t>
      </w:r>
      <w:r>
        <w:rPr>
          <w:bCs/>
          <w:b/>
        </w:rPr>
        <w:t xml:space="preserve">(Havaux &amp; Tardy, 1996)</w:t>
      </w:r>
      <w:r>
        <w:rPr>
          <w:bCs/>
          <w:b/>
        </w:rPr>
        <w:t xml:space="preserve">.</w:t>
      </w:r>
    </w:p>
    <w:p>
      <w:pPr>
        <w:pStyle w:val="FirstParagraph"/>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3"/>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3"/>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4"/>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4"/>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4"/>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4"/>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5"/>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5"/>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t>
      </w:r>
      <w:r>
        <w:rPr>
          <w:bCs/>
          <w:b/>
        </w:rPr>
        <w:t xml:space="preserve">inferred by</w:t>
      </w:r>
      <w:r>
        <w:rPr>
          <w:bCs/>
          <w:b/>
        </w:rPr>
        <w:t xml:space="preserve"> </w:t>
      </w:r>
      <m:oMath>
        <m:sSup>
          <m:e>
            <m:r>
              <m:t>δ</m:t>
            </m:r>
          </m:e>
          <m:sup>
            <m:r>
              <m:t>13</m:t>
            </m:r>
          </m:sup>
        </m:sSup>
        <m:r>
          <m:t>C</m:t>
        </m:r>
      </m:oMath>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 [Brooks et al.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 However there are few studies comparing between overstory and understory, other than</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p>
    <w:p>
      <w:pPr>
        <w:numPr>
          <w:ilvl w:val="0"/>
          <w:numId w:val="1006"/>
        </w:numPr>
      </w:pPr>
      <w:r>
        <w:rPr>
          <w:bCs/>
          <w:b/>
        </w:rPr>
        <w:t xml:space="preserve">We have very little evidence as to how the temperature sensitivity of photosynthesis compares between sun and shade leaves, and existing studies, that are predominately within species between sun and shade leaves of the same trees reveal no pronounced overall trend with height in the optimum temperatures for photosynthetic processes</w:t>
      </w:r>
    </w:p>
    <w:p>
      <w:pPr>
        <w:numPr>
          <w:ilvl w:val="0"/>
          <w:numId w:val="1006"/>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53" w:name="references"/>
    <w:p>
      <w:pPr>
        <w:pStyle w:val="Heading2"/>
      </w:pPr>
      <w:r>
        <w:t xml:space="preserve">References</w:t>
      </w:r>
    </w:p>
    <w:bookmarkStart w:id="52"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3"/>
    <w:bookmarkStart w:id="34"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4"/>
    <w:bookmarkStart w:id="35"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5"/>
    <w:bookmarkStart w:id="36"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6"/>
    <w:bookmarkStart w:id="37" w:name="X0df9cdc6c3b1e3bc87adca3624018d437548b14"/>
    <w:p>
      <w:pPr>
        <w:pStyle w:val="Bibliography"/>
      </w:pPr>
      <w:r>
        <w:rPr>
          <w:bCs/>
          <w:b/>
          <w:bCs/>
          <w:b/>
        </w:rPr>
        <w:t xml:space="preserve">Havaux M</w:t>
      </w:r>
      <w:r>
        <w:rPr>
          <w:bCs/>
          <w:b/>
        </w:rPr>
        <w:t xml:space="preserve">,</w:t>
      </w:r>
      <w:r>
        <w:rPr>
          <w:bCs/>
          <w:b/>
        </w:rPr>
        <w:t xml:space="preserve"> </w:t>
      </w:r>
      <w:r>
        <w:rPr>
          <w:bCs/>
          <w:b/>
          <w:bCs/>
          <w:b/>
        </w:rPr>
        <w:t xml:space="preserve">Tardy F</w:t>
      </w:r>
      <w:r>
        <w:t xml:space="preserve">.</w:t>
      </w:r>
      <w:r>
        <w:t xml:space="preserve"> </w:t>
      </w:r>
      <w:r>
        <w:rPr>
          <w:bCs/>
          <w:b/>
        </w:rPr>
        <w:t xml:space="preserve">1996</w:t>
      </w:r>
      <w:r>
        <w:t xml:space="preserve">. Temperature-dependent adjustment of the thermal stability of photosystem</w:t>
      </w:r>
      <w:r>
        <w:t xml:space="preserve"> </w:t>
      </w:r>
      <w:r>
        <w:t xml:space="preserve">II</w:t>
      </w:r>
      <w:r>
        <w:t xml:space="preserve"> </w:t>
      </w:r>
      <w:r>
        <w:t xml:space="preserve">in vivo: Possible involvement of xanthophyll-cycle pigments.</w:t>
      </w:r>
      <w:r>
        <w:t xml:space="preserve"> </w:t>
      </w:r>
      <w:r>
        <w:rPr>
          <w:iCs/>
          <w:i/>
        </w:rPr>
        <w:t xml:space="preserve">Planta</w:t>
      </w:r>
      <w:r>
        <w:t xml:space="preserve"> </w:t>
      </w:r>
      <w:r>
        <w:rPr>
          <w:bCs/>
          <w:b/>
        </w:rPr>
        <w:t xml:space="preserve">198</w:t>
      </w:r>
      <w:r>
        <w:t xml:space="preserve">: 324–333.</w:t>
      </w:r>
    </w:p>
    <w:bookmarkEnd w:id="37"/>
    <w:bookmarkStart w:id="38"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8"/>
    <w:bookmarkStart w:id="39" w:name="Xa94ed89b503067e78937e252d918b52390f1187"/>
    <w:p>
      <w:pPr>
        <w:pStyle w:val="Bibliography"/>
      </w:pPr>
      <w:r>
        <w:rPr>
          <w:bCs/>
          <w:b/>
          <w:bCs/>
          <w:b/>
        </w:rPr>
        <w:t xml:space="preserve">Mathur S</w:t>
      </w:r>
      <w:r>
        <w:rPr>
          <w:bCs/>
          <w:b/>
        </w:rPr>
        <w:t xml:space="preserve">,</w:t>
      </w:r>
      <w:r>
        <w:rPr>
          <w:bCs/>
          <w:b/>
        </w:rPr>
        <w:t xml:space="preserve"> </w:t>
      </w:r>
      <w:r>
        <w:rPr>
          <w:bCs/>
          <w:b/>
          <w:bCs/>
          <w:b/>
        </w:rPr>
        <w:t xml:space="preserve">Jain L</w:t>
      </w:r>
      <w:r>
        <w:rPr>
          <w:bCs/>
          <w:b/>
        </w:rPr>
        <w:t xml:space="preserve">,</w:t>
      </w:r>
      <w:r>
        <w:rPr>
          <w:bCs/>
          <w:b/>
        </w:rPr>
        <w:t xml:space="preserve"> </w:t>
      </w:r>
      <w:r>
        <w:rPr>
          <w:bCs/>
          <w:b/>
          <w:bCs/>
          <w:b/>
        </w:rPr>
        <w:t xml:space="preserve">Jajoo A</w:t>
      </w:r>
      <w:r>
        <w:t xml:space="preserve">.</w:t>
      </w:r>
      <w:r>
        <w:t xml:space="preserve"> </w:t>
      </w:r>
      <w:r>
        <w:rPr>
          <w:bCs/>
          <w:b/>
        </w:rPr>
        <w:t xml:space="preserve">2018</w:t>
      </w:r>
      <w:r>
        <w:t xml:space="preserve">. Photosynthetic efficiency in sun and shade plants.</w:t>
      </w:r>
      <w:r>
        <w:t xml:space="preserve"> </w:t>
      </w:r>
      <w:r>
        <w:rPr>
          <w:iCs/>
          <w:i/>
        </w:rPr>
        <w:t xml:space="preserve">Photosynt.</w:t>
      </w:r>
      <w:r>
        <w:t xml:space="preserve"> </w:t>
      </w:r>
      <w:r>
        <w:rPr>
          <w:bCs/>
          <w:b/>
        </w:rPr>
        <w:t xml:space="preserve">56</w:t>
      </w:r>
      <w:r>
        <w:t xml:space="preserve">: 354–365.</w:t>
      </w:r>
    </w:p>
    <w:bookmarkEnd w:id="39"/>
    <w:bookmarkStart w:id="40"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0"/>
    <w:bookmarkStart w:id="41"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1"/>
    <w:bookmarkStart w:id="42"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2"/>
    <w:bookmarkStart w:id="43"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3"/>
    <w:bookmarkStart w:id="44"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44"/>
    <w:bookmarkStart w:id="45"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45"/>
    <w:bookmarkStart w:id="46"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6"/>
    <w:bookmarkStart w:id="47"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47"/>
    <w:bookmarkStart w:id="48"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8"/>
    <w:bookmarkStart w:id="49"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49"/>
    <w:bookmarkStart w:id="50"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50"/>
    <w:bookmarkStart w:id="51"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51"/>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2022-01-26T02:54:38Z</dcterms:created>
  <dcterms:modified xsi:type="dcterms:W3CDTF">2022-01-26T02:54:38Z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