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6"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m:oMath>
        <m:sSub>
          <m:e>
            <m:r>
              <m:t>T</m:t>
            </m:r>
          </m:e>
          <m:sub>
            <m:r>
              <m:t>l</m:t>
            </m:r>
            <m:r>
              <m:t>e</m:t>
            </m:r>
            <m:r>
              <m:t>a</m:t>
            </m:r>
            <m:r>
              <m:t>f</m:t>
            </m:r>
          </m:sub>
        </m:sSub>
      </m:oMath>
      <w:r>
        <w:rPr>
          <w:bCs/>
          <w:b/>
        </w:rPr>
        <w:t xml:space="preserve"> </w:t>
      </w:r>
      <w:r>
        <w:rPr>
          <w:bCs/>
          <w:b/>
        </w:rPr>
        <w:t xml:space="preserve">can be well below</w:t>
      </w:r>
      <w:r>
        <w:rPr>
          <w:bCs/>
          <w:b/>
        </w:rPr>
        <w:t xml:space="preserve"> </w:t>
      </w:r>
      <m:oMath>
        <m:sSub>
          <m:e>
            <m:r>
              <m:t>T</m:t>
            </m:r>
          </m:e>
          <m:sub>
            <m:r>
              <m:t>a</m:t>
            </m:r>
            <m:r>
              <m:t>i</m:t>
            </m:r>
            <m:r>
              <m:t>r</m:t>
            </m:r>
          </m:sub>
        </m:sSub>
      </m:oMath>
      <w:r>
        <w:rPr>
          <w:bCs/>
          <w:b/>
        </w:rPr>
        <w:t xml:space="preserve"> </w:t>
      </w:r>
      <w:r>
        <w:rPr>
          <w:bCs/>
          <w:b/>
        </w:rPr>
        <w:t xml:space="preserve">on clear nights despite low transpiration, due to radiative coupling with the very cold sky. 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2"/>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3"/>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3"/>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3"/>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3"/>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iCs/>
          <w:i/>
        </w:rPr>
        <w:t xml:space="preserve">“</w:t>
      </w:r>
      <w:r>
        <w:rPr>
          <w:iCs/>
          <w:i/>
        </w:rPr>
        <w:t xml:space="preserve">Vertical CO</w:t>
      </w:r>
      <w:r>
        <w:rPr>
          <w:vertAlign w:val="subscript"/>
          <w:iCs/>
          <w:i/>
        </w:rPr>
        <w:t xml:space="preserve">2</w:t>
      </w:r>
      <w:r>
        <w:rPr>
          <w:iCs/>
          <w:i/>
        </w:rPr>
        <w:t xml:space="preserve"> </w:t>
      </w:r>
      <w:r>
        <w:rPr>
          <w:iCs/>
          <w:i/>
        </w:rPr>
        <w:t xml:space="preserve">concentration gradients can influence the ratio of leaf inter-cellular CO</w:t>
      </w:r>
      <w:r>
        <w:rPr>
          <w:vertAlign w:val="subscript"/>
          <w:iCs/>
          <w:i/>
        </w:rPr>
        <w:t xml:space="preserve">2</w:t>
      </w:r>
      <w:r>
        <w:rPr>
          <w:iCs/>
          <w:i/>
        </w:rPr>
        <w:t xml:space="preserve"> </w:t>
      </w:r>
      <w:r>
        <w:rPr>
          <w:iCs/>
          <w:i/>
        </w:rPr>
        <w:t xml:space="preserve">to ambient CO</w:t>
      </w:r>
      <w:r>
        <w:rPr>
          <w:vertAlign w:val="subscript"/>
          <w:iCs/>
          <w:i/>
        </w:rPr>
        <w:t xml:space="preserve">2</w:t>
      </w:r>
      <w:r>
        <w:rPr>
          <w:iCs/>
          <w:i/>
        </w:rPr>
        <w:t xml:space="preserve"> </w:t>
      </w:r>
      <w:r>
        <w:rPr>
          <w:iCs/>
          <w:i/>
        </w:rPr>
        <w:t xml:space="preserve">(</w:t>
      </w:r>
      <m:oMath>
        <m:sSub>
          <m:e>
            <m:r>
              <m:t>c</m:t>
            </m:r>
          </m:e>
          <m:sub>
            <m:r>
              <m:t>i</m:t>
            </m:r>
          </m:sub>
        </m:sSub>
        <m:r>
          <m:rPr>
            <m:sty m:val="p"/>
          </m:rPr>
          <m:t>/</m:t>
        </m:r>
        <m:sSub>
          <m:e>
            <m:r>
              <m:t>c</m:t>
            </m:r>
          </m:e>
          <m:sub>
            <m:r>
              <m:t>a</m:t>
            </m:r>
          </m:sub>
        </m:sSub>
      </m:oMath>
      <w:r>
        <w:rPr>
          <w:iCs/>
          <w:i/>
        </w:rPr>
        <w:t xml:space="preserve">), and refixation of respired CO</w:t>
      </w:r>
      <w:r>
        <w:rPr>
          <w:vertAlign w:val="subscript"/>
          <w:iCs/>
          <w:i/>
        </w:rPr>
        <w:t xml:space="preserve">2</w:t>
      </w:r>
      <w:r>
        <w:rPr>
          <w:iCs/>
          <w:i/>
        </w:rPr>
        <w:t xml:space="preserve"> </w:t>
      </w:r>
      <w:r>
        <w:rPr>
          <w:iCs/>
          <w:i/>
        </w:rPr>
        <w:t xml:space="preserve">inferred by</w:t>
      </w:r>
      <w:r>
        <w:rPr>
          <w:iCs/>
          <w:i/>
        </w:rPr>
        <w:t xml:space="preserve"> </w:t>
      </w:r>
      <m:oMath>
        <m:sSup>
          <m:e>
            <m:r>
              <m:t>δ</m:t>
            </m:r>
          </m:e>
          <m:sup>
            <m:r>
              <m:t>13</m:t>
            </m:r>
          </m:sup>
        </m:sSup>
        <m:r>
          <m:t>C</m:t>
        </m:r>
      </m:oMath>
      <w:r>
        <w:rPr>
          <w:iCs/>
          <w:i/>
        </w:rPr>
        <w:t xml:space="preserve">, where both tend to be higher in the lower canopy positions. Particularly, understory seedlings above ground can have highest rates of CO</w:t>
      </w:r>
      <w:r>
        <w:rPr>
          <w:vertAlign w:val="subscript"/>
          <w:iCs/>
          <w:i/>
        </w:rPr>
        <w:t xml:space="preserve">2</w:t>
      </w:r>
      <w:r>
        <w:rPr>
          <w:iCs/>
          <w:i/>
        </w:rPr>
        <w:t xml:space="preserve"> </w:t>
      </w:r>
      <w:r>
        <w:rPr>
          <w:iCs/>
          <w:i/>
        </w:rPr>
        <w:t xml:space="preserve">refixation [Brooks et al. 1997].</w:t>
      </w:r>
      <w:r>
        <w:rPr>
          <w:iCs/>
          <w:i/>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45" w:name="references"/>
    <w:p>
      <w:pPr>
        <w:pStyle w:val="Heading2"/>
      </w:pPr>
      <w:r>
        <w:t xml:space="preserve">References</w:t>
      </w:r>
    </w:p>
    <w:bookmarkStart w:id="44"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3"/>
    <w:bookmarkStart w:id="34"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4"/>
    <w:bookmarkStart w:id="35"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5"/>
    <w:bookmarkStart w:id="36"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6"/>
    <w:bookmarkStart w:id="37"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7"/>
    <w:bookmarkStart w:id="3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8"/>
    <w:bookmarkStart w:id="39"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39"/>
    <w:bookmarkStart w:id="40"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0"/>
    <w:bookmarkStart w:id="41"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1"/>
    <w:bookmarkStart w:id="42"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42"/>
    <w:bookmarkStart w:id="43"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43"/>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2022-01-18T16:08:48Z</dcterms:created>
  <dcterms:modified xsi:type="dcterms:W3CDTF">2022-01-18T16:08:48Z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