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2"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Added the following lines:</w:t>
      </w:r>
      <w:r>
        <w:t xml:space="preserve"> </w:t>
      </w:r>
      <w:r>
        <w:rPr>
          <w:bCs/>
          <w:b/>
        </w:rPr>
        <w:t xml:space="preserve">Canopy foliage absorb a large portion of PAR (400-700nm), and selectively filter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iCs/>
          <w:i/>
        </w:rPr>
        <w:t xml:space="preserve">need to add more water water use efficiency</w:t>
      </w:r>
    </w:p>
    <w:p>
      <w:pPr>
        <w:pStyle w:val="BodyText"/>
      </w:pPr>
      <w:r>
        <w:rPr>
          <w:bCs/>
          <w:b/>
        </w:rPr>
        <w:t xml:space="preserve">We added the following sentences related to hydraulic contraints with height:</w:t>
      </w:r>
      <w:r>
        <w:t xml:space="preserve"> </w:t>
      </w:r>
      <w:r>
        <w:rPr>
          <w:bCs/>
          <w:b/>
        </w:rPr>
        <w:t xml:space="preserve">Further, tree height also plays a role in determining the gradient of</w:t>
      </w:r>
      <w:r>
        <w:rPr>
          <w:bCs/>
          <w:b/>
        </w:rPr>
        <w:t xml:space="preserve"> </w:t>
      </w:r>
      <m:oMath>
        <m:sSub>
          <m:e>
            <m:r>
              <m:t>g</m:t>
            </m:r>
          </m:e>
          <m:sub>
            <m:r>
              <m:t>s</m:t>
            </m:r>
          </m:sub>
        </m:sSub>
      </m:oMath>
      <w:r>
        <w:rPr>
          <w:bCs/>
          <w:b/>
        </w:rPr>
        <w:t xml:space="preserve"> </w:t>
      </w:r>
      <w:r>
        <w:rPr>
          <w:bCs/>
          <w:b/>
        </w:rPr>
        <w:t xml:space="preserve">vertically, which has implications for</w:t>
      </w:r>
      <w:r>
        <w:rPr>
          <w:bCs/>
          <w:b/>
        </w:rPr>
        <w:t xml:space="preserve"> </w:t>
      </w:r>
      <m:oMath>
        <m:sSub>
          <m:e>
            <m:r>
              <m:t>T</m:t>
            </m:r>
          </m:e>
          <m:sub>
            <m:r>
              <m:t>l</m:t>
            </m:r>
          </m:sub>
        </m:sSub>
        <m:r>
          <m:t>e</m:t>
        </m:r>
        <m:r>
          <m:t>a</m:t>
        </m:r>
        <m:r>
          <m:t>f</m:t>
        </m:r>
      </m:oMath>
      <w:r>
        <w:rPr>
          <w:bCs/>
          <w:b/>
        </w:rPr>
        <w:t xml:space="preserve">. With an increase in tree height, water travels a longer distance to meet the evaporative demands in sunlit canopy leaves. Longer water path length, high irradiance and VPD imposes hydraulic constraints in sunlit canopy leaves (Schäfer et al., 2000; Ambrose et al., 2010). Therefore, although typically</w:t>
      </w:r>
      <w:r>
        <w:rPr>
          <w:bCs/>
          <w:b/>
        </w:rPr>
        <w:t xml:space="preserve"> </w:t>
      </w:r>
      <m:oMath>
        <m:sSub>
          <m:e>
            <m:r>
              <m:t>g</m:t>
            </m:r>
          </m:e>
          <m:sub>
            <m:r>
              <m:t>s</m:t>
            </m:r>
          </m:sub>
        </m:sSub>
      </m:oMath>
      <w:r>
        <w:rPr>
          <w:bCs/>
          <w:b/>
        </w:rPr>
        <w:t xml:space="preserve"> </w:t>
      </w:r>
      <w:r>
        <w:rPr>
          <w:bCs/>
          <w:b/>
        </w:rPr>
        <w:t xml:space="preserve">increases with light, upper canopy leaves of taller trees have lower</w:t>
      </w:r>
      <w:r>
        <w:rPr>
          <w:bCs/>
          <w:b/>
        </w:rPr>
        <w:t xml:space="preserve"> </w:t>
      </w:r>
      <m:oMath>
        <m:sSub>
          <m:e>
            <m:r>
              <m:t>g</m:t>
            </m:r>
          </m:e>
          <m:sub>
            <m:r>
              <m:t>s</m:t>
            </m:r>
          </m:sub>
        </m:sSub>
      </m:oMath>
      <w:r>
        <w:rPr>
          <w:bCs/>
          <w:b/>
        </w:rPr>
        <w:t xml:space="preserve"> </w:t>
      </w:r>
      <w:r>
        <w:rPr>
          <w:bCs/>
          <w:b/>
        </w:rPr>
        <w:t xml:space="preserve">and leaf water potential to enable high leaf water-use efficiency (Rijkers et al., 2000; Kenzo et al., 2015). This, added to the tendency for sun leaves to have higher</w:t>
      </w:r>
      <w:r>
        <w:rPr>
          <w:bCs/>
          <w:b/>
        </w:rPr>
        <w:t xml:space="preserve"> </w:t>
      </w:r>
      <m:oMath>
        <m:sSub>
          <m:e>
            <m:r>
              <m:t>T</m:t>
            </m:r>
          </m:e>
          <m:sub>
            <m:r>
              <m:t>l</m:t>
            </m:r>
          </m:sub>
        </m:sSub>
        <m:r>
          <m:t>e</m:t>
        </m:r>
        <m:r>
          <m:t>a</m:t>
        </m:r>
        <m:r>
          <m:t>f</m:t>
        </m:r>
      </m:oMath>
      <w:r>
        <w:rPr>
          <w:bCs/>
          <w:b/>
        </w:rPr>
        <w:t xml:space="preserve">, implies that high</w:t>
      </w:r>
      <w:r>
        <w:rPr>
          <w:bCs/>
          <w:b/>
        </w:rPr>
        <w:t xml:space="preserve"> </w:t>
      </w:r>
      <m:oMath>
        <m:sSub>
          <m:e>
            <m:r>
              <m:t>T</m:t>
            </m:r>
          </m:e>
          <m:sub>
            <m:r>
              <m:t>a</m:t>
            </m:r>
          </m:sub>
        </m:sSub>
        <m:r>
          <m:t>i</m:t>
        </m:r>
        <m:r>
          <m:t>r</m:t>
        </m:r>
      </m:oMath>
      <w:r>
        <w:rPr>
          <w:bCs/>
          <w:b/>
        </w:rPr>
        <w:t xml:space="preserve"> </w:t>
      </w:r>
      <w:r>
        <w:rPr>
          <w:bCs/>
          <w:b/>
        </w:rPr>
        <w:t xml:space="preserve">should decrease</w:t>
      </w:r>
      <w:r>
        <w:rPr>
          <w:bCs/>
          <w:b/>
        </w:rPr>
        <w:t xml:space="preserve"> </w:t>
      </w:r>
      <m:oMath>
        <m:sSub>
          <m:e>
            <m:r>
              <m:t>g</m:t>
            </m:r>
          </m:e>
          <m:sub>
            <m:r>
              <m:t>s</m:t>
            </m:r>
          </m:sub>
        </m:sSub>
      </m:oMath>
      <w:r>
        <w:rPr>
          <w:bCs/>
          <w:b/>
        </w:rPr>
        <w:t xml:space="preserve"> </w:t>
      </w:r>
      <w:r>
        <w:rPr>
          <w:bCs/>
          <w:b/>
        </w:rPr>
        <w:t xml:space="preserve">of canopy leaves more than understory leaves, particularly when water availability is limited.</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3"/>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3"/>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3"/>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3"/>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iCs/>
          <w:i/>
        </w:rPr>
        <w:t xml:space="preserve">We removed the second</w:t>
      </w:r>
      <w:r>
        <w:rPr>
          <w:iCs/>
          <w:i/>
        </w:rPr>
        <w:t xml:space="preserve"> </w:t>
      </w:r>
      <w:r>
        <w:rPr>
          <w:iCs/>
          <w:i/>
        </w:rPr>
        <w:t xml:space="preserve">‘</w:t>
      </w:r>
      <w:r>
        <w:rPr>
          <w:iCs/>
          <w:i/>
        </w:rPr>
        <w:t xml:space="preserve">understory</w:t>
      </w:r>
      <w:r>
        <w:rPr>
          <w:iCs/>
          <w:i/>
        </w:rPr>
        <w:t xml:space="preserve">’</w:t>
      </w:r>
      <w:r>
        <w:rPr>
          <w:iCs/>
          <w:i/>
        </w:rPr>
        <w:t xml:space="preserve"> </w:t>
      </w:r>
      <w:r>
        <w:rPr>
          <w:iCs/>
          <w:i/>
        </w:rPr>
        <w:t xml:space="preserve">word here:</w:t>
      </w:r>
      <w:r>
        <w:t xml:space="preserve"> </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Done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iCs/>
          <w:i/>
        </w:rPr>
        <w:t xml:space="preserve">Vertical CO</w:t>
      </w:r>
      <w:r>
        <w:rPr>
          <w:vertAlign w:val="subscript"/>
          <w:iCs/>
          <w:i/>
        </w:rPr>
        <w:t xml:space="preserve">2</w:t>
      </w:r>
      <w:r>
        <w:rPr>
          <w:iCs/>
          <w:i/>
        </w:rPr>
        <w:t xml:space="preserve"> </w:t>
      </w:r>
      <w:r>
        <w:rPr>
          <w:iCs/>
          <w:i/>
        </w:rPr>
        <w:t xml:space="preserve">concentration gradients can influence gas exchange indicated by the ratio of leaf inter-cellular CO</w:t>
      </w:r>
      <w:r>
        <w:rPr>
          <w:vertAlign w:val="subscript"/>
          <w:iCs/>
          <w:i/>
        </w:rPr>
        <w:t xml:space="preserve">2</w:t>
      </w:r>
      <w:r>
        <w:rPr>
          <w:iCs/>
          <w:i/>
        </w:rPr>
        <w:t xml:space="preserve"> </w:t>
      </w:r>
      <w:r>
        <w:rPr>
          <w:iCs/>
          <w:i/>
        </w:rPr>
        <w:t xml:space="preserve">to ambient CO</w:t>
      </w:r>
      <w:r>
        <w:rPr>
          <w:vertAlign w:val="subscript"/>
          <w:iCs/>
          <w:i/>
        </w:rPr>
        <w:t xml:space="preserve">2</w:t>
      </w:r>
      <w:r>
        <w:rPr>
          <w:iCs/>
          <w:i/>
        </w:rPr>
        <w:t xml:space="preserve"> </w:t>
      </w:r>
      <w:r>
        <w:rPr>
          <w:iCs/>
          <w:i/>
        </w:rPr>
        <w:t xml:space="preserve">(</w:t>
      </w:r>
      <m:oMath>
        <m:sSub>
          <m:e>
            <m:r>
              <m:t>c</m:t>
            </m:r>
          </m:e>
          <m:sub>
            <m:r>
              <m:t>i</m:t>
            </m:r>
          </m:sub>
        </m:sSub>
        <m:r>
          <m:rPr>
            <m:sty m:val="p"/>
          </m:rPr>
          <m:t>/</m:t>
        </m:r>
        <m:sSub>
          <m:e>
            <m:r>
              <m:t>c</m:t>
            </m:r>
          </m:e>
          <m:sub>
            <m:r>
              <m:t>a</m:t>
            </m:r>
          </m:sub>
        </m:sSub>
      </m:oMath>
      <w:r>
        <w:rPr>
          <w:iCs/>
          <w:i/>
        </w:rPr>
        <w:t xml:space="preserve">), and refixation of respired CO</w:t>
      </w:r>
      <w:r>
        <w:rPr>
          <w:vertAlign w:val="subscript"/>
          <w:iCs/>
          <w:i/>
        </w:rPr>
        <w:t xml:space="preserve">2</w:t>
      </w:r>
      <w:r>
        <w:rPr>
          <w:iCs/>
          <w:i/>
        </w:rPr>
        <w:t xml:space="preserve"> </w:t>
      </w:r>
      <w:r>
        <w:rPr>
          <w:iCs/>
          <w:i/>
        </w:rPr>
        <w:t xml:space="preserve">inferred by</w:t>
      </w:r>
      <w:r>
        <w:rPr>
          <w:iCs/>
          <w:i/>
        </w:rPr>
        <w:t xml:space="preserve"> </w:t>
      </w:r>
      <m:oMath>
        <m:sSup>
          <m:e>
            <m:r>
              <m:t>δ</m:t>
            </m:r>
          </m:e>
          <m:sup>
            <m:r>
              <m:t>13</m:t>
            </m:r>
          </m:sup>
        </m:sSup>
        <m:r>
          <m:t>C</m:t>
        </m:r>
      </m:oMath>
      <w:r>
        <w:rPr>
          <w:iCs/>
          <w:i/>
        </w:rPr>
        <w:t xml:space="preserve">, where both tend to be higher in the lower canopy positions. Particularly, understory seedlings above ground can have highest rates of CO</w:t>
      </w:r>
      <w:r>
        <w:rPr>
          <w:vertAlign w:val="subscript"/>
          <w:iCs/>
          <w:i/>
        </w:rPr>
        <w:t xml:space="preserve">2</w:t>
      </w:r>
      <w:r>
        <w:rPr>
          <w:iCs/>
          <w:i/>
        </w:rPr>
        <w:t xml:space="preserve"> </w:t>
      </w:r>
      <w:r>
        <w:rPr>
          <w:iCs/>
          <w:i/>
        </w:rPr>
        <w:t xml:space="preserve">refixation [Brooks et al. 1997].</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 diel temperature range is smaller beneath dense canopies than above, resulting in,</w:t>
      </w:r>
      <w:r>
        <w:rPr>
          <w:bCs/>
          <w:b/>
        </w:rPr>
        <w:t xml:space="preserve"> </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Done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t xml:space="preserve">*This is either a semantics issue, or a case where the reviewer is expecting greater realism that what we’re actually doing. You should make that clear in the caption (also addresses comment above), and perhaps use</w:t>
      </w:r>
      <w:r>
        <w:t xml:space="preserve"> </w:t>
      </w:r>
      <w:r>
        <w:t xml:space="preserve">“</w:t>
      </w:r>
      <w:r>
        <w:t xml:space="preserve">humid</w:t>
      </w:r>
      <w:r>
        <w:t xml:space="preserve">”</w:t>
      </w:r>
      <w:r>
        <w:t xml:space="preserve"> </w:t>
      </w:r>
      <w:r>
        <w:t xml:space="preserve">and</w:t>
      </w:r>
      <w:r>
        <w:t xml:space="preserve"> </w:t>
      </w:r>
      <w:r>
        <w:t xml:space="preserve">“</w:t>
      </w:r>
      <w:r>
        <w:t xml:space="preserve">dry</w:t>
      </w:r>
      <w:r>
        <w:t xml:space="preserve">”</w:t>
      </w:r>
      <w:r>
        <w:t xml:space="preserve"> </w:t>
      </w:r>
      <w:r>
        <w:t xml:space="preserve">(rather than drought).</w:t>
      </w:r>
    </w:p>
    <w:p>
      <w:pPr>
        <w:pStyle w:val="BodyText"/>
      </w:pPr>
      <w: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Done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1" w:name="references"/>
    <w:p>
      <w:pPr>
        <w:pStyle w:val="Heading2"/>
      </w:pPr>
      <w:r>
        <w:t xml:space="preserve">References</w:t>
      </w:r>
    </w:p>
    <w:bookmarkStart w:id="40"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4"/>
    <w:bookmarkStart w:id="35"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5"/>
    <w:bookmarkStart w:id="36"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6"/>
    <w:bookmarkStart w:id="37"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7"/>
    <w:bookmarkStart w:id="38"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38"/>
    <w:bookmarkStart w:id="39"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39"/>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2022-01-18T03:25:08Z</dcterms:created>
  <dcterms:modified xsi:type="dcterms:W3CDTF">2022-01-18T03:25:08Z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