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87" w:name="response-to-reviewers-comments-to-author"/>
    <w:p>
      <w:pPr>
        <w:pStyle w:val="Heading1"/>
      </w:pPr>
      <w:r>
        <w:t xml:space="preserve">Response to Reviewer(s)’ Comments to Author:</w:t>
      </w:r>
    </w:p>
    <w:bookmarkStart w:id="23"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1"/>
    <w:bookmarkStart w:id="22"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ability to incorporate vertical variation in leaf traits and physiological processes. In general, however, this variation is accounted for via light competition. 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However, doing so will require improved understanding of the mechanisms controlling vertical gradients.</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2"/>
    <w:bookmarkEnd w:id="23"/>
    <w:bookmarkStart w:id="26"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italicized)</w:t>
      </w:r>
    </w:p>
    <w:p>
      <w:pPr>
        <w:numPr>
          <w:ilvl w:val="0"/>
          <w:numId w:val="1005"/>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Further, by reducing photosynthesis, heat and associated stomatal closure from VPD can indirectly reduce the capacity to use light energy for photochemistry, thereby increasing the potential for photoinhibition. Accumulation of excess light energy results in overreduction of the electron transport chain and the formation of harmful reactive oxygen species (ROS)</w:t>
      </w:r>
      <w:r>
        <w:rPr>
          <w:bCs/>
          <w:b/>
        </w:rPr>
        <w:t xml:space="preserve"> </w:t>
      </w:r>
      <w:r>
        <w:rPr>
          <w:bCs/>
          <w:b/>
        </w:rPr>
        <w:t xml:space="preserve">(Niyogi, 2000; Suzuki &amp; Mittler, 2006)</w:t>
      </w:r>
      <w:r>
        <w:rPr>
          <w:bCs/>
          <w:b/>
        </w:rPr>
        <w:t xml:space="preserve">. A ubiquitous defense is a rapidly inducible non-photochemical quenching (NPQ) mechanism that responds to the increased thylakoid pH gradient caused by accumulated light energy</w:t>
      </w:r>
      <w:r>
        <w:rPr>
          <w:bCs/>
          <w:b/>
        </w:rPr>
        <w:t xml:space="preserve"> </w:t>
      </w:r>
      <w:r>
        <w:rPr>
          <w:bCs/>
          <w:b/>
        </w:rPr>
        <w:t xml:space="preserve">(Niyogi, 2000; Goss &amp; Lepetit, 2015)</w:t>
      </w:r>
      <w:r>
        <w:rPr>
          <w:bCs/>
          <w:b/>
        </w:rPr>
        <w:t xml:space="preserve">. This form of NPQ is accomplished by the interconversion of xanthophyll cycle pigments—violaxanthin, antheraxanthin, and zeaxanthin (VAZ)—which regulates the capacity for de-excitation of chlorophyll through thermal dissipation instead of photochemistry. Due to higher leaf temperatures and hydraulic limitations, upper canopy leaves spend more time with stomata closed, and therefore require a high capacity to dissipate excess light energy</w:t>
      </w:r>
      <w:r>
        <w:rPr>
          <w:bCs/>
          <w:b/>
        </w:rPr>
        <w:t xml:space="preserve"> </w:t>
      </w:r>
      <w:r>
        <w:rPr>
          <w:bCs/>
          <w:b/>
        </w:rPr>
        <w:t xml:space="preserve">(Niinemets, 2007)</w:t>
      </w:r>
      <w:r>
        <w:rPr>
          <w:bCs/>
          <w:b/>
        </w:rPr>
        <w:t xml:space="preserve">. Correspondingly,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 In contrast, leaves deeper in the canopy experience rapid light and temperature surges (can exceed 10˚C) during sunflecks</w:t>
      </w:r>
      <w:r>
        <w:rPr>
          <w:bCs/>
          <w:b/>
        </w:rPr>
        <w:t xml:space="preserve"> </w:t>
      </w:r>
      <w:r>
        <w:rPr>
          <w:bCs/>
          <w:b/>
        </w:rPr>
        <w:t xml:space="preserve">(Way &amp; Pearcy, 2012)</w:t>
      </w:r>
      <w:r>
        <w:rPr>
          <w:bCs/>
          <w:b/>
        </w:rPr>
        <w:t xml:space="preserve">. In order to maximize carbon uptake and minimize damage during sunflecks,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compared to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5"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calculated from</w:t>
      </w:r>
      <w:r>
        <w:rPr>
          <w:bCs/>
          <w:b/>
        </w:rPr>
        <w:t xml:space="preserve"> </w:t>
      </w:r>
      <m:oMath>
        <m:sSup>
          <m:e>
            <m:r>
              <m:t>δ</m:t>
            </m:r>
          </m:e>
          <m:sup>
            <m:r>
              <m:t>13</m:t>
            </m:r>
          </m:sup>
        </m:sSup>
        <m:r>
          <m:t>C</m:t>
        </m:r>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rPr>
          <w:iCs/>
          <w:i/>
        </w:rPr>
        <w:t xml:space="preserve">(this remains to be done:</w:t>
      </w:r>
      <w:r>
        <w:rPr>
          <w:iCs/>
          <w:i/>
        </w:rPr>
        <w:t xml:space="preserve"> </w:t>
      </w:r>
      <w:hyperlink r:id="rId24">
        <w:r>
          <w:rPr>
            <w:rStyle w:val="Hyperlink"/>
            <w:iCs/>
            <w:i/>
          </w:rPr>
          <w:t xml:space="preserve">https://github.com/EcoClimLab/vertical-thermal-review/issues/84</w:t>
        </w:r>
      </w:hyperlink>
      <w:r>
        <w:rPr>
          <w:iCs/>
          <w:i/>
        </w:rPr>
        <w:t xml:space="preserve">)</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This vertical variation in leaf structure and composition has been long recognized, with sun and shade leaf traits distinguished for more than 100 years</w:t>
      </w:r>
      <w:r>
        <w:rPr>
          <w:bCs/>
          <w:b/>
        </w:rPr>
        <w:t xml:space="preserve"> </w:t>
      </w:r>
      <w:r>
        <w:rPr>
          <w:bCs/>
          <w:b/>
        </w:rPr>
        <w:t xml:space="preserve">(Haberlandt, 1914; Salisbury, 1928)</w:t>
      </w:r>
      <w:r>
        <w:rPr>
          <w:bCs/>
          <w:b/>
        </w:rPr>
        <w:t xml:space="preserve">. 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 conditions</w:t>
      </w:r>
      <w:r>
        <w:rPr>
          <w:bCs/>
          <w:b/>
        </w:rPr>
        <w:t xml:space="preserve"> </w:t>
      </w:r>
      <w:r>
        <w:rPr>
          <w:bCs/>
          <w:b/>
        </w:rPr>
        <w:t xml:space="preserve">(Boardman, 1977; Abrams &amp; Kubiske, 1990)</w:t>
      </w:r>
      <w:r>
        <w:rPr>
          <w:bCs/>
          <w:b/>
        </w:rPr>
        <w:t xml:space="preserve">. More recent work has included a focus not only on light, but also on leaf height in the canopy, as important in determining differences in mature leaf structure and function, as leaf traits may partially mitigate the effects of gravity and hydraulic pathlength that would affect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 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 Thus, leaves develop differently throughout the canopy according to the irradiance and hydraulic stress associated with their canopy location, height and evaporative load, with additional potential influences of the ontogenetic stage of the branches</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 Keenan &amp; Niinemets, 2016; Chen</w:t>
      </w:r>
      <w:r>
        <w:rPr>
          <w:bCs/>
          <w:b/>
        </w:rPr>
        <w:t xml:space="preserve"> </w:t>
      </w:r>
      <w:r>
        <w:rPr>
          <w:iCs/>
          <w:i/>
          <w:bCs/>
          <w:b/>
        </w:rPr>
        <w:t xml:space="preserve">et al.</w:t>
      </w:r>
      <w:r>
        <w:rPr>
          <w:bCs/>
          <w:b/>
        </w:rPr>
        <w:t xml:space="preserve">, 2020; Table 1,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 Plasticity throughout the canopy may emerge during new leaf development with leaves being influenced by information from adjacent mature leaves or apical meristem, including (e.g., for deciduous species expanding leaves)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 Overall, leaves may optimize their biochemical, anatomical and structural traits according to their light environment and height (</w:t>
      </w:r>
      <w:r>
        <w:rPr>
          <w:bCs/>
          <w:b/>
        </w:rPr>
        <w:t xml:space="preserve">Lloyd</w:t>
      </w:r>
      <w:r>
        <w:rPr>
          <w:bCs/>
          <w:b/>
        </w:rPr>
        <w:t xml:space="preserve"> </w:t>
      </w:r>
      <w:r>
        <w:rPr>
          <w:iCs/>
          <w:i/>
          <w:bCs/>
          <w:b/>
        </w:rPr>
        <w:t xml:space="preserve">et al.</w:t>
      </w:r>
      <w:r>
        <w:rPr>
          <w:bCs/>
          <w:b/>
        </w:rPr>
        <w:t xml:space="preserve"> </w:t>
      </w:r>
      <w:r>
        <w:rPr>
          <w:bCs/>
          <w:b/>
        </w:rPr>
        <w:t xml:space="preserve">(2010)</w:t>
      </w:r>
      <w:r>
        <w:rPr>
          <w:bCs/>
          <w:b/>
        </w:rPr>
        <w:t xml:space="preserve">;</w:t>
      </w:r>
      <w:r>
        <w:rPr>
          <w:bCs/>
          <w:b/>
        </w:rPr>
        <w:t xml:space="preserve"> </w:t>
      </w:r>
      <w:r>
        <w:rPr>
          <w:bCs/>
          <w:b/>
        </w:rPr>
        <w:t xml:space="preserve">Buckley (2021)</w:t>
      </w:r>
      <w:r>
        <w:rPr>
          <w:bCs/>
          <w:b/>
        </w:rPr>
        <w:t xml:space="preserve">;</w:t>
      </w:r>
      <w:r>
        <w:rPr>
          <w:bCs/>
          <w:b/>
        </w:rPr>
        <w:t xml:space="preserve"> </w:t>
      </w:r>
      <w:r>
        <w:rPr>
          <w:bCs/>
          <w:b/>
        </w:rPr>
        <w:t xml:space="preserve">Hikosaka (2014)</w:t>
      </w:r>
      <w:r>
        <w:rPr>
          <w:bCs/>
          <w:b/>
        </w:rPr>
        <w:t xml:space="preserve">;</w:t>
      </w:r>
      <w:r>
        <w:rPr>
          <w:bCs/>
          <w:b/>
        </w:rPr>
        <w:t xml:space="preserve"> </w:t>
      </w:r>
      <w:r>
        <w:rPr>
          <w:bCs/>
          <w:b/>
        </w:rPr>
        <w:t xml:space="preserve">Kitao</w:t>
      </w:r>
      <w:r>
        <w:rPr>
          <w:bCs/>
          <w:b/>
        </w:rPr>
        <w:t xml:space="preserve"> </w:t>
      </w:r>
      <w:r>
        <w:rPr>
          <w:iCs/>
          <w:i/>
          <w:bCs/>
          <w:b/>
        </w:rPr>
        <w:t xml:space="preserve">et al.</w:t>
      </w:r>
      <w:r>
        <w:rPr>
          <w:bCs/>
          <w:b/>
        </w:rPr>
        <w:t xml:space="preserve"> </w:t>
      </w:r>
      <w:r>
        <w:rPr>
          <w:bCs/>
          <w:b/>
        </w:rPr>
        <w:t xml:space="preserve">(2018)</w:t>
      </w:r>
      <w:r>
        <w:rPr>
          <w:bCs/>
          <w:b/>
        </w:rPr>
        <w:t xml:space="preserve">;</w:t>
      </w:r>
      <w:r>
        <w:rPr>
          <w:bCs/>
          <w:b/>
        </w:rPr>
        <w:t xml:space="preserve"> </w:t>
      </w:r>
      <w:r>
        <w:rPr>
          <w:bCs/>
          <w:b/>
        </w:rPr>
        <w:t xml:space="preserve">Niinemets (2007)</w:t>
      </w:r>
      <w:r>
        <w:rPr>
          <w:bCs/>
          <w:b/>
        </w:rPr>
        <w:t xml:space="preserve">). Yet, while these studies have clarified many details of leaf differences throughout the canopy, no papers have integrated the many differences in leaf traits throughout the canopy in a cohesive framework. Rather, much of our understanding of trait coordination is based on the leaf economics spectrum concept developed across diverse species using sun leaves</w:t>
      </w:r>
      <w:r>
        <w:rPr>
          <w:bCs/>
          <w:b/>
        </w:rPr>
        <w:t xml:space="preserve"> </w:t>
      </w:r>
      <w:r>
        <w:rPr>
          <w:bCs/>
          <w:b/>
        </w:rPr>
        <w:t xml:space="preserve">Keenan &amp; Niinemets (2016)</w:t>
      </w:r>
      <w:r>
        <w:rPr>
          <w:bCs/>
          <w:b/>
        </w:rPr>
        <w:t xml:space="preserve">. As canopy shade is known to alter these trait relationships (</w:t>
      </w:r>
      <w:r>
        <w:rPr>
          <w:bCs/>
          <w:b/>
        </w:rPr>
        <w:t xml:space="preserve">Osnas</w:t>
      </w:r>
      <w:r>
        <w:rPr>
          <w:bCs/>
          <w:b/>
        </w:rPr>
        <w:t xml:space="preserve"> </w:t>
      </w:r>
      <w:r>
        <w:rPr>
          <w:iCs/>
          <w:i/>
          <w:bCs/>
          <w:b/>
        </w:rPr>
        <w:t xml:space="preserve">et al.</w:t>
      </w:r>
      <w:r>
        <w:rPr>
          <w:bCs/>
          <w:b/>
        </w:rPr>
        <w:t xml:space="preserve"> </w:t>
      </w:r>
      <w:r>
        <w:rPr>
          <w:bCs/>
          <w:b/>
        </w:rPr>
        <w:t xml:space="preserve">(2018)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numPr>
          <w:ilvl w:val="0"/>
          <w:numId w:val="1010"/>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5"/>
    <w:bookmarkEnd w:id="26"/>
    <w:bookmarkStart w:id="86" w:name="references"/>
    <w:p>
      <w:pPr>
        <w:pStyle w:val="Heading2"/>
      </w:pPr>
      <w:r>
        <w:t xml:space="preserve">References</w:t>
      </w:r>
    </w:p>
    <w:bookmarkStart w:id="85" w:name="refs"/>
    <w:bookmarkStart w:id="27"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7"/>
    <w:bookmarkStart w:id="28"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8"/>
    <w:bookmarkStart w:id="29"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9"/>
    <w:bookmarkStart w:id="30"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30"/>
    <w:bookmarkStart w:id="31"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1"/>
    <w:bookmarkStart w:id="32"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2"/>
    <w:bookmarkStart w:id="33"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3"/>
    <w:bookmarkStart w:id="34"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4"/>
    <w:bookmarkStart w:id="35"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5"/>
    <w:bookmarkStart w:id="36"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6"/>
    <w:bookmarkStart w:id="37"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7"/>
    <w:bookmarkStart w:id="38"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8"/>
    <w:bookmarkStart w:id="39"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9"/>
    <w:bookmarkStart w:id="40"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40"/>
    <w:bookmarkStart w:id="41" w:name="Xa1bff5a5969f0791f89e588c947c633046af388"/>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41"/>
    <w:bookmarkStart w:id="42"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2"/>
    <w:bookmarkStart w:id="43"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3"/>
    <w:bookmarkStart w:id="44"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4"/>
    <w:bookmarkStart w:id="45"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45"/>
    <w:bookmarkStart w:id="46"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46"/>
    <w:bookmarkStart w:id="47"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47"/>
    <w:bookmarkStart w:id="48"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48"/>
    <w:bookmarkStart w:id="49"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49"/>
    <w:bookmarkStart w:id="50"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50"/>
    <w:bookmarkStart w:id="51"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51"/>
    <w:bookmarkStart w:id="5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52"/>
    <w:bookmarkStart w:id="53"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53"/>
    <w:bookmarkStart w:id="54"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54"/>
    <w:bookmarkStart w:id="55"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55"/>
    <w:bookmarkStart w:id="56"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56"/>
    <w:bookmarkStart w:id="57" w:name="ref-niinemetsResponsesForestTrees2010a"/>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57"/>
    <w:bookmarkStart w:id="58"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58"/>
    <w:bookmarkStart w:id="59"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59"/>
    <w:bookmarkStart w:id="60"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60"/>
    <w:bookmarkStart w:id="61"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61"/>
    <w:bookmarkStart w:id="62"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62"/>
    <w:bookmarkStart w:id="63"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63"/>
    <w:bookmarkStart w:id="64"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64"/>
    <w:bookmarkStart w:id="65"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65"/>
    <w:bookmarkStart w:id="66"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66"/>
    <w:bookmarkStart w:id="67"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67"/>
    <w:bookmarkStart w:id="68"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68"/>
    <w:bookmarkStart w:id="69"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69"/>
    <w:bookmarkStart w:id="70"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70"/>
    <w:bookmarkStart w:id="71"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71"/>
    <w:bookmarkStart w:id="72"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72"/>
    <w:bookmarkStart w:id="73"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73"/>
    <w:bookmarkStart w:id="74"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74"/>
    <w:bookmarkStart w:id="75"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75"/>
    <w:bookmarkStart w:id="76"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76"/>
    <w:bookmarkStart w:id="77"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77"/>
    <w:bookmarkStart w:id="78"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78"/>
    <w:bookmarkStart w:id="79"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79"/>
    <w:bookmarkStart w:id="80"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80"/>
    <w:bookmarkStart w:id="81"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81"/>
    <w:bookmarkStart w:id="82"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82"/>
    <w:bookmarkStart w:id="8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83"/>
    <w:bookmarkStart w:id="84"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EcoClimLab/vertical-thermal-review/issues/84"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EcoClimLab/vertical-thermal-review/issues/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2022-02-20T15:47:54Z</dcterms:created>
  <dcterms:modified xsi:type="dcterms:W3CDTF">2022-02-20T15:47:54Z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