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97"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CLM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r>
        <w:rPr>
          <w:bCs/>
          <w:b/>
        </w:rPr>
        <w:t xml:space="preserve"> </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limit evaporative cooling</w:t>
      </w:r>
      <w:r>
        <w:rPr>
          <w:bCs/>
          <w:b/>
        </w:rPr>
        <w:t xml:space="preserve"> </w:t>
      </w:r>
      <w:r>
        <w:rPr>
          <w:bCs/>
          <w:b/>
        </w:rPr>
        <w:t xml:space="preserve">(Fig.3 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light, thereby altering the spectrum of PAR creceived in the lower canopy and understory layers. The ratio of red (~685-690 nm) to far red (~730-740 nm) light declines along qith total PAR with increasing depth in the canopy, and understories receive diffuse light enriched in near infrared radiation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capacity to incorporate vertical variation in leaf traits and physiological processes.In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.Using the latter method, single canopy layers are divided into sun and shade fractions (e.g., in the Community Land Model, CLM model), while models with multiple vegetative layers can analytically solve the two-stream approximation for each layer.Thus,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Moreover, given the anticipated importance of mid-canopy and understory trees in ecosystem resilience given increasing mortality of canopy trees, it is essential that models separately represent these strata.</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Increasing severity and frequency of heat waves, accompanied with increases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is the primary physical barrier between the atmosphere and the forest floor, buffering multiple aspects of the understory conditions</w:t>
      </w:r>
      <w:r>
        <w:rPr>
          <w:bCs/>
          <w:b/>
        </w:rPr>
        <w:t xml:space="preserve"> </w:t>
      </w:r>
      <w:r>
        <w:rPr>
          <w:iCs/>
          <w:i/>
        </w:rPr>
        <w:t xml:space="preserve">from large fluctuations in conditions experienced above the canopy.”; (line xxx)</w:t>
      </w:r>
      <w:r>
        <w:rPr>
          <w:bCs/>
          <w:b/>
        </w:rPr>
        <w:t xml:space="preserve">(new text italicized)</w:t>
      </w:r>
    </w:p>
    <w:p>
      <w:pPr>
        <w:numPr>
          <w:ilvl w:val="0"/>
          <w:numId w:val="1005"/>
        </w:numPr>
        <w:pStyle w:val="Compact"/>
      </w:pPr>
      <w:r>
        <w:rPr>
          <w:bCs/>
          <w:b/>
        </w:rPr>
        <w:t xml:space="preserve">“</w:t>
      </w:r>
      <w:r>
        <w:rPr>
          <w:bCs/>
          <w:b/>
        </w:rPr>
        <w:t xml:space="preserve">Commonly, attenuation of radiation and vertical transport of sensible heat by the canopy buffers the lower canopy and understory from large diel and seasonal swings in air temperature</w:t>
      </w:r>
      <w:r>
        <w:rPr>
          <w:bCs/>
          <w:b/>
        </w:rPr>
        <w:t xml:space="preserve"> </w:t>
      </w:r>
      <w:r>
        <w:rPr>
          <w:bCs/>
          <w:b/>
        </w:rPr>
        <w:t xml:space="preserve">(Zellweger</w:t>
      </w:r>
      <w:r>
        <w:rPr>
          <w:bCs/>
          <w:b/>
        </w:rPr>
        <w:t xml:space="preserve"> </w:t>
      </w:r>
      <w:r>
        <w:rPr>
          <w:iCs/>
          <w:i/>
          <w:bCs/>
          <w:b/>
        </w:rPr>
        <w:t xml:space="preserve">et al.</w:t>
      </w:r>
      <w:r>
        <w:rPr>
          <w:bCs/>
          <w:b/>
        </w:rPr>
        <w:t xml:space="preserve">, 2019; De Frenne</w:t>
      </w:r>
      <w:r>
        <w:rPr>
          <w:bCs/>
          <w:b/>
        </w:rPr>
        <w:t xml:space="preserve"> </w:t>
      </w:r>
      <w:r>
        <w:rPr>
          <w:iCs/>
          <w:i/>
          <w:bCs/>
          <w:b/>
        </w:rPr>
        <w:t xml:space="preserve">et al.</w:t>
      </w:r>
      <w:r>
        <w:rPr>
          <w:bCs/>
          <w:b/>
        </w:rPr>
        <w:t xml:space="preserve">, 2021; Haesen</w:t>
      </w:r>
      <w:r>
        <w:rPr>
          <w:bCs/>
          <w:b/>
        </w:rPr>
        <w:t xml:space="preserve"> </w:t>
      </w:r>
      <w:r>
        <w:rPr>
          <w:iCs/>
          <w:i/>
          <w:bCs/>
          <w:b/>
        </w:rPr>
        <w:t xml:space="preserve">et al.</w:t>
      </w:r>
      <w:r>
        <w:rPr>
          <w:bCs/>
          <w:b/>
        </w:rPr>
        <w:t xml:space="preserve">, 2021)</w:t>
      </w:r>
      <w:r>
        <w:rPr>
          <w:bCs/>
          <w:b/>
        </w:rPr>
        <w:t xml:space="preserve">”</w:t>
      </w:r>
      <w:r>
        <w:rPr>
          <w:bCs/>
          <w:b/>
        </w:rPr>
        <w:t xml:space="preserve"> </w:t>
      </w:r>
      <w:r>
        <w:rPr>
          <w:bCs/>
          <w:b/>
        </w:rPr>
        <w:t xml:space="preserve">(line 229)</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light and heat damage increases with peak radiation loads, and thus tends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Further, by reducing photosynthesis, VPD-associated stomatal closure can reduce the capacity to use light energy for photochemistry, thereby increasing the potential for photoinhibition</w:t>
      </w:r>
      <w:r>
        <w:rPr>
          <w:bCs/>
          <w:b/>
        </w:rPr>
        <w:t xml:space="preserve"> </w:t>
      </w:r>
      <w:r>
        <w:rPr>
          <w:bCs/>
          <w:b/>
        </w:rPr>
        <w:t xml:space="preserve">(Niinemets, 2007)</w:t>
      </w:r>
      <w:r>
        <w:rPr>
          <w:bCs/>
          <w:b/>
        </w:rPr>
        <w:t xml:space="preserve">.Accumulation of excess light energy causes overreduction of the electron transport chain and the formation of harmful reactive oxygen species</w:t>
      </w:r>
      <w:r>
        <w:rPr>
          <w:bCs/>
          <w:b/>
        </w:rPr>
        <w:t xml:space="preserve"> </w:t>
      </w:r>
      <w:r>
        <w:rPr>
          <w:bCs/>
          <w:b/>
        </w:rPr>
        <w:t xml:space="preserve">(Niyogi, 2000; Suzuki &amp; Mittler, 2006)</w:t>
      </w:r>
      <w:r>
        <w:rPr>
          <w:bCs/>
          <w:b/>
        </w:rPr>
        <w:t xml:space="preserve">.A ubiquitous defense is a rapidly inducible non-photochemical quenching (NPQ) mechanism that responds to the increased thylakoid pH gradient caused by excess light</w:t>
      </w:r>
      <w:r>
        <w:rPr>
          <w:bCs/>
          <w:b/>
        </w:rPr>
        <w:t xml:space="preserve"> </w:t>
      </w:r>
      <w:r>
        <w:rPr>
          <w:bCs/>
          <w:b/>
        </w:rPr>
        <w:t xml:space="preserve">(Niyogi, 2000; Goss &amp; Lepetit, 2015)</w:t>
      </w:r>
      <w:r>
        <w:rPr>
          <w:bCs/>
          <w:b/>
        </w:rPr>
        <w:t xml:space="preserve">.This form of NPQ entails interconversion of xanthophyll cycle pigments—violaxanthin, antheraxanthin, and zeaxanthin (VAZ)—which regulates the capacity for de-excitation of chlorophyll through thermal dissipation instead of photochemistry.Due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.In contrast, to maximize photosynthesis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than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will be more severely affected by warming (see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w:t>
      </w:r>
      <w:r>
        <w:rPr>
          <w:bCs/>
          <w:b/>
        </w:rPr>
        <w:t xml:space="preserve"> </w:t>
      </w:r>
      <w:r>
        <w:rPr>
          <w:bCs/>
          <w:b/>
        </w:rPr>
        <w:t xml:space="preserve">(Curtis</w:t>
      </w:r>
      <w:r>
        <w:rPr>
          <w:bCs/>
          <w:b/>
        </w:rPr>
        <w:t xml:space="preserve"> </w:t>
      </w:r>
      <w:r>
        <w:rPr>
          <w:iCs/>
          <w:i/>
          <w:bCs/>
          <w:b/>
        </w:rPr>
        <w:t xml:space="preserve">et al.</w:t>
      </w:r>
      <w:r>
        <w:rPr>
          <w:bCs/>
          <w:b/>
        </w:rPr>
        <w:t xml:space="preserve">, 2019; Meeussen</w:t>
      </w:r>
      <w:r>
        <w:rPr>
          <w:bCs/>
          <w:b/>
        </w:rPr>
        <w:t xml:space="preserve"> </w:t>
      </w:r>
      <w:r>
        <w:rPr>
          <w:iCs/>
          <w:i/>
          <w:bCs/>
          <w:b/>
        </w:rPr>
        <w:t xml:space="preserve">et al.</w:t>
      </w:r>
      <w:r>
        <w:rPr>
          <w:bCs/>
          <w:b/>
        </w:rPr>
        <w:t xml:space="preserve">, 2021)</w:t>
      </w:r>
      <w:r>
        <w:rPr>
          <w:bCs/>
          <w:b/>
        </w:rPr>
        <w:t xml:space="preserve">.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due to turbulent air mixing and interception of thermal radiative flux from the soil and the canopy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photosynthesis and metabolism</w:t>
      </w:r>
      <w:r>
        <w:rPr>
          <w:bCs/>
          <w:b/>
        </w:rPr>
        <w:t xml:space="preserve"> </w:t>
      </w:r>
      <w:r>
        <w:rPr>
          <w:bCs/>
          <w:b/>
        </w:rPr>
        <w:t xml:space="preserve">(Michaletz</w:t>
      </w:r>
      <w:r>
        <w:rPr>
          <w:bCs/>
          <w:b/>
        </w:rPr>
        <w:t xml:space="preserve"> </w:t>
      </w:r>
      <w:r>
        <w:rPr>
          <w:iCs/>
          <w:i/>
          <w:bCs/>
          <w:b/>
        </w:rPr>
        <w:t xml:space="preserve">et al.</w:t>
      </w:r>
      <w:r>
        <w:rPr>
          <w:bCs/>
          <w:b/>
        </w:rPr>
        <w:t xml:space="preserve">, 2015</w:t>
      </w:r>
      <w:r>
        <w:rPr>
          <w:bCs/>
          <w:b/>
        </w:rPr>
        <w:t xml:space="preserve"> </w:t>
      </w:r>
      <w:r>
        <w:rPr>
          <w:bCs/>
          <w:b/>
        </w:rPr>
        <w:t xml:space="preserve">)</w:t>
      </w:r>
      <w:r>
        <w:rPr>
          <w:bCs/>
          <w:b/>
        </w:rPr>
        <w:t xml:space="preserve">.</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In tropical and temperate forests with dense broadleaf canopies, leaf area density is generally highest in the canopy layer (i.e., that formed by the crowns of dominant trees),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w:t>
      </w:r>
      <w:r>
        <w:rPr>
          <w:bCs/>
          <w:b/>
        </w:rPr>
        <w:t xml:space="preserve"> </w:t>
      </w:r>
      <w:r>
        <w:rPr>
          <w:bCs/>
          <w:b/>
        </w:rPr>
        <w:t xml:space="preserve">(Koike</w:t>
      </w:r>
      <w:r>
        <w:rPr>
          <w:bCs/>
          <w:b/>
        </w:rPr>
        <w:t xml:space="preserve"> </w:t>
      </w:r>
      <w:r>
        <w:rPr>
          <w:iCs/>
          <w:i/>
          <w:bCs/>
          <w:b/>
        </w:rPr>
        <w:t xml:space="preserve">et al.</w:t>
      </w:r>
      <w:r>
        <w:rPr>
          <w:bCs/>
          <w:b/>
        </w:rPr>
        <w:t xml:space="preserve">, 2001; Fig. 2a-d, Supporting Information Figure S1, Béland &amp; Baldocchi, 2021; Bin</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Vertical CO</w:t>
      </w:r>
      <w:r>
        <w:rPr>
          <w:vertAlign w:val="subscript"/>
          <w:bCs/>
          <w:b/>
        </w:rPr>
        <w:t xml:space="preserve">2</w:t>
      </w:r>
      <w:r>
        <w:rPr>
          <w:bCs/>
          <w:b/>
        </w:rPr>
        <w:t xml:space="preserve"> </w:t>
      </w:r>
      <w:r>
        <w:rPr>
          <w:bCs/>
          <w:b/>
        </w:rPr>
        <w:t xml:space="preserve">concentration gradients can drive gradients in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in rates of refixation of respired CO</w:t>
      </w:r>
      <w:r>
        <w:rPr>
          <w:vertAlign w:val="subscript"/>
          <w:bCs/>
          <w:b/>
        </w:rPr>
        <w:t xml:space="preserve">2</w:t>
      </w:r>
      <w:r>
        <w:rPr>
          <w:bCs/>
          <w:b/>
        </w:rPr>
        <w:t xml:space="preserve"> </w:t>
      </w:r>
      <w:r>
        <w:rPr>
          <w:bCs/>
          <w:b/>
        </w:rPr>
        <w:t xml:space="preserve">vertically, both of which tend to be higher at lower heights (Table 1).Particularly, understory seedlings benefit from elevated CO</w:t>
      </w:r>
      <w:r>
        <w:rPr>
          <w:vertAlign w:val="subscript"/>
          <w:bCs/>
          <w:b/>
        </w:rPr>
        <w:t xml:space="preserve">2</w:t>
      </w:r>
      <w:r>
        <w:rPr>
          <w:bCs/>
          <w:b/>
        </w:rPr>
        <w:t xml:space="preserve"> </w:t>
      </w:r>
      <w:r>
        <w:rPr>
          <w:bCs/>
          <w:b/>
        </w:rPr>
        <w:t xml:space="preserve">by having higher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these complexities of within-canopy transport, wind speeds are generally much higher at the top of the canopy than within or beneath</w:t>
      </w:r>
      <w:r>
        <w:rPr>
          <w:bCs/>
          <w:b/>
        </w:rPr>
        <w:t xml:space="preserve"> </w:t>
      </w:r>
      <w:r>
        <w:rPr>
          <w:bCs/>
          <w:b/>
        </w:rPr>
        <w:t xml:space="preserve">(Jiao-jun</w:t>
      </w:r>
      <w:r>
        <w:rPr>
          <w:bCs/>
          <w:b/>
        </w:rPr>
        <w:t xml:space="preserve"> </w:t>
      </w:r>
      <w:r>
        <w:rPr>
          <w:iCs/>
          <w:i/>
          <w:bCs/>
          <w:b/>
        </w:rPr>
        <w:t xml:space="preserve">et al.</w:t>
      </w:r>
      <w:r>
        <w:rPr>
          <w:bCs/>
          <w:b/>
        </w:rPr>
        <w:t xml:space="preserve">, 2004; Jucker</w:t>
      </w:r>
      <w:r>
        <w:rPr>
          <w:bCs/>
          <w:b/>
        </w:rPr>
        <w:t xml:space="preserve"> </w:t>
      </w:r>
      <w:r>
        <w:rPr>
          <w:iCs/>
          <w:i/>
          <w:bCs/>
          <w:b/>
        </w:rPr>
        <w:t xml:space="preserve">et al.</w:t>
      </w:r>
      <w:r>
        <w:rPr>
          <w:bCs/>
          <w:b/>
        </w:rPr>
        <w:t xml:space="preserve">, 2018)</w:t>
      </w:r>
      <w:r>
        <w:rPr>
          <w:bCs/>
          <w:b/>
        </w:rPr>
        <w:t xml:space="preserve">.</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Anatomical, structural and biochemical 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 vertical profiles of leaf temperature, metabolism, and thermal sensitivity</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w:t>
      </w:r>
      <w:r>
        <w:rPr>
          <w:bCs/>
          <w:b/>
        </w:rPr>
        <w:t xml:space="preserve"> </w:t>
      </w:r>
      <w:r>
        <w:rPr>
          <w:bCs/>
          <w:b/>
        </w:rPr>
        <w:t xml:space="preserve">(Boardman, 1977; Abrams &amp; Kubiske, 1990)</w:t>
      </w:r>
      <w:r>
        <w:rPr>
          <w:bCs/>
          <w:b/>
        </w:rPr>
        <w:t xml:space="preserve">.More recent work has extended the focus from light alone to leaf height in the canopy, as important in determining differences in leaf structure and function that can partially mitigate the effects of gravity and hydraulic pathlength on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according to the irradiance and hydraulic stress associated with their canopy location, height and evaporative load, with additional potential influences of branch ontogenetic stage</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when development of new leaves is influenced by information from adjacent mature leaves or apical meristems,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biochemistry, anatomy and structure for their local conditions</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rreduce intercellular CO</w:t>
      </w:r>
      <w:r>
        <w:rPr>
          <w:vertAlign w:val="subscript"/>
          <w:bCs/>
          <w:b/>
        </w:rPr>
        <w:t xml:space="preserve">2</w:t>
      </w:r>
      <w:r>
        <w:rPr>
          <w:bCs/>
          <w:b/>
        </w:rPr>
        <w:t xml:space="preserve"> </w:t>
      </w:r>
      <w:r>
        <w:rPr>
          <w:bCs/>
          <w:b/>
        </w:rPr>
        <w:t xml:space="preserve">concentrations and increase leaf</w:t>
      </w:r>
      <w:r>
        <w:rPr>
          <w:bCs/>
          <w:b/>
        </w:rPr>
        <w:t xml:space="preserve"> </w:t>
      </w:r>
      <m:oMath>
        <m:sSup>
          <m:e>
            <m:r>
              <m:t>δ</m:t>
            </m:r>
          </m:e>
          <m:sup>
            <m:r>
              <m:t>13</m:t>
            </m:r>
          </m:sup>
        </m:sSup>
      </m:oMath>
      <w:r>
        <w:rPr>
          <w:bCs/>
          <w:b/>
        </w:rPr>
        <w:t xml:space="preserve">C (Table 1).</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depression reduces transpirational cooling (Fig. 3), thus amplifying the warming of sun leaves by high radiation.</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cannot meet the demands caused by the high radiation and</w:t>
      </w:r>
      <w:r>
        <w:rPr>
          <w:bCs/>
          <w:b/>
        </w:rPr>
        <w:t xml:space="preserve"> </w:t>
      </w:r>
      <m:oMath>
        <m:sSub>
          <m:e>
            <m:r>
              <m:t>g</m:t>
            </m:r>
          </m:e>
          <m:sub>
            <m:r>
              <m:t>b</m:t>
            </m:r>
          </m:sub>
        </m:sSub>
      </m:oMath>
      <w:r>
        <w:rPr>
          <w:bCs/>
          <w:b/>
        </w:rPr>
        <w:t xml:space="preserve"> </w:t>
      </w:r>
      <w:r>
        <w:rPr>
          <w:bCs/>
          <w:b/>
        </w:rPr>
        <w:t xml:space="preserve">in sun leaves</w:t>
      </w:r>
      <w:r>
        <w:rPr>
          <w:bCs/>
          <w:b/>
        </w:rPr>
        <w:t xml:space="preserve"> </w:t>
      </w:r>
      <w:r>
        <w:rPr>
          <w:iCs/>
          <w:i/>
          <w:bCs/>
          <w:b/>
          <w:bCs/>
          <w:b/>
        </w:rPr>
        <w:t xml:space="preserve">with fully open stomata, because of height-related constraints on water transport (e.g., Yoder et al. 1994, Koch et al. 2004, Sillett et al 2010) and/or increased leaf-air VPD caused by leaf warming in sunlit canopy locations</w:t>
      </w:r>
      <w:r>
        <w:rPr>
          <w:iCs/>
          <w:i/>
          <w:bCs/>
          <w:b/>
          <w:bCs/>
          <w:b/>
        </w:rPr>
        <w:t xml:space="preserve"> </w:t>
      </w:r>
      <w:r>
        <w:rPr>
          <w:iCs/>
          <w:i/>
          <w:bCs/>
          <w:b/>
          <w:bCs/>
          <w:b/>
        </w:rPr>
        <w:t xml:space="preserve">(Buckley</w:t>
      </w:r>
      <w:r>
        <w:rPr>
          <w:iCs/>
          <w:i/>
          <w:bCs/>
          <w:b/>
          <w:bCs/>
          <w:b/>
        </w:rPr>
        <w:t xml:space="preserve"> </w:t>
      </w:r>
      <w:r>
        <w:rPr>
          <w:iCs/>
          <w:i/>
          <w:iCs/>
          <w:i/>
          <w:bCs/>
          <w:b/>
          <w:bCs/>
          <w:b/>
        </w:rPr>
        <w:t xml:space="preserve">et al.</w:t>
      </w:r>
      <w:r>
        <w:rPr>
          <w:iCs/>
          <w:i/>
          <w:bCs/>
          <w:b/>
          <w:bCs/>
          <w:b/>
        </w:rPr>
        <w:t xml:space="preserve">, 2014)</w:t>
      </w:r>
      <w:r>
        <w:rPr>
          <w:bCs/>
          <w:b/>
        </w:rPr>
        <w:t xml:space="preserve">. These constraints tend to reduce leaf water potential, making midday stomatal depression more prevalent in sun leaves than shade leaves in closed-canopy forests (Table 2), which drives the lower intracellular CO</w:t>
      </w:r>
      <w:r>
        <w:rPr>
          <w:vertAlign w:val="subscript"/>
          <w:bCs/>
          <w:b/>
        </w:rPr>
        <w:t xml:space="preserve">2</w:t>
      </w:r>
      <w:r>
        <w:rPr>
          <w:bCs/>
          <w:b/>
        </w:rPr>
        <w:t xml:space="preserve"> </w:t>
      </w:r>
      <w:r>
        <w:rPr>
          <w:bCs/>
          <w:b/>
        </w:rPr>
        <w:t xml:space="preserve">and</w:t>
      </w:r>
      <w:r>
        <w:rPr>
          <w:bCs/>
          <w:b/>
        </w:rPr>
        <w:t xml:space="preserve"> </w:t>
      </w:r>
      <m:oMath>
        <m:sSup>
          <m:e>
            <m:r>
              <m:t>δ</m:t>
            </m:r>
          </m:e>
          <m:sup>
            <m:r>
              <m:t>13</m:t>
            </m:r>
          </m:sup>
        </m:sSup>
        <m:r>
          <m:t>C</m:t>
        </m:r>
      </m:oMath>
      <w:r>
        <w:rPr>
          <w:bCs/>
          <w:b/>
        </w:rPr>
        <w:t xml:space="preserve"> </w:t>
      </w:r>
      <w:r>
        <w:rPr>
          <w:bCs/>
          <w:b/>
        </w:rPr>
        <w:t xml:space="preserve">discussed in section 3.3 (Table 1). Stomatal depression reduces transpirational cooling (Fig. 3), thus amplifying the warming of sun leaves by high radiation.</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w:t>
      </w:r>
      <w:r>
        <w:rPr>
          <w:bCs/>
          <w:b/>
        </w:rPr>
        <w:t xml:space="preserve"> </w:t>
      </w:r>
      <m:oMath>
        <m:sSub>
          <m:e>
            <m:r>
              <m:t>g</m:t>
            </m:r>
          </m:e>
          <m:sub>
            <m:r>
              <m:t>s</m:t>
            </m:r>
          </m:sub>
        </m:sSub>
      </m:oMath>
      <w:r>
        <w:rPr>
          <w:bCs/>
          <w:b/>
        </w:rPr>
        <w:t xml:space="preserve"> </w:t>
      </w:r>
      <w:r>
        <w:rPr>
          <w:bCs/>
          <w:b/>
        </w:rPr>
        <w:t xml:space="preserve">in response to rising</w:t>
      </w:r>
      <w:r>
        <w:rPr>
          <w:bCs/>
          <w:b/>
        </w:rPr>
        <w:t xml:space="preserve"> </w:t>
      </w:r>
      <m:oMath>
        <m:sSub>
          <m:e>
            <m:r>
              <m:t>T</m:t>
            </m:r>
          </m:e>
          <m:sub>
            <m:r>
              <m:t>a</m:t>
            </m:r>
            <m:r>
              <m:t>i</m:t>
            </m:r>
            <m:r>
              <m:t>r</m:t>
            </m:r>
          </m:sub>
        </m:sSub>
      </m:oMath>
      <w:r>
        <w:rPr>
          <w:bCs/>
          <w:b/>
        </w:rPr>
        <w:t xml:space="preserve">”</w:t>
      </w:r>
      <w:r>
        <w:rPr>
          <w:bCs/>
          <w:b/>
        </w:rPr>
        <w:t xml:space="preserve">, and clarified that</w:t>
      </w:r>
      <w:r>
        <w:rPr>
          <w:bCs/>
          <w:b/>
        </w:rPr>
        <w:t xml:space="preserve"> </w:t>
      </w:r>
      <w:r>
        <w:rPr>
          <w:bCs/>
          <w:b/>
        </w:rPr>
        <w:t xml:space="preserve">“</w:t>
      </w:r>
      <w:r>
        <w:rPr>
          <w:bCs/>
          <w:b/>
        </w:rPr>
        <w:t xml:space="preserve">high</w:t>
      </w:r>
      <w:r>
        <w:rPr>
          <w:bCs/>
          <w:b/>
        </w:rPr>
        <w:t xml:space="preserve"> </w:t>
      </w:r>
      <m:oMath>
        <m:sSub>
          <m:e>
            <m:r>
              <m:t>T</m:t>
            </m:r>
          </m:e>
          <m:sub>
            <m:r>
              <m:t>a</m:t>
            </m:r>
            <m:r>
              <m:t>i</m:t>
            </m:r>
            <m:r>
              <m:t>r</m:t>
            </m:r>
          </m:sub>
        </m:sSub>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upper-canopy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Drought also causes greater mortality in larger trees</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uncertainty remains about how temperature sensitivity of foliar gas exchange varies across these vertical gradients. 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96" w:name="references"/>
    <w:p>
      <w:pPr>
        <w:pStyle w:val="Heading2"/>
      </w:pPr>
      <w:r>
        <w:t xml:space="preserve">References</w:t>
      </w:r>
    </w:p>
    <w:bookmarkStart w:id="95"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Xf12d83671c57a62a64c6a0c74eb780b8dd689cf"/>
    <w:p>
      <w:pPr>
        <w:pStyle w:val="Bibliography"/>
      </w:pPr>
      <w:r>
        <w:rPr>
          <w:bCs/>
          <w:b/>
          <w:bCs/>
          <w:b/>
        </w:rPr>
        <w:t xml:space="preserve">Béland M</w:t>
      </w:r>
      <w:r>
        <w:rPr>
          <w:bCs/>
          <w:b/>
        </w:rPr>
        <w:t xml:space="preserve">,</w:t>
      </w:r>
      <w:r>
        <w:rPr>
          <w:bCs/>
          <w:b/>
        </w:rPr>
        <w:t xml:space="preserve"> </w:t>
      </w:r>
      <w:r>
        <w:rPr>
          <w:bCs/>
          <w:b/>
          <w:bCs/>
          <w:b/>
        </w:rPr>
        <w:t xml:space="preserve">Baldocchi DD</w:t>
      </w:r>
      <w:r>
        <w:t xml:space="preserve">.</w:t>
      </w:r>
      <w:r>
        <w:t xml:space="preserve"> </w:t>
      </w:r>
      <w:r>
        <w:rPr>
          <w:bCs/>
          <w:b/>
        </w:rPr>
        <w:t xml:space="preserve">2021</w:t>
      </w:r>
      <w:r>
        <w:t xml:space="preserve">. Vertical structure heterogeneity in broadleaf forests:</w:t>
      </w:r>
      <w:r>
        <w:t xml:space="preserve"> </w:t>
      </w:r>
      <w:r>
        <w:t xml:space="preserve">Effects</w:t>
      </w:r>
      <w:r>
        <w:t xml:space="preserve"> </w:t>
      </w:r>
      <w:r>
        <w:t xml:space="preserve">on light interception and canopy photosynthesis.</w:t>
      </w:r>
      <w:r>
        <w:t xml:space="preserve"> </w:t>
      </w:r>
      <w:r>
        <w:rPr>
          <w:iCs/>
          <w:i/>
        </w:rPr>
        <w:t xml:space="preserve">Agricultural and Forest Meteorology</w:t>
      </w:r>
      <w:r>
        <w:t xml:space="preserve"> </w:t>
      </w:r>
      <w:r>
        <w:rPr>
          <w:bCs/>
          <w:b/>
        </w:rPr>
        <w:t xml:space="preserve">307</w:t>
      </w:r>
      <w:r>
        <w:t xml:space="preserve">: 108525.</w:t>
      </w:r>
    </w:p>
    <w:bookmarkEnd w:id="27"/>
    <w:bookmarkStart w:id="28"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8"/>
    <w:bookmarkStart w:id="29"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2"/>
    <w:bookmarkStart w:id="33" w:name="Xc2f1c8b1c85c235c7f96a3cc2d347210f13d87f"/>
    <w:p>
      <w:pPr>
        <w:pStyle w:val="Bibliography"/>
      </w:pPr>
      <w:r>
        <w:rPr>
          <w:bCs/>
          <w:b/>
          <w:bCs/>
          <w:b/>
        </w:rPr>
        <w:t xml:space="preserve">Buckley TN</w:t>
      </w:r>
      <w:r>
        <w:rPr>
          <w:bCs/>
          <w:b/>
        </w:rPr>
        <w:t xml:space="preserve">,</w:t>
      </w:r>
      <w:r>
        <w:rPr>
          <w:bCs/>
          <w:b/>
        </w:rPr>
        <w:t xml:space="preserve"> </w:t>
      </w:r>
      <w:r>
        <w:rPr>
          <w:bCs/>
          <w:b/>
          <w:bCs/>
          <w:b/>
        </w:rPr>
        <w:t xml:space="preserve">Martorell S</w:t>
      </w:r>
      <w:r>
        <w:rPr>
          <w:bCs/>
          <w:b/>
        </w:rPr>
        <w:t xml:space="preserve">,</w:t>
      </w:r>
      <w:r>
        <w:rPr>
          <w:bCs/>
          <w:b/>
        </w:rPr>
        <w:t xml:space="preserve"> </w:t>
      </w:r>
      <w:r>
        <w:rPr>
          <w:bCs/>
          <w:b/>
          <w:bCs/>
          <w:b/>
        </w:rPr>
        <w:t xml:space="preserve">Diaz-Espejo A</w:t>
      </w:r>
      <w:r>
        <w:rPr>
          <w:bCs/>
          <w:b/>
        </w:rPr>
        <w:t xml:space="preserve">,</w:t>
      </w:r>
      <w:r>
        <w:rPr>
          <w:bCs/>
          <w:b/>
        </w:rPr>
        <w:t xml:space="preserve"> </w:t>
      </w:r>
      <w:r>
        <w:rPr>
          <w:bCs/>
          <w:b/>
          <w:bCs/>
          <w:b/>
        </w:rPr>
        <w:t xml:space="preserve">Tomàs M</w:t>
      </w:r>
      <w:r>
        <w:rPr>
          <w:bCs/>
          <w:b/>
        </w:rPr>
        <w:t xml:space="preserve">,</w:t>
      </w:r>
      <w:r>
        <w:rPr>
          <w:bCs/>
          <w:b/>
        </w:rPr>
        <w:t xml:space="preserve"> </w:t>
      </w:r>
      <w:r>
        <w:rPr>
          <w:bCs/>
          <w:b/>
          <w:bCs/>
          <w:b/>
        </w:rPr>
        <w:t xml:space="preserve">Medrano H</w:t>
      </w:r>
      <w:r>
        <w:t xml:space="preserve">.</w:t>
      </w:r>
      <w:r>
        <w:t xml:space="preserve"> </w:t>
      </w:r>
      <w:r>
        <w:rPr>
          <w:bCs/>
          <w:b/>
        </w:rPr>
        <w:t xml:space="preserve">2014</w:t>
      </w:r>
      <w:r>
        <w:t xml:space="preserve">. Is stomatal conductance optimized over both time and space in plant crowns?</w:t>
      </w:r>
      <w:r>
        <w:t xml:space="preserve"> </w:t>
      </w:r>
      <w:r>
        <w:t xml:space="preserve">A</w:t>
      </w:r>
      <w:r>
        <w:t xml:space="preserve"> </w:t>
      </w:r>
      <w:r>
        <w:t xml:space="preserve">field test in grapevine (</w:t>
      </w:r>
      <w:r>
        <w:t xml:space="preserve">Vitis</w:t>
      </w:r>
      <w:r>
        <w:t xml:space="preserve"> </w:t>
      </w:r>
      <w:r>
        <w:t xml:space="preserve">vinifera).</w:t>
      </w:r>
      <w:r>
        <w:t xml:space="preserve"> </w:t>
      </w:r>
      <w:r>
        <w:rPr>
          <w:iCs/>
          <w:i/>
        </w:rPr>
        <w:t xml:space="preserve">Plant Cell Environ</w:t>
      </w:r>
      <w:r>
        <w:t xml:space="preserve"> </w:t>
      </w:r>
      <w:r>
        <w:rPr>
          <w:bCs/>
          <w:b/>
        </w:rPr>
        <w:t xml:space="preserve">37</w:t>
      </w:r>
      <w:r>
        <w:t xml:space="preserve">: 2707–2721.</w:t>
      </w:r>
    </w:p>
    <w:bookmarkEnd w:id="33"/>
    <w:bookmarkStart w:id="34"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8"/>
    <w:bookmarkStart w:id="39"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9"/>
    <w:bookmarkStart w:id="40" w:name="ref-curtis_intracanopy_2019"/>
    <w:p>
      <w:pPr>
        <w:pStyle w:val="Bibliography"/>
      </w:pPr>
      <w:r>
        <w:rPr>
          <w:bCs/>
          <w:b/>
          <w:bCs/>
          <w:b/>
        </w:rPr>
        <w:t xml:space="preserve">Curtis EM</w:t>
      </w:r>
      <w:r>
        <w:rPr>
          <w:bCs/>
          <w:b/>
        </w:rPr>
        <w:t xml:space="preserve">,</w:t>
      </w:r>
      <w:r>
        <w:rPr>
          <w:bCs/>
          <w:b/>
        </w:rPr>
        <w:t xml:space="preserve"> </w:t>
      </w:r>
      <w:r>
        <w:rPr>
          <w:bCs/>
          <w:b/>
          <w:bCs/>
          <w:b/>
        </w:rPr>
        <w:t xml:space="preserve">Knight CA</w:t>
      </w:r>
      <w:r>
        <w:rPr>
          <w:bCs/>
          <w:b/>
        </w:rPr>
        <w:t xml:space="preserve">,</w:t>
      </w:r>
      <w:r>
        <w:rPr>
          <w:bCs/>
          <w:b/>
        </w:rPr>
        <w:t xml:space="preserve"> </w:t>
      </w:r>
      <w:r>
        <w:rPr>
          <w:bCs/>
          <w:b/>
          <w:bCs/>
          <w:b/>
        </w:rPr>
        <w:t xml:space="preserve">Leigh A</w:t>
      </w:r>
      <w:r>
        <w:t xml:space="preserve">.</w:t>
      </w:r>
      <w:r>
        <w:t xml:space="preserve"> </w:t>
      </w:r>
      <w:r>
        <w:rPr>
          <w:bCs/>
          <w:b/>
        </w:rPr>
        <w:t xml:space="preserve">2019</w:t>
      </w:r>
      <w:r>
        <w:t xml:space="preserve">. Intracanopy adjustment of leaf-level thermal tolerance is associated with microclimatic variation across the canopy of a desert tree (</w:t>
      </w:r>
      <w:r>
        <w:t xml:space="preserve">Acacia</w:t>
      </w:r>
      <w:r>
        <w:t xml:space="preserve"> </w:t>
      </w:r>
      <w:r>
        <w:t xml:space="preserve">papyrocarpa).</w:t>
      </w:r>
      <w:r>
        <w:t xml:space="preserve"> </w:t>
      </w:r>
      <w:r>
        <w:rPr>
          <w:iCs/>
          <w:i/>
        </w:rPr>
        <w:t xml:space="preserve">Oecologia</w:t>
      </w:r>
      <w:r>
        <w:t xml:space="preserve"> </w:t>
      </w:r>
      <w:r>
        <w:rPr>
          <w:bCs/>
          <w:b/>
        </w:rPr>
        <w:t xml:space="preserve">189</w:t>
      </w:r>
      <w:r>
        <w:t xml:space="preserve">: 37–46.</w:t>
      </w:r>
    </w:p>
    <w:bookmarkEnd w:id="40"/>
    <w:bookmarkStart w:id="41"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1"/>
    <w:bookmarkStart w:id="42" w:name="X552fb1a5772b032dc2f7782802f0e80bb8c3ec3"/>
    <w:p>
      <w:pPr>
        <w:pStyle w:val="Bibliography"/>
      </w:pP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Scheffers BR</w:t>
      </w:r>
      <w:r>
        <w:rPr>
          <w:bCs/>
          <w:b/>
        </w:rPr>
        <w:t xml:space="preserve">,</w:t>
      </w:r>
      <w:r>
        <w:rPr>
          <w:bCs/>
          <w:b/>
        </w:rPr>
        <w:t xml:space="preserve"> </w:t>
      </w:r>
      <w:r>
        <w:rPr>
          <w:bCs/>
          <w:b/>
          <w:bCs/>
          <w:b/>
        </w:rPr>
        <w:t xml:space="preserve">Zellweger F</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Christiansen DM</w:t>
      </w:r>
      <w:r>
        <w:rPr>
          <w:bCs/>
          <w:b/>
        </w:rPr>
        <w:t xml:space="preserve">,</w:t>
      </w:r>
      <w:r>
        <w:rPr>
          <w:bCs/>
          <w:b/>
        </w:rPr>
        <w:t xml:space="preserve"> </w:t>
      </w:r>
      <w:r>
        <w:rPr>
          <w:bCs/>
          <w:b/>
          <w:bCs/>
          <w:b/>
        </w:rPr>
        <w:t xml:space="preserve">Decocq G</w:t>
      </w:r>
      <w:r>
        <w:rPr>
          <w:bCs/>
          <w:b/>
        </w:rPr>
        <w:t xml:space="preserve">,</w:t>
      </w:r>
      <w:r>
        <w:rPr>
          <w:bCs/>
          <w:b/>
        </w:rPr>
        <w:t xml:space="preserve"> </w:t>
      </w:r>
      <w:r>
        <w:rPr>
          <w:bCs/>
          <w:b/>
          <w:bCs/>
          <w:b/>
        </w:rPr>
        <w:t xml:space="preserve">Pauw KD</w:t>
      </w:r>
      <w:r>
        <w:rPr>
          <w:bCs/>
          <w:b/>
        </w:rPr>
        <w:t xml:space="preserve">,</w:t>
      </w:r>
      <w:r>
        <w:rPr>
          <w:bCs/>
          <w:b/>
        </w:rPr>
        <w:t xml:space="preserve"> </w:t>
      </w:r>
      <w:r>
        <w:rPr>
          <w:iCs/>
          <w:i/>
          <w:bCs/>
          <w:b/>
        </w:rPr>
        <w:t xml:space="preserve">et al.</w:t>
      </w:r>
      <w:r>
        <w:t xml:space="preserve"> </w:t>
      </w:r>
      <w:r>
        <w:rPr>
          <w:bCs/>
          <w:b/>
        </w:rPr>
        <w:t xml:space="preserve">2021</w:t>
      </w:r>
      <w:r>
        <w:t xml:space="preserve">. Forest microclimates and climate change:</w:t>
      </w:r>
      <w:r>
        <w:t xml:space="preserve"> </w:t>
      </w:r>
      <w:r>
        <w:t xml:space="preserve">Importance</w:t>
      </w:r>
      <w:r>
        <w:t xml:space="preserve">, drivers and future research agenda.</w:t>
      </w:r>
      <w:r>
        <w:t xml:space="preserve"> </w:t>
      </w:r>
      <w:r>
        <w:rPr>
          <w:iCs/>
          <w:i/>
        </w:rPr>
        <w:t xml:space="preserve">Global Change Biology</w:t>
      </w:r>
      <w:r>
        <w:t xml:space="preserve"> </w:t>
      </w:r>
      <w:r>
        <w:rPr>
          <w:bCs/>
          <w:b/>
        </w:rPr>
        <w:t xml:space="preserve">27</w:t>
      </w:r>
      <w:r>
        <w:t xml:space="preserve">: 2279–2297.</w:t>
      </w:r>
    </w:p>
    <w:bookmarkEnd w:id="42"/>
    <w:bookmarkStart w:id="43"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3"/>
    <w:bookmarkStart w:id="44"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4"/>
    <w:bookmarkStart w:id="45"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5"/>
    <w:bookmarkStart w:id="46"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6"/>
    <w:bookmarkStart w:id="47" w:name="Xff5f4cdbe1f70469a89cc770126fc965fd0f4ad"/>
    <w:p>
      <w:pPr>
        <w:pStyle w:val="Bibliography"/>
      </w:pPr>
      <w:r>
        <w:rPr>
          <w:bCs/>
          <w:b/>
          <w:bCs/>
          <w:b/>
        </w:rPr>
        <w:t xml:space="preserve">Haesen S</w:t>
      </w:r>
      <w:r>
        <w:rPr>
          <w:bCs/>
          <w:b/>
        </w:rPr>
        <w:t xml:space="preserve">,</w:t>
      </w:r>
      <w:r>
        <w:rPr>
          <w:bCs/>
          <w:b/>
        </w:rPr>
        <w:t xml:space="preserve"> </w:t>
      </w:r>
      <w:r>
        <w:rPr>
          <w:bCs/>
          <w:b/>
          <w:bCs/>
          <w:b/>
        </w:rPr>
        <w:t xml:space="preserve">Lembrechts JJ</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w:t>
      </w:r>
      <w:r>
        <w:rPr>
          <w:bCs/>
          <w:b/>
        </w:rPr>
        <w:t xml:space="preserve">,</w:t>
      </w:r>
      <w:r>
        <w:rPr>
          <w:bCs/>
          <w:b/>
        </w:rPr>
        <w:t xml:space="preserve"> </w:t>
      </w:r>
      <w:r>
        <w:rPr>
          <w:bCs/>
          <w:b/>
          <w:bCs/>
          <w:b/>
        </w:rPr>
        <w:t xml:space="preserve">Nijs I</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r>
        <w:t xml:space="preserve">ForestTemp</w:t>
      </w:r>
      <w:r>
        <w:t xml:space="preserve"> </w:t>
      </w:r>
      <w:r>
        <w:t xml:space="preserve">–</w:t>
      </w:r>
      <w:r>
        <w:t xml:space="preserve"> </w:t>
      </w:r>
      <w:r>
        <w:t xml:space="preserve">Sub-canopy</w:t>
      </w:r>
      <w:r>
        <w:t xml:space="preserve"> </w:t>
      </w:r>
      <w:r>
        <w:t xml:space="preserve">microclimate temperatures of</w:t>
      </w:r>
      <w:r>
        <w:t xml:space="preserve"> </w:t>
      </w:r>
      <w:r>
        <w:t xml:space="preserve">European</w:t>
      </w:r>
      <w:r>
        <w:t xml:space="preserve"> </w:t>
      </w:r>
      <w:r>
        <w:t xml:space="preserve">forests.</w:t>
      </w:r>
      <w:r>
        <w:t xml:space="preserve"> </w:t>
      </w:r>
      <w:r>
        <w:rPr>
          <w:iCs/>
          <w:i/>
        </w:rPr>
        <w:t xml:space="preserve">Global Change Biology</w:t>
      </w:r>
      <w:r>
        <w:t xml:space="preserve"> </w:t>
      </w:r>
      <w:r>
        <w:rPr>
          <w:bCs/>
          <w:b/>
        </w:rPr>
        <w:t xml:space="preserve">27</w:t>
      </w:r>
      <w:r>
        <w:t xml:space="preserve">: 6307–6319.</w:t>
      </w:r>
    </w:p>
    <w:bookmarkEnd w:id="47"/>
    <w:bookmarkStart w:id="48"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8"/>
    <w:bookmarkStart w:id="49"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9"/>
    <w:bookmarkStart w:id="50"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50"/>
    <w:bookmarkStart w:id="51"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51"/>
    <w:bookmarkStart w:id="52"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52"/>
    <w:bookmarkStart w:id="53"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53"/>
    <w:bookmarkStart w:id="54"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54"/>
    <w:bookmarkStart w:id="55" w:name="ref-koike_leaf_2001"/>
    <w:p>
      <w:pPr>
        <w:pStyle w:val="Bibliography"/>
      </w:pPr>
      <w:r>
        <w:rPr>
          <w:bCs/>
          <w:b/>
          <w:bCs/>
          <w:b/>
        </w:rPr>
        <w:t xml:space="preserve">Koike T</w:t>
      </w:r>
      <w:r>
        <w:rPr>
          <w:bCs/>
          <w:b/>
        </w:rPr>
        <w:t xml:space="preserve">,</w:t>
      </w:r>
      <w:r>
        <w:rPr>
          <w:bCs/>
          <w:b/>
        </w:rPr>
        <w:t xml:space="preserve"> </w:t>
      </w:r>
      <w:r>
        <w:rPr>
          <w:bCs/>
          <w:b/>
          <w:bCs/>
          <w:b/>
        </w:rPr>
        <w:t xml:space="preserve">Kitao M</w:t>
      </w:r>
      <w:r>
        <w:rPr>
          <w:bCs/>
          <w:b/>
        </w:rPr>
        <w:t xml:space="preserve">,</w:t>
      </w:r>
      <w:r>
        <w:rPr>
          <w:bCs/>
          <w:b/>
        </w:rPr>
        <w:t xml:space="preserve"> </w:t>
      </w:r>
      <w:r>
        <w:rPr>
          <w:bCs/>
          <w:b/>
          <w:bCs/>
          <w:b/>
        </w:rPr>
        <w:t xml:space="preserve">Maruyama Y</w:t>
      </w:r>
      <w:r>
        <w:rPr>
          <w:bCs/>
          <w:b/>
        </w:rPr>
        <w:t xml:space="preserve">,</w:t>
      </w:r>
      <w:r>
        <w:rPr>
          <w:bCs/>
          <w:b/>
        </w:rPr>
        <w:t xml:space="preserve"> </w:t>
      </w:r>
      <w:r>
        <w:rPr>
          <w:bCs/>
          <w:b/>
          <w:bCs/>
          <w:b/>
        </w:rPr>
        <w:t xml:space="preserve">Mori S</w:t>
      </w:r>
      <w:r>
        <w:rPr>
          <w:bCs/>
          <w:b/>
        </w:rPr>
        <w:t xml:space="preserve">,</w:t>
      </w:r>
      <w:r>
        <w:rPr>
          <w:bCs/>
          <w:b/>
        </w:rPr>
        <w:t xml:space="preserve"> </w:t>
      </w:r>
      <w:r>
        <w:rPr>
          <w:bCs/>
          <w:b/>
          <w:bCs/>
          <w:b/>
        </w:rPr>
        <w:t xml:space="preserve">Lei TT</w:t>
      </w:r>
      <w:r>
        <w:t xml:space="preserve">.</w:t>
      </w:r>
      <w:r>
        <w:t xml:space="preserve"> </w:t>
      </w:r>
      <w:r>
        <w:rPr>
          <w:bCs/>
          <w:b/>
        </w:rPr>
        <w:t xml:space="preserve">2001</w:t>
      </w:r>
      <w:r>
        <w:t xml:space="preserve">. Leaf morphology and photosynthetic adjustments among deciduous broad-leaved trees within the vertical canopy profile.</w:t>
      </w:r>
      <w:r>
        <w:t xml:space="preserve"> </w:t>
      </w:r>
      <w:r>
        <w:rPr>
          <w:iCs/>
          <w:i/>
        </w:rPr>
        <w:t xml:space="preserve">Tree Physiology</w:t>
      </w:r>
      <w:r>
        <w:t xml:space="preserve"> </w:t>
      </w:r>
      <w:r>
        <w:rPr>
          <w:bCs/>
          <w:b/>
        </w:rPr>
        <w:t xml:space="preserve">21</w:t>
      </w:r>
      <w:r>
        <w:t xml:space="preserve">: 951–958.</w:t>
      </w:r>
    </w:p>
    <w:bookmarkEnd w:id="55"/>
    <w:bookmarkStart w:id="56" w:name="ref-krinnerDynamicGlobalVegetation2005"/>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Noblet-Ducoudré N de</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6"/>
    <w:bookmarkStart w:id="57"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57"/>
    <w:bookmarkStart w:id="58"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8"/>
    <w:bookmarkStart w:id="59"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9"/>
    <w:bookmarkStart w:id="60"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60"/>
    <w:bookmarkStart w:id="61"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61"/>
    <w:bookmarkStart w:id="62" w:name="Xc6b32994b54afc0a4a5006ada1c6d71f32df346"/>
    <w:p>
      <w:pPr>
        <w:pStyle w:val="Bibliography"/>
      </w:pPr>
      <w:r>
        <w:rPr>
          <w:bCs/>
          <w:b/>
          <w:bCs/>
          <w:b/>
        </w:rPr>
        <w:t xml:space="preserve">Meeussen C</w:t>
      </w:r>
      <w:r>
        <w:rPr>
          <w:bCs/>
          <w:b/>
        </w:rPr>
        <w:t xml:space="preserve">,</w:t>
      </w:r>
      <w:r>
        <w:rPr>
          <w:bCs/>
          <w:b/>
        </w:rPr>
        <w:t xml:space="preserve"> </w:t>
      </w:r>
      <w:r>
        <w:rPr>
          <w:bCs/>
          <w:b/>
          <w:bCs/>
          <w:b/>
        </w:rPr>
        <w:t xml:space="preserve">Govaert S</w:t>
      </w:r>
      <w:r>
        <w:rPr>
          <w:bCs/>
          <w:b/>
        </w:rPr>
        <w:t xml:space="preserve">,</w:t>
      </w:r>
      <w:r>
        <w:rPr>
          <w:bCs/>
          <w:b/>
        </w:rPr>
        <w:t xml:space="preserve"> </w:t>
      </w:r>
      <w:r>
        <w:rPr>
          <w:bCs/>
          <w:b/>
          <w:bCs/>
          <w:b/>
        </w:rPr>
        <w:t xml:space="preserve">Vanneste T</w:t>
      </w:r>
      <w:r>
        <w:rPr>
          <w:bCs/>
          <w:b/>
        </w:rPr>
        <w:t xml:space="preserve">,</w:t>
      </w:r>
      <w:r>
        <w:rPr>
          <w:bCs/>
          <w:b/>
        </w:rPr>
        <w:t xml:space="preserve"> </w:t>
      </w:r>
      <w:r>
        <w:rPr>
          <w:bCs/>
          <w:b/>
          <w:bCs/>
          <w:b/>
        </w:rPr>
        <w:t xml:space="preserve">Bollmann K</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Cousins SAO</w:t>
      </w:r>
      <w:r>
        <w:rPr>
          <w:bCs/>
          <w:b/>
        </w:rPr>
        <w:t xml:space="preserve">,</w:t>
      </w:r>
      <w:r>
        <w:rPr>
          <w:bCs/>
          <w:b/>
        </w:rPr>
        <w:t xml:space="preserve"> </w:t>
      </w:r>
      <w:r>
        <w:rPr>
          <w:bCs/>
          <w:b/>
          <w:bCs/>
          <w:b/>
        </w:rPr>
        <w:t xml:space="preserve">De Pauw K</w:t>
      </w:r>
      <w:r>
        <w:rPr>
          <w:bCs/>
          <w:b/>
        </w:rPr>
        <w:t xml:space="preserve">,</w:t>
      </w:r>
      <w:r>
        <w:rPr>
          <w:bCs/>
          <w:b/>
        </w:rPr>
        <w:t xml:space="preserve"> </w:t>
      </w:r>
      <w:r>
        <w:rPr>
          <w:bCs/>
          <w:b/>
          <w:bCs/>
          <w:b/>
        </w:rPr>
        <w:t xml:space="preserve">Diekmann M</w:t>
      </w:r>
      <w:r>
        <w:rPr>
          <w:bCs/>
          <w:b/>
        </w:rPr>
        <w:t xml:space="preserve">,</w:t>
      </w:r>
      <w:r>
        <w:rPr>
          <w:bCs/>
          <w:b/>
        </w:rPr>
        <w:t xml:space="preserve"> </w:t>
      </w:r>
      <w:r>
        <w:rPr>
          <w:bCs/>
          <w:b/>
          <w:bCs/>
          <w:b/>
        </w:rPr>
        <w:t xml:space="preserve">Gasperini C</w:t>
      </w:r>
      <w:r>
        <w:rPr>
          <w:bCs/>
          <w:b/>
        </w:rPr>
        <w:t xml:space="preserve">,</w:t>
      </w:r>
      <w:r>
        <w:rPr>
          <w:bCs/>
          <w:b/>
        </w:rPr>
        <w:t xml:space="preserve"> </w:t>
      </w:r>
      <w:r>
        <w:rPr>
          <w:iCs/>
          <w:i/>
          <w:bCs/>
          <w:b/>
        </w:rPr>
        <w:t xml:space="preserve">et al.</w:t>
      </w:r>
      <w:r>
        <w:t xml:space="preserve"> </w:t>
      </w:r>
      <w:r>
        <w:rPr>
          <w:bCs/>
          <w:b/>
        </w:rPr>
        <w:t xml:space="preserve">2021</w:t>
      </w:r>
      <w:r>
        <w:t xml:space="preserve">. Microclimatic edge-to-interior gradients of</w:t>
      </w:r>
      <w:r>
        <w:t xml:space="preserve"> </w:t>
      </w:r>
      <w:r>
        <w:t xml:space="preserve">European</w:t>
      </w:r>
      <w:r>
        <w:t xml:space="preserve"> </w:t>
      </w:r>
      <w:r>
        <w:t xml:space="preserve">deciduous forests.</w:t>
      </w:r>
      <w:r>
        <w:t xml:space="preserve"> </w:t>
      </w:r>
      <w:r>
        <w:rPr>
          <w:iCs/>
          <w:i/>
        </w:rPr>
        <w:t xml:space="preserve">Agricultural and Forest Meteorology</w:t>
      </w:r>
      <w:r>
        <w:t xml:space="preserve"> </w:t>
      </w:r>
      <w:r>
        <w:rPr>
          <w:bCs/>
          <w:b/>
        </w:rPr>
        <w:t xml:space="preserve">311</w:t>
      </w:r>
      <w:r>
        <w:t xml:space="preserve">: 108699.</w:t>
      </w:r>
    </w:p>
    <w:bookmarkEnd w:id="62"/>
    <w:bookmarkStart w:id="63"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63"/>
    <w:bookmarkStart w:id="64"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64"/>
    <w:bookmarkStart w:id="65"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65"/>
    <w:bookmarkStart w:id="66"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66"/>
    <w:bookmarkStart w:id="67"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67"/>
    <w:bookmarkStart w:id="68"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68"/>
    <w:bookmarkStart w:id="69"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9"/>
    <w:bookmarkStart w:id="70"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70"/>
    <w:bookmarkStart w:id="71"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71"/>
    <w:bookmarkStart w:id="7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72"/>
    <w:bookmarkStart w:id="7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73"/>
    <w:bookmarkStart w:id="74"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74"/>
    <w:bookmarkStart w:id="75"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75"/>
    <w:bookmarkStart w:id="76"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76"/>
    <w:bookmarkStart w:id="77"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77"/>
    <w:bookmarkStart w:id="78"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78"/>
    <w:bookmarkStart w:id="79"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9"/>
    <w:bookmarkStart w:id="80"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80"/>
    <w:bookmarkStart w:id="81"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81"/>
    <w:bookmarkStart w:id="82"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82"/>
    <w:bookmarkStart w:id="83"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83"/>
    <w:bookmarkStart w:id="84"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84"/>
    <w:bookmarkStart w:id="85"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85"/>
    <w:bookmarkStart w:id="86"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86"/>
    <w:bookmarkStart w:id="87"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87"/>
    <w:bookmarkStart w:id="88"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8"/>
    <w:bookmarkStart w:id="89"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9"/>
    <w:bookmarkStart w:id="90"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90"/>
    <w:bookmarkStart w:id="91"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91"/>
    <w:bookmarkStart w:id="92"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92"/>
    <w:bookmarkStart w:id="93" w:name="ref-zellweger_seasonal_2019"/>
    <w:p>
      <w:pPr>
        <w:pStyle w:val="Bibliography"/>
      </w:pPr>
      <w:r>
        <w:rPr>
          <w:bCs/>
          <w:b/>
          <w:bCs/>
          <w:b/>
        </w:rPr>
        <w:t xml:space="preserve">Zellweger F</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Depauw L</w:t>
      </w:r>
      <w:r>
        <w:rPr>
          <w:bCs/>
          <w:b/>
        </w:rPr>
        <w:t xml:space="preserve">,</w:t>
      </w:r>
      <w:r>
        <w:rPr>
          <w:bCs/>
          <w:b/>
        </w:rPr>
        <w:t xml:space="preserve"> </w:t>
      </w:r>
      <w:r>
        <w:rPr>
          <w:bCs/>
          <w:b/>
          <w:bCs/>
          <w:b/>
        </w:rPr>
        <w:t xml:space="preserve">Maes SL</w:t>
      </w:r>
      <w:r>
        <w:rPr>
          <w:bCs/>
          <w:b/>
        </w:rPr>
        <w:t xml:space="preserve">,</w:t>
      </w:r>
      <w:r>
        <w:rPr>
          <w:bCs/>
          <w:b/>
        </w:rPr>
        <w:t xml:space="preserve"> </w:t>
      </w:r>
      <w:r>
        <w:rPr>
          <w:bCs/>
          <w:b/>
          <w:bCs/>
          <w:b/>
        </w:rPr>
        <w:t xml:space="preserve">Wulf M</w:t>
      </w:r>
      <w:r>
        <w:rPr>
          <w:bCs/>
          <w:b/>
        </w:rPr>
        <w:t xml:space="preserve">,</w:t>
      </w:r>
      <w:r>
        <w:rPr>
          <w:bCs/>
          <w:b/>
        </w:rPr>
        <w:t xml:space="preserve"> </w:t>
      </w:r>
      <w:r>
        <w:rPr>
          <w:bCs/>
          <w:b/>
          <w:bCs/>
          <w:b/>
        </w:rPr>
        <w:t xml:space="preserve">Kirby KJ</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Máliš F</w:t>
      </w:r>
      <w:r>
        <w:rPr>
          <w:bCs/>
          <w:b/>
        </w:rPr>
        <w:t xml:space="preserve">,</w:t>
      </w:r>
      <w:r>
        <w:rPr>
          <w:bCs/>
          <w:b/>
        </w:rPr>
        <w:t xml:space="preserve"> </w:t>
      </w:r>
      <w:r>
        <w:rPr>
          <w:iCs/>
          <w:i/>
          <w:bCs/>
          <w:b/>
        </w:rPr>
        <w:t xml:space="preserve">et al.</w:t>
      </w:r>
      <w:r>
        <w:t xml:space="preserve"> </w:t>
      </w:r>
      <w:r>
        <w:rPr>
          <w:bCs/>
          <w:b/>
        </w:rPr>
        <w:t xml:space="preserve">2019</w:t>
      </w:r>
      <w:r>
        <w:t xml:space="preserve">. Seasonal drivers of understorey temperature buffering in temperate deciduous forests across</w:t>
      </w:r>
      <w:r>
        <w:t xml:space="preserve"> </w:t>
      </w:r>
      <w:r>
        <w:t xml:space="preserve">Europe</w:t>
      </w:r>
      <w:r>
        <w:t xml:space="preserve"> </w:t>
      </w:r>
      <w:r>
        <w:t xml:space="preserve">(A Algar, Ed.).</w:t>
      </w:r>
      <w:r>
        <w:t xml:space="preserve"> </w:t>
      </w:r>
      <w:r>
        <w:rPr>
          <w:iCs/>
          <w:i/>
        </w:rPr>
        <w:t xml:space="preserve">Global Ecology and Biogeography</w:t>
      </w:r>
      <w:r>
        <w:t xml:space="preserve"> </w:t>
      </w:r>
      <w:r>
        <w:rPr>
          <w:bCs/>
          <w:b/>
        </w:rPr>
        <w:t xml:space="preserve">28</w:t>
      </w:r>
      <w:r>
        <w:t xml:space="preserve">: 1774–1786.</w:t>
      </w:r>
    </w:p>
    <w:bookmarkEnd w:id="93"/>
    <w:bookmarkStart w:id="94"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2022-03-31T19:45:13Z</dcterms:created>
  <dcterms:modified xsi:type="dcterms:W3CDTF">2022-03-31T19:45:13Z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