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in our responses to the reviewers. The most significant change was de-emphasizing the discussion of the potential for stronger negative effects of rising temperatures on understory trees, including removal of former Fig. 4b and modifying the text throughout to give a more consistent message (as requested by reviewer #2).</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would like to retain the background painting in Figure 1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7" w:name="response-to-reviewers-comments-to-author"/>
    <w:p>
      <w:pPr>
        <w:pStyle w:val="Heading1"/>
      </w:pPr>
      <w:r>
        <w:t xml:space="preserve">Response to Reviewer(s)’ Comments to Author:</w:t>
      </w:r>
    </w:p>
    <w:bookmarkStart w:id="20" w:name="referee-1"/>
    <w:p>
      <w:pPr>
        <w:pStyle w:val="Heading2"/>
      </w:pPr>
      <w:r>
        <w:t xml:space="preserve">Referee: 1</w:t>
      </w:r>
    </w:p>
    <w:p>
      <w:pPr>
        <w:pStyle w:val="FirstParagraph"/>
      </w:pPr>
      <w:r>
        <w:t xml:space="preserve">Comments to the Author</w:t>
      </w:r>
    </w:p>
    <w:p>
      <w:pPr>
        <w:pStyle w:val="BodyText"/>
      </w:pP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r>
        <w:rPr>
          <w:bCs/>
          <w:b/>
        </w:rPr>
        <w:t xml:space="preserve">Fixed.</w:t>
      </w:r>
    </w:p>
    <w:p>
      <w:pPr>
        <w:pStyle w:val="BodyText"/>
      </w:pPr>
      <w:r>
        <w:t xml:space="preserve">-Fig 3 caption: TLeaf and some other discreptances with rest of the paper abreviations or format (tair, gs)</w:t>
      </w:r>
    </w:p>
    <w:p>
      <w:pPr>
        <w:pStyle w:val="BodyText"/>
      </w:pPr>
      <w:r>
        <w:rPr>
          <w:bCs/>
          <w:b/>
        </w:rPr>
        <w:t xml:space="preserve">Fixed.</w:t>
      </w:r>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could mitigate effects of gravity and hydraulic pathlength. We believe the sentence to be correct as written.</w:t>
      </w:r>
    </w:p>
    <w:p>
      <w:pPr>
        <w:pStyle w:val="BodyText"/>
      </w:pPr>
      <w:r>
        <w:t xml:space="preserve">-Table 2, gb unit, mmol m-2 s-1 ?</w:t>
      </w:r>
    </w:p>
    <w:p>
      <w:pPr>
        <w:pStyle w:val="BodyText"/>
      </w:pPr>
      <w:r>
        <w:rPr>
          <w:bCs/>
          <w:b/>
        </w:rPr>
        <w:t xml:space="preserve">Done</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0"/>
    <w:bookmarkStart w:id="21"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bCs/>
          <w:b/>
        </w:rPr>
        <w:t xml:space="preserve">We added an explanation to l.264-265 with references:</w:t>
      </w:r>
      <w:r>
        <w:t xml:space="preserve"> </w:t>
      </w:r>
      <w:r>
        <w:rPr>
          <w:bCs/>
          <w:b/>
        </w:rPr>
        <w:t xml:space="preserve">"Thus, while understory and within-canopy shade leaves can remain cooler under lower radiation, their environment is less conducive to dissipating excess heat compared to upper-canopy leaves,</w:t>
      </w:r>
      <w:r>
        <w:rPr>
          <w:bCs/>
          <w:b/>
        </w:rPr>
        <w:t xml:space="preserve"> </w:t>
      </w:r>
      <w:r>
        <w:rPr>
          <w:iCs/>
          <w:i/>
          <w:bCs/>
          <w:b/>
        </w:rPr>
        <w:t xml:space="preserve">because wind speeds and hence boundary layer conductance are generally smaller in the lower canopy</w:t>
      </w:r>
      <w:r>
        <w:rPr>
          <w:iCs/>
          <w:i/>
          <w:bCs/>
          <w:b/>
        </w:rPr>
        <w:t xml:space="preserve"> </w:t>
      </w:r>
      <w:r>
        <w:rPr>
          <w:iCs/>
          <w:i/>
          <w:bCs/>
          <w:b/>
        </w:rPr>
        <w:t xml:space="preserve">(Roberts</w:t>
      </w:r>
      <w:r>
        <w:rPr>
          <w:iCs/>
          <w:i/>
          <w:bCs/>
          <w:b/>
        </w:rPr>
        <w:t xml:space="preserve"> </w:t>
      </w:r>
      <w:r>
        <w:rPr>
          <w:iCs/>
          <w:i/>
          <w:iCs/>
          <w:i/>
          <w:bCs/>
          <w:b/>
        </w:rPr>
        <w:t xml:space="preserve">et al.</w:t>
      </w:r>
      <w:r>
        <w:rPr>
          <w:iCs/>
          <w:i/>
          <w:bCs/>
          <w:b/>
        </w:rPr>
        <w:t xml:space="preserve">, 1990; Martin</w:t>
      </w:r>
      <w:r>
        <w:rPr>
          <w:iCs/>
          <w:i/>
          <w:bCs/>
          <w:b/>
        </w:rPr>
        <w:t xml:space="preserve"> </w:t>
      </w:r>
      <w:r>
        <w:rPr>
          <w:iCs/>
          <w:i/>
          <w:iCs/>
          <w:i/>
          <w:bCs/>
          <w:b/>
        </w:rPr>
        <w:t xml:space="preserve">et al.</w:t>
      </w:r>
      <w:r>
        <w:rPr>
          <w:iCs/>
          <w:i/>
          <w:bCs/>
          <w:b/>
        </w:rPr>
        <w:t xml:space="preserve">, 1999)</w:t>
      </w:r>
      <w:r>
        <w:rPr>
          <w:iCs/>
          <w:i/>
          <w:bCs/>
          <w:b/>
        </w:rPr>
        <w:t xml:space="preserve">.</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bCs/>
          <w:b/>
        </w:rPr>
        <w:t xml:space="preserve">Lower VPD inhibits evaporative cooling precisely because VPD is the major driver for evaporation: Transpiration rate generally increases as VPD increases, and decreases as VPD decreases. Therefore lower VPD will mean less transpiration and hence less evaporative cooling. Perhaps the word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confused the issue; we have replaced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with</w:t>
      </w:r>
      <w:r>
        <w:rPr>
          <w:bCs/>
          <w:b/>
        </w:rPr>
        <w:t xml:space="preserve"> </w:t>
      </w:r>
      <w:r>
        <w:rPr>
          <w:iCs/>
          <w:i/>
          <w:bCs/>
          <w:b/>
        </w:rPr>
        <w:t xml:space="preserve">‘</w:t>
      </w:r>
      <w:r>
        <w:rPr>
          <w:iCs/>
          <w:i/>
          <w:bCs/>
          <w:b/>
        </w:rPr>
        <w:t xml:space="preserve">reduces</w:t>
      </w:r>
      <w:r>
        <w:rPr>
          <w:iCs/>
          <w:i/>
          <w:bCs/>
          <w:b/>
        </w:rPr>
        <w:t xml:space="preserve">’</w:t>
      </w:r>
      <w:r>
        <w:rPr>
          <w:bCs/>
          <w:b/>
        </w:rPr>
        <w:t xml:space="preserve">. We have also modified the sentence to read,</w:t>
      </w:r>
      <w:r>
        <w:rPr>
          <w:bCs/>
          <w:b/>
        </w:rPr>
        <w:t xml:space="preserve"> </w:t>
      </w:r>
      <w:r>
        <w:rPr>
          <w:bCs/>
          <w:b/>
        </w:rPr>
        <w:t xml:space="preserve">‘</w:t>
      </w:r>
      <w:r>
        <w:rPr>
          <w:bCs/>
          <w:b/>
        </w:rPr>
        <w:t xml:space="preserve">In addition to lower wind speeds, higher RH (lower VPD) in the understory and inner canopy also reduces evaporative cooling (because evaporation rate generally increases with VPD), thus increasing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w:t>
      </w:r>
      <w:r>
        <w:rPr>
          <w:bCs/>
          <w:b/>
        </w:rPr>
        <w:t xml:space="preserve"> </w:t>
      </w:r>
      <w:r>
        <w:rPr>
          <w:iCs/>
          <w:i/>
          <w:bCs/>
          <w:b/>
        </w:rPr>
        <w:t xml:space="preserve">T</w:t>
      </w:r>
      <w:r>
        <w:rPr>
          <w:vertAlign w:val="subscript"/>
          <w:iCs/>
          <w:i/>
          <w:bCs/>
          <w:b/>
        </w:rPr>
        <w:t xml:space="preserve">air</w:t>
      </w:r>
      <w:r>
        <w:rPr>
          <w:bCs/>
          <w:b/>
        </w:rPr>
        <w:t xml:space="preserve"> </w:t>
      </w:r>
      <w:r>
        <w:rPr>
          <w:bCs/>
          <w:b/>
        </w:rPr>
        <w:t xml:space="preserve">…</w:t>
      </w:r>
      <w:r>
        <w:rPr>
          <w:bCs/>
          <w:b/>
        </w:rPr>
        <w:t xml:space="preserve">’</w:t>
      </w:r>
      <w:r>
        <w:rPr>
          <w:bCs/>
          <w:b/>
        </w:rPr>
        <w:t xml:space="preserve">.” (phrase</w:t>
      </w:r>
      <w:r>
        <w:rPr>
          <w:bCs/>
          <w:b/>
        </w:rPr>
        <w:t xml:space="preserve"> </w:t>
      </w:r>
      <w:r>
        <w:rPr>
          <w:bCs/>
          <w:b/>
        </w:rPr>
        <w:t xml:space="preserve">“</w:t>
      </w:r>
      <w:r>
        <w:rPr>
          <w:bCs/>
          <w:b/>
        </w:rPr>
        <w:t xml:space="preserve">because evaporation rate generally increases with VPD</w:t>
      </w:r>
      <w:r>
        <w:rPr>
          <w:bCs/>
          <w:b/>
        </w:rPr>
        <w:t xml:space="preserve">”</w:t>
      </w:r>
      <w:r>
        <w:rPr>
          <w:bCs/>
          <w:b/>
        </w:rPr>
        <w:t xml:space="preserve"> </w:t>
      </w:r>
      <w:r>
        <w:rPr>
          <w:bCs/>
          <w:b/>
        </w:rPr>
        <w:t xml:space="preserve">added)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bCs/>
          <w:b/>
        </w:rPr>
        <w:t xml:space="preserve">Revised as suggested.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bCs/>
          <w:b/>
        </w:rPr>
        <w:t xml:space="preserve">We have removed the quoted sentence as it was redundant with that which had preceded it, but had confusingly couched the message of the preceding sentence as if it were a speculation rather than an empirical fact. The preceding sentence, which we have retained, read:</w:t>
      </w:r>
      <w:r>
        <w:t xml:space="preserve"> </w:t>
      </w:r>
      <w:r>
        <w:rPr>
          <w:iCs/>
          <w:i/>
        </w:rPr>
        <w:t xml:space="preserve">“…sun leaves in the upper canopy show a stronger decrease in</w:t>
      </w:r>
      <w:r>
        <w:t xml:space="preserve"> </w:t>
      </w:r>
      <w:r>
        <w:rPr>
          <w:iCs/>
          <w:i/>
        </w:rPr>
        <w:t xml:space="preserve">g</w:t>
      </w:r>
      <w:r>
        <w:rPr>
          <w:vertAlign w:val="subscript"/>
          <w:iCs/>
          <w:i/>
        </w:rPr>
        <w:t xml:space="preserve">s</w:t>
      </w:r>
      <w:r>
        <w:t xml:space="preserve"> </w:t>
      </w:r>
      <w:r>
        <w:rPr>
          <w:iCs/>
          <w:i/>
        </w:rPr>
        <w:t xml:space="preserve">in response to rising</w:t>
      </w:r>
      <w:r>
        <w:t xml:space="preserve"> </w:t>
      </w:r>
      <w:r>
        <w:rPr>
          <w:iCs/>
          <w:i/>
        </w:rPr>
        <w:t xml:space="preserve">T</w:t>
      </w:r>
      <w:r>
        <w:rPr>
          <w:vertAlign w:val="subscript"/>
          <w:iCs/>
          <w:i/>
        </w:rPr>
        <w:t xml:space="preserve">air</w:t>
      </w:r>
      <w:r>
        <w:t xml:space="preserve"> </w:t>
      </w:r>
      <w:r>
        <w:rPr>
          <w:iCs/>
          <w:i/>
        </w:rPr>
        <w:t xml:space="preserve">(driven by increased VPD) than lower-canopy shade leaves (Hernández et al., 2020; Carter et al., 2021)”.</w:t>
      </w:r>
      <w:r>
        <w:t xml:space="preserve"> </w:t>
      </w:r>
      <w:r>
        <w:rPr>
          <w:bCs/>
          <w:b/>
        </w:rPr>
        <w:t xml:space="preserve">That is an empirical result. The fact that the effect of</w:t>
      </w:r>
      <w:r>
        <w:rPr>
          <w:bCs/>
          <w:b/>
        </w:rPr>
        <w:t xml:space="preserve"> </w:t>
      </w:r>
      <w:r>
        <w:rPr>
          <w:iCs/>
          <w:i/>
          <w:bCs/>
          <w:b/>
        </w:rPr>
        <w:t xml:space="preserve">T</w:t>
      </w:r>
      <w:r>
        <w:rPr>
          <w:vertAlign w:val="subscript"/>
          <w:iCs/>
          <w:i/>
          <w:bCs/>
          <w:b/>
        </w:rPr>
        <w:t xml:space="preserve">air</w:t>
      </w:r>
      <w:r>
        <w:rPr>
          <w:bCs/>
          <w:b/>
        </w:rPr>
        <w:t xml:space="preserve"> </w:t>
      </w:r>
      <w:r>
        <w:rPr>
          <w:bCs/>
          <w:b/>
        </w:rPr>
        <w:t xml:space="preserve">on</w:t>
      </w:r>
      <w:r>
        <w:rPr>
          <w:bCs/>
          <w:b/>
        </w:rPr>
        <w:t xml:space="preserve"> </w:t>
      </w:r>
      <w:r>
        <w:rPr>
          <w:iCs/>
          <w:i/>
          <w:bCs/>
          <w:b/>
        </w:rPr>
        <w:t xml:space="preserve">g</w:t>
      </w:r>
      <w:r>
        <w:rPr>
          <w:vertAlign w:val="subscript"/>
          <w:iCs/>
          <w:i/>
          <w:bCs/>
          <w:b/>
        </w:rPr>
        <w:t xml:space="preserve">s</w:t>
      </w:r>
      <w:r>
        <w:rPr>
          <w:bCs/>
          <w:b/>
        </w:rPr>
        <w:t xml:space="preserve"> </w:t>
      </w:r>
      <w:r>
        <w:rPr>
          <w:bCs/>
          <w:b/>
        </w:rPr>
        <w:t xml:space="preserve">in that result is driven by VPD rather than somehow directly by</w:t>
      </w:r>
      <w:r>
        <w:rPr>
          <w:bCs/>
          <w:b/>
        </w:rPr>
        <w:t xml:space="preserve"> </w:t>
      </w:r>
      <w:r>
        <w:rPr>
          <w:iCs/>
          <w:i/>
          <w:bCs/>
          <w:b/>
        </w:rPr>
        <w:t xml:space="preserve">T</w:t>
      </w:r>
      <w:r>
        <w:rPr>
          <w:vertAlign w:val="subscript"/>
          <w:iCs/>
          <w:i/>
          <w:bCs/>
          <w:b/>
        </w:rPr>
        <w:t xml:space="preserve">air</w:t>
      </w:r>
      <w:r>
        <w:rPr>
          <w:bCs/>
          <w:b/>
        </w:rPr>
        <w:t xml:space="preserve"> </w:t>
      </w:r>
      <w:r>
        <w:rPr>
          <w:bCs/>
          <w:b/>
        </w:rPr>
        <w:t xml:space="preserve">itself is indicated by the fact that increasing temperature itself apparently</w:t>
      </w:r>
      <w:r>
        <w:rPr>
          <w:bCs/>
          <w:b/>
        </w:rPr>
        <w:t xml:space="preserve"> </w:t>
      </w:r>
      <w:r>
        <w:rPr>
          <w:iCs/>
          <w:i/>
          <w:bCs/>
          <w:b/>
        </w:rPr>
        <w:t xml:space="preserve">opens</w:t>
      </w:r>
      <w:r>
        <w:rPr>
          <w:bCs/>
          <w:b/>
        </w:rPr>
        <w:t xml:space="preserve"> </w:t>
      </w:r>
      <w:r>
        <w:rPr>
          <w:bCs/>
          <w:b/>
        </w:rPr>
        <w:t xml:space="preserve">stomata, rather than closing them. This is also germane to the reviewer’s final comment about decoupling VPD and</w:t>
      </w:r>
      <w:r>
        <w:rPr>
          <w:bCs/>
          <w:b/>
        </w:rPr>
        <w:t xml:space="preserve"> </w:t>
      </w:r>
      <w:r>
        <w:rPr>
          <w:iCs/>
          <w:i/>
          <w:bCs/>
          <w:b/>
        </w:rPr>
        <w:t xml:space="preserve">T</w:t>
      </w:r>
      <w:r>
        <w:rPr>
          <w:vertAlign w:val="subscript"/>
          <w:iCs/>
          <w:i/>
          <w:bCs/>
          <w:b/>
        </w:rPr>
        <w:t xml:space="preserve">leaf</w:t>
      </w:r>
      <w:r>
        <w:rPr>
          <w:bCs/>
          <w:b/>
        </w:rPr>
        <w:t xml:space="preserve">. There are in fact six published studies that have decoupled VPD and</w:t>
      </w:r>
      <w:r>
        <w:rPr>
          <w:bCs/>
          <w:b/>
        </w:rPr>
        <w:t xml:space="preserve"> </w:t>
      </w:r>
      <w:r>
        <w:rPr>
          <w:iCs/>
          <w:i/>
          <w:bCs/>
          <w:b/>
        </w:rPr>
        <w:t xml:space="preserve">T</w:t>
      </w:r>
      <w:r>
        <w:rPr>
          <w:vertAlign w:val="subscript"/>
          <w:iCs/>
          <w:i/>
          <w:bCs/>
          <w:b/>
        </w:rPr>
        <w:t xml:space="preserve">leaf</w:t>
      </w:r>
      <w:r>
        <w:rPr>
          <w:bCs/>
          <w:b/>
        </w:rPr>
        <w:t xml:space="preserve"> </w:t>
      </w:r>
      <w:r>
        <w:rPr>
          <w:bCs/>
          <w:b/>
        </w:rPr>
        <w:t xml:space="preserve">(Schulze</w:t>
      </w:r>
      <w:r>
        <w:rPr>
          <w:bCs/>
          <w:b/>
        </w:rPr>
        <w:t xml:space="preserve"> </w:t>
      </w:r>
      <w:r>
        <w:rPr>
          <w:iCs/>
          <w:i/>
          <w:bCs/>
          <w:b/>
        </w:rPr>
        <w:t xml:space="preserve">et al.</w:t>
      </w:r>
      <w:r>
        <w:rPr>
          <w:bCs/>
          <w:b/>
        </w:rPr>
        <w:t xml:space="preserve">, 1974; Hall</w:t>
      </w:r>
      <w:r>
        <w:rPr>
          <w:bCs/>
          <w:b/>
        </w:rPr>
        <w:t xml:space="preserve"> </w:t>
      </w:r>
      <w:r>
        <w:rPr>
          <w:iCs/>
          <w:i/>
          <w:bCs/>
          <w:b/>
        </w:rPr>
        <w:t xml:space="preserve">et al.</w:t>
      </w:r>
      <w:r>
        <w:rPr>
          <w:bCs/>
          <w:b/>
        </w:rPr>
        <w:t xml:space="preserve">, 1975; Hall &amp; Kaufmann, 1975; Fredeen &amp; Sage, 1999; Mott &amp; Peak, 2010; Urban</w:t>
      </w:r>
      <w:r>
        <w:rPr>
          <w:bCs/>
          <w:b/>
        </w:rPr>
        <w:t xml:space="preserve"> </w:t>
      </w:r>
      <w:r>
        <w:rPr>
          <w:iCs/>
          <w:i/>
          <w:bCs/>
          <w:b/>
        </w:rPr>
        <w:t xml:space="preserve">et al.</w:t>
      </w:r>
      <w:r>
        <w:rPr>
          <w:bCs/>
          <w:b/>
        </w:rPr>
        <w:t xml:space="preserve">, 2017)</w:t>
      </w:r>
      <w:r>
        <w:rPr>
          <w:bCs/>
          <w:b/>
        </w:rPr>
        <w:t xml:space="preserve">, and they all suggest temperature per se causes an increase, not a reduction, in stomatal conductance. We have added the following sentence to the end of the paragraph to clarify this matter, citing three of the six studies due to limit on word count:</w:t>
      </w:r>
      <w:r>
        <w:rPr>
          <w:bCs/>
          <w:b/>
        </w:rPr>
        <w:t xml:space="preserve"> </w:t>
      </w:r>
      <w:r>
        <w:rPr>
          <w:bCs/>
          <w:b/>
        </w:rPr>
        <w:t xml:space="preserve">“</w:t>
      </w:r>
      <w:r>
        <w:rPr>
          <w:bCs/>
          <w:b/>
        </w:rPr>
        <w:t xml:space="preserve">Available data also suggest that high Tair can directly drive stomatal opening, if vapor pressure is experimentally adjusted in tandem with Tair to keep VPD constant (Fredeen &amp; Sage, 1999; Mott &amp; Peak, 2010; Urban et al., 2017), though it appears that the negative effect of temperature on gs, mediated by VPD, generally overrides the positive effect of temperature per se in nature, causing gs to decline when the leaf warms.</w:t>
      </w:r>
      <w:r>
        <w:rPr>
          <w:bCs/>
          <w:b/>
        </w:rPr>
        <w:t xml:space="preserve">”</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bCs/>
          <w:b/>
        </w:rPr>
        <w:t xml:space="preserve">Thanks for suggesting. We included the following sentence:</w:t>
      </w:r>
      <w:r>
        <w:t xml:space="preserve"> </w:t>
      </w:r>
      <w:r>
        <w:rPr>
          <w:bCs/>
          <w:b/>
        </w:rPr>
        <w:t xml:space="preserve">Overall, although the temperature difference between upper and lower canopy positions is important driver of respiration, we currently lack mechanistic understanding of how and why its temperature sensitivity varies across the forest vertical profile.</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1"/>
    <w:bookmarkStart w:id="46" w:name="references"/>
    <w:p>
      <w:pPr>
        <w:pStyle w:val="Heading2"/>
      </w:pPr>
      <w:r>
        <w:t xml:space="preserve">References</w:t>
      </w:r>
    </w:p>
    <w:bookmarkStart w:id="45" w:name="refs"/>
    <w:bookmarkStart w:id="22"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Environmental Research Letters</w:t>
      </w:r>
      <w:r>
        <w:t xml:space="preserve"> </w:t>
      </w:r>
      <w:r>
        <w:rPr>
          <w:bCs/>
          <w:b/>
        </w:rPr>
        <w:t xml:space="preserve">16</w:t>
      </w:r>
      <w:r>
        <w:t xml:space="preserve">: 053009.</w:t>
      </w:r>
    </w:p>
    <w:bookmarkEnd w:id="22"/>
    <w:bookmarkStart w:id="23"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3"/>
    <w:bookmarkStart w:id="24"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4"/>
    <w:bookmarkStart w:id="25"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Proceedings of the National Academy of Sciences</w:t>
      </w:r>
      <w:r>
        <w:t xml:space="preserve"> </w:t>
      </w:r>
      <w:r>
        <w:rPr>
          <w:bCs/>
          <w:b/>
        </w:rPr>
        <w:t xml:space="preserve">112</w:t>
      </w:r>
      <w:r>
        <w:t xml:space="preserve">: 10744–10749.</w:t>
      </w:r>
    </w:p>
    <w:bookmarkEnd w:id="25"/>
    <w:bookmarkStart w:id="26" w:name="Xba32ef2702f5e28829bfd281f5816ac4bfbb613"/>
    <w:p>
      <w:pPr>
        <w:pStyle w:val="Bibliography"/>
      </w:pPr>
      <w:r>
        <w:rPr>
          <w:bCs/>
          <w:b/>
          <w:bCs/>
          <w:b/>
        </w:rPr>
        <w:t xml:space="preserve">Fredeen AL</w:t>
      </w:r>
      <w:r>
        <w:rPr>
          <w:bCs/>
          <w:b/>
        </w:rPr>
        <w:t xml:space="preserve">,</w:t>
      </w:r>
      <w:r>
        <w:rPr>
          <w:bCs/>
          <w:b/>
        </w:rPr>
        <w:t xml:space="preserve"> </w:t>
      </w:r>
      <w:r>
        <w:rPr>
          <w:bCs/>
          <w:b/>
          <w:bCs/>
          <w:b/>
        </w:rPr>
        <w:t xml:space="preserve">Sage RF</w:t>
      </w:r>
      <w:r>
        <w:t xml:space="preserve">.</w:t>
      </w:r>
      <w:r>
        <w:t xml:space="preserve"> </w:t>
      </w:r>
      <w:r>
        <w:rPr>
          <w:bCs/>
          <w:b/>
        </w:rPr>
        <w:t xml:space="preserve">1999</w:t>
      </w:r>
      <w:r>
        <w:t xml:space="preserve">. Temperature and humidity effects on branchlet gas-exchange in white spruce: An explanation for the increase in transpiration with branchlet temperature.</w:t>
      </w:r>
      <w:r>
        <w:t xml:space="preserve"> </w:t>
      </w:r>
      <w:r>
        <w:rPr>
          <w:iCs/>
          <w:i/>
        </w:rPr>
        <w:t xml:space="preserve">Trees</w:t>
      </w:r>
      <w:r>
        <w:t xml:space="preserve"> </w:t>
      </w:r>
      <w:r>
        <w:rPr>
          <w:bCs/>
          <w:b/>
        </w:rPr>
        <w:t xml:space="preserve">14</w:t>
      </w:r>
      <w:r>
        <w:t xml:space="preserve">: 161–168.</w:t>
      </w:r>
    </w:p>
    <w:bookmarkEnd w:id="26"/>
    <w:bookmarkStart w:id="27"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Nature Plants</w:t>
      </w:r>
      <w:r>
        <w:t xml:space="preserve"> </w:t>
      </w:r>
      <w:r>
        <w:rPr>
          <w:bCs/>
          <w:b/>
        </w:rPr>
        <w:t xml:space="preserve">7</w:t>
      </w:r>
      <w:r>
        <w:t xml:space="preserve">: 384–391.</w:t>
      </w:r>
    </w:p>
    <w:bookmarkEnd w:id="27"/>
    <w:bookmarkStart w:id="28"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28"/>
    <w:bookmarkStart w:id="29" w:name="ref-hallRegulationWaterLoss1975"/>
    <w:p>
      <w:pPr>
        <w:pStyle w:val="Bibliography"/>
      </w:pPr>
      <w:r>
        <w:rPr>
          <w:bCs/>
          <w:b/>
          <w:bCs/>
          <w:b/>
        </w:rPr>
        <w:t xml:space="preserve">Hall AE</w:t>
      </w:r>
      <w:r>
        <w:rPr>
          <w:bCs/>
          <w:b/>
        </w:rPr>
        <w:t xml:space="preserve">,</w:t>
      </w:r>
      <w:r>
        <w:rPr>
          <w:bCs/>
          <w:b/>
        </w:rPr>
        <w:t xml:space="preserve"> </w:t>
      </w:r>
      <w:r>
        <w:rPr>
          <w:bCs/>
          <w:b/>
          <w:bCs/>
          <w:b/>
        </w:rPr>
        <w:t xml:space="preserve">Camacho-B SE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Regulation of</w:t>
      </w:r>
      <w:r>
        <w:t xml:space="preserve"> </w:t>
      </w:r>
      <w:r>
        <w:t xml:space="preserve">Water Loss</w:t>
      </w:r>
      <w:r>
        <w:t xml:space="preserve"> </w:t>
      </w:r>
      <w:r>
        <w:t xml:space="preserve">by</w:t>
      </w:r>
      <w:r>
        <w:t xml:space="preserve"> </w:t>
      </w:r>
      <w:r>
        <w:t xml:space="preserve">Citrus Leaves</w:t>
      </w:r>
      <w:r>
        <w:t xml:space="preserve">.</w:t>
      </w:r>
      <w:r>
        <w:t xml:space="preserve"> </w:t>
      </w:r>
      <w:r>
        <w:rPr>
          <w:iCs/>
          <w:i/>
        </w:rPr>
        <w:t xml:space="preserve">Physiologia Plantarum</w:t>
      </w:r>
      <w:r>
        <w:t xml:space="preserve"> </w:t>
      </w:r>
      <w:r>
        <w:rPr>
          <w:bCs/>
          <w:b/>
        </w:rPr>
        <w:t xml:space="preserve">33</w:t>
      </w:r>
      <w:r>
        <w:t xml:space="preserve">: 62–65.</w:t>
      </w:r>
    </w:p>
    <w:bookmarkEnd w:id="29"/>
    <w:bookmarkStart w:id="30" w:name="ref-hallStomatalResponseEnvironment1975"/>
    <w:p>
      <w:pPr>
        <w:pStyle w:val="Bibliography"/>
      </w:pPr>
      <w:r>
        <w:rPr>
          <w:bCs/>
          <w:b/>
          <w:bCs/>
          <w:b/>
        </w:rPr>
        <w:t xml:space="preserve">Hall AE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Stomatal</w:t>
      </w:r>
      <w:r>
        <w:t xml:space="preserve"> </w:t>
      </w:r>
      <w:r>
        <w:t xml:space="preserve">Response</w:t>
      </w:r>
      <w:r>
        <w:t xml:space="preserve"> </w:t>
      </w:r>
      <w:r>
        <w:t xml:space="preserve">to</w:t>
      </w:r>
      <w:r>
        <w:t xml:space="preserve"> </w:t>
      </w:r>
      <w:r>
        <w:t xml:space="preserve">Environment</w:t>
      </w:r>
      <w:r>
        <w:t xml:space="preserve"> </w:t>
      </w:r>
      <w:r>
        <w:t xml:space="preserve">with</w:t>
      </w:r>
      <w:r>
        <w:t xml:space="preserve"> </w:t>
      </w:r>
      <w:r>
        <w:t xml:space="preserve">Sesamum</w:t>
      </w:r>
      <w:r>
        <w:t xml:space="preserve"> </w:t>
      </w:r>
      <w:r>
        <w:t xml:space="preserve">indicum.</w:t>
      </w:r>
      <w:r>
        <w:t xml:space="preserve"> </w:t>
      </w:r>
      <w:r>
        <w:t xml:space="preserve">L</w:t>
      </w:r>
      <w:r>
        <w:t xml:space="preserve">. 1.</w:t>
      </w:r>
      <w:r>
        <w:t xml:space="preserve"> </w:t>
      </w:r>
      <w:r>
        <w:rPr>
          <w:iCs/>
          <w:i/>
        </w:rPr>
        <w:t xml:space="preserve">Plant Physiology</w:t>
      </w:r>
      <w:r>
        <w:t xml:space="preserve"> </w:t>
      </w:r>
      <w:r>
        <w:rPr>
          <w:bCs/>
          <w:b/>
        </w:rPr>
        <w:t xml:space="preserve">55</w:t>
      </w:r>
      <w:r>
        <w:t xml:space="preserve">: 455–459.</w:t>
      </w:r>
    </w:p>
    <w:bookmarkEnd w:id="30"/>
    <w:bookmarkStart w:id="31"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1"/>
    <w:bookmarkStart w:id="32"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2"/>
    <w:bookmarkStart w:id="33"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3"/>
    <w:bookmarkStart w:id="34"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34"/>
    <w:bookmarkStart w:id="35"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5"/>
    <w:bookmarkStart w:id="36"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Proceedings of the National Academy of Sciences</w:t>
      </w:r>
      <w:r>
        <w:t xml:space="preserve"> </w:t>
      </w:r>
      <w:r>
        <w:rPr>
          <w:bCs/>
          <w:b/>
        </w:rPr>
        <w:t xml:space="preserve">108</w:t>
      </w:r>
      <w:r>
        <w:t xml:space="preserve">: 19431–19435.</w:t>
      </w:r>
    </w:p>
    <w:bookmarkEnd w:id="36"/>
    <w:bookmarkStart w:id="37" w:name="ref-mottStomatalResponsesHumidity2010"/>
    <w:p>
      <w:pPr>
        <w:pStyle w:val="Bibliography"/>
      </w:pPr>
      <w:r>
        <w:rPr>
          <w:bCs/>
          <w:b/>
          <w:bCs/>
          <w:b/>
        </w:rPr>
        <w:t xml:space="preserve">Mott KA</w:t>
      </w:r>
      <w:r>
        <w:rPr>
          <w:bCs/>
          <w:b/>
        </w:rPr>
        <w:t xml:space="preserve">,</w:t>
      </w:r>
      <w:r>
        <w:rPr>
          <w:bCs/>
          <w:b/>
        </w:rPr>
        <w:t xml:space="preserve"> </w:t>
      </w:r>
      <w:r>
        <w:rPr>
          <w:bCs/>
          <w:b/>
          <w:bCs/>
          <w:b/>
        </w:rPr>
        <w:t xml:space="preserve">Peak D</w:t>
      </w:r>
      <w:r>
        <w:t xml:space="preserve">.</w:t>
      </w:r>
      <w:r>
        <w:t xml:space="preserve"> </w:t>
      </w:r>
      <w:r>
        <w:rPr>
          <w:bCs/>
          <w:b/>
        </w:rPr>
        <w:t xml:space="preserve">2010</w:t>
      </w:r>
      <w:r>
        <w:t xml:space="preserve">. Stomatal responses to humidity and temperature in darkness.</w:t>
      </w:r>
      <w:r>
        <w:t xml:space="preserve"> </w:t>
      </w:r>
      <w:r>
        <w:rPr>
          <w:iCs/>
          <w:i/>
        </w:rPr>
        <w:t xml:space="preserve">Plant, Cell &amp; Environment</w:t>
      </w:r>
      <w:r>
        <w:t xml:space="preserve"> </w:t>
      </w:r>
      <w:r>
        <w:rPr>
          <w:bCs/>
          <w:b/>
        </w:rPr>
        <w:t xml:space="preserve">33</w:t>
      </w:r>
      <w:r>
        <w:t xml:space="preserve">: 1084–1090.</w:t>
      </w:r>
    </w:p>
    <w:bookmarkEnd w:id="37"/>
    <w:bookmarkStart w:id="38"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38"/>
    <w:bookmarkStart w:id="39"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39"/>
    <w:bookmarkStart w:id="40"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0"/>
    <w:bookmarkStart w:id="41"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41"/>
    <w:bookmarkStart w:id="42" w:name="ref-schulzeRoleAirHumidity1974"/>
    <w:p>
      <w:pPr>
        <w:pStyle w:val="Bibliography"/>
      </w:pPr>
      <w:r>
        <w:rPr>
          <w:bCs/>
          <w:b/>
          <w:bCs/>
          <w:b/>
        </w:rPr>
        <w:t xml:space="preserve">Schulze E-D</w:t>
      </w:r>
      <w:r>
        <w:rPr>
          <w:bCs/>
          <w:b/>
        </w:rPr>
        <w:t xml:space="preserve">,</w:t>
      </w:r>
      <w:r>
        <w:rPr>
          <w:bCs/>
          <w:b/>
        </w:rPr>
        <w:t xml:space="preserve"> </w:t>
      </w:r>
      <w:r>
        <w:rPr>
          <w:bCs/>
          <w:b/>
          <w:bCs/>
          <w:b/>
        </w:rPr>
        <w:t xml:space="preserve">Lange OL</w:t>
      </w:r>
      <w:r>
        <w:rPr>
          <w:bCs/>
          <w:b/>
        </w:rPr>
        <w:t xml:space="preserve">,</w:t>
      </w:r>
      <w:r>
        <w:rPr>
          <w:bCs/>
          <w:b/>
        </w:rPr>
        <w:t xml:space="preserve"> </w:t>
      </w:r>
      <w:r>
        <w:rPr>
          <w:bCs/>
          <w:b/>
          <w:bCs/>
          <w:b/>
        </w:rPr>
        <w:t xml:space="preserve">Evenari M</w:t>
      </w:r>
      <w:r>
        <w:rPr>
          <w:bCs/>
          <w:b/>
        </w:rPr>
        <w:t xml:space="preserve">,</w:t>
      </w:r>
      <w:r>
        <w:rPr>
          <w:bCs/>
          <w:b/>
        </w:rPr>
        <w:t xml:space="preserve"> </w:t>
      </w:r>
      <w:r>
        <w:rPr>
          <w:bCs/>
          <w:b/>
          <w:bCs/>
          <w:b/>
        </w:rPr>
        <w:t xml:space="preserve">Kappen L</w:t>
      </w:r>
      <w:r>
        <w:rPr>
          <w:bCs/>
          <w:b/>
        </w:rPr>
        <w:t xml:space="preserve">,</w:t>
      </w:r>
      <w:r>
        <w:rPr>
          <w:bCs/>
          <w:b/>
        </w:rPr>
        <w:t xml:space="preserve"> </w:t>
      </w:r>
      <w:r>
        <w:rPr>
          <w:bCs/>
          <w:b/>
          <w:bCs/>
          <w:b/>
        </w:rPr>
        <w:t xml:space="preserve">Buschbom U</w:t>
      </w:r>
      <w:r>
        <w:t xml:space="preserve">.</w:t>
      </w:r>
      <w:r>
        <w:t xml:space="preserve"> </w:t>
      </w:r>
      <w:r>
        <w:rPr>
          <w:bCs/>
          <w:b/>
        </w:rPr>
        <w:t xml:space="preserve">1974</w:t>
      </w:r>
      <w:r>
        <w:t xml:space="preserve">. The role of air humidity and leaf temperature in controlling stomatal resistance of</w:t>
      </w:r>
      <w:r>
        <w:t xml:space="preserve"> </w:t>
      </w:r>
      <w:r>
        <w:t xml:space="preserve">Prunus</w:t>
      </w:r>
      <w:r>
        <w:t xml:space="preserve"> </w:t>
      </w:r>
      <w:r>
        <w:t xml:space="preserve">armeniaca</w:t>
      </w:r>
      <w:r>
        <w:t xml:space="preserve"> </w:t>
      </w:r>
      <w:r>
        <w:t xml:space="preserve">L</w:t>
      </w:r>
      <w:r>
        <w:t xml:space="preserve">. Under desert conditions.</w:t>
      </w:r>
      <w:r>
        <w:t xml:space="preserve"> </w:t>
      </w:r>
      <w:r>
        <w:rPr>
          <w:iCs/>
          <w:i/>
        </w:rPr>
        <w:t xml:space="preserve">Oecologia</w:t>
      </w:r>
      <w:r>
        <w:t xml:space="preserve"> </w:t>
      </w:r>
      <w:r>
        <w:rPr>
          <w:bCs/>
          <w:b/>
        </w:rPr>
        <w:t xml:space="preserve">17</w:t>
      </w:r>
      <w:r>
        <w:t xml:space="preserve">: 159–170.</w:t>
      </w:r>
    </w:p>
    <w:bookmarkEnd w:id="42"/>
    <w:bookmarkStart w:id="43" w:name="Xaa602e2f36456bdfb22866bf551ed10ce4d6ff0"/>
    <w:p>
      <w:pPr>
        <w:pStyle w:val="Bibliography"/>
      </w:pPr>
      <w:r>
        <w:rPr>
          <w:bCs/>
          <w:b/>
          <w:bCs/>
          <w:b/>
        </w:rPr>
        <w:t xml:space="preserve">Urban J</w:t>
      </w:r>
      <w:r>
        <w:rPr>
          <w:bCs/>
          <w:b/>
        </w:rPr>
        <w:t xml:space="preserve">,</w:t>
      </w:r>
      <w:r>
        <w:rPr>
          <w:bCs/>
          <w:b/>
        </w:rPr>
        <w:t xml:space="preserve"> </w:t>
      </w:r>
      <w:r>
        <w:rPr>
          <w:bCs/>
          <w:b/>
          <w:bCs/>
          <w:b/>
        </w:rPr>
        <w:t xml:space="preserve">Ingwers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Teskey RO</w:t>
      </w:r>
      <w:r>
        <w:t xml:space="preserve">.</w:t>
      </w:r>
      <w:r>
        <w:t xml:space="preserve"> </w:t>
      </w:r>
      <w:r>
        <w:rPr>
          <w:bCs/>
          <w:b/>
        </w:rPr>
        <w:t xml:space="preserve">2017</w:t>
      </w:r>
      <w:r>
        <w:t xml:space="preserve">. Stomatal conductance increases with rising temperature.</w:t>
      </w:r>
      <w:r>
        <w:t xml:space="preserve"> </w:t>
      </w:r>
      <w:r>
        <w:rPr>
          <w:iCs/>
          <w:i/>
        </w:rPr>
        <w:t xml:space="preserve">Plant Signaling &amp; Behavior</w:t>
      </w:r>
      <w:r>
        <w:t xml:space="preserve"> </w:t>
      </w:r>
      <w:r>
        <w:rPr>
          <w:bCs/>
          <w:b/>
        </w:rPr>
        <w:t xml:space="preserve">12</w:t>
      </w:r>
      <w:r>
        <w:t xml:space="preserve">: e1356534.</w:t>
      </w:r>
    </w:p>
    <w:bookmarkEnd w:id="43"/>
    <w:bookmarkStart w:id="44"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2022-06-29T19:13:12Z</dcterms:created>
  <dcterms:modified xsi:type="dcterms:W3CDTF">2022-06-29T19:13:12Z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