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25"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r>
        <w:rPr>
          <w:iCs/>
          <w:i/>
        </w:rPr>
        <w:t xml:space="preserve">Nidhi</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hyperlink r:id="rId21">
        <w:r>
          <w:rPr>
            <w:rStyle w:val="Hyperlink"/>
            <w:iCs/>
            <w:i/>
          </w:rPr>
          <w:t xml:space="preserve">https://github.com/EcoClimLab/vertical-thermal-review/issues/119</w:t>
        </w:r>
      </w:hyperlink>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r>
        <w:br w:type="page"/>
      </w:r>
    </w:p>
    <w:bookmarkEnd w:id="23"/>
    <w:bookmarkStart w:id="24" w:name="references"/>
    <w:p>
      <w:pPr>
        <w:pStyle w:val="Heading2"/>
      </w:pPr>
      <w:r>
        <w:t xml:space="preserve">References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19"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2022-06-09T12:07:33Z</dcterms:created>
  <dcterms:modified xsi:type="dcterms:W3CDTF">2022-06-09T12:07:33Z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