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6"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In addition, 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rPr>
          <w:iCs/>
          <w:i/>
        </w:rPr>
        <w:t xml:space="preserve">I don’t understand what needs to be done with the sentence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r>
        <w:rPr>
          <w:bCs/>
          <w:b/>
        </w:rPr>
        <w:t xml:space="preserve">”</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bCs/>
          <w:b/>
        </w:rPr>
        <w:t xml:space="preserve">“</w:t>
      </w:r>
      <w:r>
        <w:rPr>
          <w:bCs/>
          <w:b/>
        </w:rPr>
        <w:t xml:space="preserve">Vertical CO</w:t>
      </w:r>
      <w:r>
        <w:rPr>
          <w:vertAlign w:val="subscript"/>
          <w:bCs/>
          <w:b/>
        </w:rPr>
        <w:t xml:space="preserve">2</w:t>
      </w:r>
      <w:r>
        <w:rPr>
          <w:bCs/>
          <w:b/>
        </w:rPr>
        <w:t xml:space="preserve"> </w:t>
      </w:r>
      <w:r>
        <w:rPr>
          <w:bCs/>
          <w:b/>
        </w:rPr>
        <w:t xml:space="preserve">concentration gradients can influence the ratio of leaf inter-cellular CO</w:t>
      </w:r>
      <w:r>
        <w:rPr>
          <w:vertAlign w:val="subscript"/>
          <w:bCs/>
          <w:b/>
        </w:rPr>
        <w:t xml:space="preserve">2</w:t>
      </w:r>
      <w:r>
        <w:rPr>
          <w:bCs/>
          <w:b/>
        </w:rPr>
        <w:t xml:space="preserve"> </w:t>
      </w:r>
      <w:r>
        <w:rPr>
          <w:bCs/>
          <w:b/>
        </w:rPr>
        <w:t xml:space="preserve">to ambient CO</w:t>
      </w:r>
      <w:r>
        <w:rPr>
          <w:vertAlign w:val="subscript"/>
          <w:bCs/>
          <w:b/>
        </w:rPr>
        <w:t xml:space="preserve">2</w:t>
      </w:r>
      <w:r>
        <w:rPr>
          <w:bCs/>
          <w:b/>
        </w:rPr>
        <w:t xml:space="preserve"> </w:t>
      </w:r>
      <w:r>
        <w:rPr>
          <w:bCs/>
          <w:b/>
        </w:rPr>
        <w:t xml:space="preserve">(</w:t>
      </w:r>
      <m:oMath>
        <m:sSub>
          <m:e>
            <m:r>
              <m:t>c</m:t>
            </m:r>
          </m:e>
          <m:sub>
            <m:r>
              <m:t>i</m:t>
            </m:r>
          </m:sub>
        </m:sSub>
        <m:r>
          <m:rPr>
            <m:sty m:val="p"/>
          </m:rPr>
          <m:t>/</m:t>
        </m:r>
        <m:sSub>
          <m:e>
            <m:r>
              <m:t>c</m:t>
            </m:r>
          </m:e>
          <m:sub>
            <m:r>
              <m:t>a</m:t>
            </m:r>
          </m:sub>
        </m:sSub>
      </m:oMath>
      <w:r>
        <w:rPr>
          <w:bCs/>
          <w:b/>
        </w:rPr>
        <w:t xml:space="preserve">), and refixation of respired CO</w:t>
      </w:r>
      <w:r>
        <w:rPr>
          <w:vertAlign w:val="subscript"/>
          <w:bCs/>
          <w:b/>
        </w:rPr>
        <w:t xml:space="preserve">2</w:t>
      </w:r>
      <w:r>
        <w:rPr>
          <w:bCs/>
          <w:b/>
        </w:rPr>
        <w:t xml:space="preserve"> </w:t>
      </w:r>
      <w:r>
        <w:rPr>
          <w:bCs/>
          <w:b/>
        </w:rPr>
        <w:t xml:space="preserve">inferred by</w:t>
      </w:r>
      <w:r>
        <w:rPr>
          <w:bCs/>
          <w:b/>
        </w:rPr>
        <w:t xml:space="preserve"> </w:t>
      </w:r>
      <m:oMath>
        <m:sSup>
          <m:e>
            <m:r>
              <m:t>δ</m:t>
            </m:r>
          </m:e>
          <m:sup>
            <m:r>
              <m:t>13</m:t>
            </m:r>
          </m:sup>
        </m:sSup>
        <m:r>
          <m:t>C</m:t>
        </m:r>
      </m:oMath>
      <w:r>
        <w:rPr>
          <w:bCs/>
          <w:b/>
        </w:rPr>
        <w:t xml:space="preserve">, where both tend to be higher in the lower canopy positions. Particularly, understory seedlings above ground benefit from elevated CO</w:t>
      </w:r>
      <w:r>
        <w:rPr>
          <w:vertAlign w:val="subscript"/>
          <w:bCs/>
          <w:b/>
        </w:rPr>
        <w:t xml:space="preserve">2</w:t>
      </w:r>
      <w:r>
        <w:rPr>
          <w:bCs/>
          <w:b/>
        </w:rPr>
        <w:t xml:space="preserve">, therefore showing highest rates of CO</w:t>
      </w:r>
      <w:r>
        <w:rPr>
          <w:vertAlign w:val="subscript"/>
          <w:bCs/>
          <w:b/>
        </w:rPr>
        <w:t xml:space="preserve">2</w:t>
      </w:r>
      <w:r>
        <w:rPr>
          <w:bCs/>
          <w:b/>
        </w:rPr>
        <w:t xml:space="preserve"> </w:t>
      </w:r>
      <w:r>
        <w:rPr>
          <w:bCs/>
          <w:b/>
        </w:rPr>
        <w:t xml:space="preserve">refixation [Brooks et al. 1997].</w:t>
      </w:r>
      <w:r>
        <w:rPr>
          <w:bCs/>
          <w:b/>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rPr>
          <w:bCs/>
          <w:b/>
        </w:rPr>
        <w:t xml:space="preserve">We agree that the comparison is not very clear here. We added</w:t>
      </w:r>
      <w:r>
        <w:rPr>
          <w:bCs/>
          <w:b/>
        </w:rPr>
        <w:t xml:space="preserve"> </w:t>
      </w:r>
      <w:r>
        <w:rPr>
          <w:bCs/>
          <w:b/>
        </w:rPr>
        <w:t xml:space="preserve">“</w:t>
      </w:r>
      <w:r>
        <w:rPr>
          <w:bCs/>
          <w:b/>
        </w:rPr>
        <w:t xml:space="preserve">compared to shaded lower canopies</w:t>
      </w:r>
      <w:r>
        <w:rPr>
          <w:bCs/>
          <w:b/>
        </w:rPr>
        <w:t xml:space="preserve">”</w:t>
      </w:r>
      <w:r>
        <w:rPr>
          <w:bCs/>
          <w:b/>
        </w:rPr>
        <w:t xml:space="preserve"> </w:t>
      </w:r>
      <w:r>
        <w:rPr>
          <w:bCs/>
          <w:b/>
        </w:rPr>
        <w:t xml:space="preserve">to the sentence: "Higher photosynthetic rates (per unit leaf area) and more frequent stomatal closure in sun exposed canopies</w:t>
      </w:r>
      <w:r>
        <w:rPr>
          <w:bCs/>
          <w:b/>
        </w:rPr>
        <w:t xml:space="preserve"> </w:t>
      </w:r>
      <w:r>
        <w:rPr>
          <w:iCs/>
          <w:i/>
        </w:rPr>
        <w:t xml:space="preserve">compared to shaded lower canopies,</w:t>
      </w:r>
      <w:r>
        <w:rPr>
          <w:bCs/>
          <w:b/>
        </w:rPr>
        <w:t xml:space="preserve">result in lower intercellular CO</w:t>
      </w:r>
      <w:r>
        <w:rPr>
          <w:vertAlign w:val="subscript"/>
          <w:bCs/>
          <w:b/>
        </w:rPr>
        <w:t xml:space="preserve">2</w:t>
      </w:r>
      <w:r>
        <w:rPr>
          <w:bCs/>
          <w:b/>
        </w:rPr>
        <w:t xml:space="preserve"> </w:t>
      </w:r>
      <w:r>
        <w:rPr>
          <w:bCs/>
          <w:b/>
        </w:rPr>
        <w:t xml:space="preserve">concentrations and higher</w:t>
      </w:r>
      <w:r>
        <w:rPr>
          <w:bCs/>
          <w:b/>
        </w:rPr>
        <w:t xml:space="preserve"> </w:t>
      </w:r>
      <m:oMath>
        <m:sSup>
          <m:e>
            <m:r>
              <m:t>δ</m:t>
            </m:r>
          </m:e>
          <m:sup>
            <m:r>
              <m:t>13</m:t>
            </m:r>
          </m:sup>
        </m:sSup>
      </m:oMath>
      <w:r>
        <w:rPr>
          <w:bCs/>
          <w:b/>
        </w:rPr>
        <w:t xml:space="preserve">C isotopic ratios in leaf tissues</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5" w:name="references"/>
    <w:p>
      <w:pPr>
        <w:pStyle w:val="Heading2"/>
      </w:pPr>
      <w:r>
        <w:t xml:space="preserve">References</w:t>
      </w:r>
    </w:p>
    <w:bookmarkStart w:id="44"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2"/>
    <w:bookmarkStart w:id="4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2022-01-22T20:13:37Z</dcterms:created>
  <dcterms:modified xsi:type="dcterms:W3CDTF">2022-01-22T20:13:37Z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