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60"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rPr>
          <w:iCs/>
          <w:i/>
        </w:rPr>
        <w:t xml:space="preserve">Nidhi, is this all correct??.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We agree with the suggestion. To make the useage of different synonyms clearer, we added a note in lines(xxx)</w:t>
      </w:r>
      <w:r>
        <w:rPr>
          <w:bCs/>
          <w:b/>
        </w:rPr>
        <w:t xml:space="preserve">“</w:t>
      </w:r>
      <w:r>
        <w:rPr>
          <w:bCs/>
          <w:b/>
        </w:rPr>
        <w:t xml:space="preserve">–(throughout we use</w:t>
      </w:r>
      <w:r>
        <w:rPr>
          <w:bCs/>
          <w:b/>
        </w:rPr>
        <w:t xml:space="preserve">”</w:t>
      </w:r>
      <w:r>
        <w:rPr>
          <w:bCs/>
          <w:b/>
        </w:rPr>
        <w:t xml:space="preserve">overstory</w:t>
      </w:r>
      <w:r>
        <w:rPr>
          <w:bCs/>
          <w:b/>
        </w:rPr>
        <w:t xml:space="preserve">“</w:t>
      </w:r>
      <w:r>
        <w:rPr>
          <w:bCs/>
          <w:b/>
        </w:rPr>
        <w:t xml:space="preserve">,</w:t>
      </w:r>
      <w:r>
        <w:rPr>
          <w:bCs/>
          <w:b/>
        </w:rPr>
        <w:t xml:space="preserve">”</w:t>
      </w:r>
      <w:r>
        <w:rPr>
          <w:bCs/>
          <w:b/>
        </w:rPr>
        <w:t xml:space="preserve">top" and</w:t>
      </w:r>
      <w:r>
        <w:rPr>
          <w:bCs/>
          <w:b/>
        </w:rPr>
        <w:t xml:space="preserve"> </w:t>
      </w:r>
      <w:r>
        <w:rPr>
          <w:bCs/>
          <w:b/>
        </w:rPr>
        <w:t xml:space="preserve">“</w:t>
      </w:r>
      <w:r>
        <w:rPr>
          <w:bCs/>
          <w:b/>
        </w:rPr>
        <w:t xml:space="preserve">upper</w:t>
      </w:r>
      <w:r>
        <w:rPr>
          <w:bCs/>
          <w:b/>
        </w:rPr>
        <w:t xml:space="preserve">”</w:t>
      </w:r>
      <w:r>
        <w:rPr>
          <w:bCs/>
          <w:b/>
        </w:rPr>
        <w:t xml:space="preserve"> </w:t>
      </w:r>
      <w:r>
        <w:rPr>
          <w:bCs/>
          <w:b/>
        </w:rPr>
        <w:t xml:space="preserve">canopies as synonyms)–"</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2">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2">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2"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 We have also added some discussion of canopy dieback events here:</w:t>
      </w:r>
      <w:r>
        <w:t xml:space="preserve"> </w:t>
      </w:r>
      <w:r>
        <w:rPr>
          <w:bCs/>
          <w:b/>
        </w:rPr>
        <w:t xml:space="preserve">Increase in the severity and frequency of heat waves, accompanied with an increase in VPD and ET, can rapidly dry soils up, exacerbating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8">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9">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seperated VAZ section from VOC, and provided further context to NPQ in the following lines:</w:t>
      </w:r>
    </w:p>
    <w:p>
      <w:pPr>
        <w:numPr>
          <w:ilvl w:val="0"/>
          <w:numId w:val="1003"/>
        </w:numPr>
        <w:pStyle w:val="Compact"/>
      </w:pPr>
      <w:r>
        <w:rPr>
          <w:bCs/>
          <w:b/>
        </w:rPr>
        <w:t xml:space="preserve">With saturating irradiance in canopy leaves, unused energy from photosystem II antennae is further dissipated as heat energy through non-photochemical quenching (NPQ)</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(ROS). However, at a photon flux density (PPFD)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NPQ rates than upper canopy reflecting rapid photosynthetic kinetics in shaded leaves as an acclimation to sunflecks. However, beyond this PPFD threshold, NPQ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hyperlink r:id="rId30">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4"/>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4"/>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4"/>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1"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5"/>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5"/>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5"/>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5"/>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6"/>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6"/>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w:t>
      </w:r>
      <w:r>
        <w:rPr>
          <w:bCs/>
          <w:b/>
        </w:rPr>
        <w:t xml:space="preserve"> </w:t>
      </w:r>
      <w:r>
        <w:rPr>
          <w:bCs/>
          <w:b/>
          <w:bCs/>
          <w:b/>
        </w:rPr>
        <w:t xml:space="preserve">leeSpringPhenologicalEscape2021?</w:t>
      </w:r>
      <w:r>
        <w:rPr>
          <w:bCs/>
          <w:b/>
        </w:rPr>
        <w:t xml:space="preserve">)</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07"/>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7"/>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1"/>
    <w:bookmarkEnd w:id="32"/>
    <w:bookmarkStart w:id="59" w:name="references"/>
    <w:p>
      <w:pPr>
        <w:pStyle w:val="Heading2"/>
      </w:pPr>
      <w:r>
        <w:t xml:space="preserve">References</w:t>
      </w:r>
    </w:p>
    <w:bookmarkStart w:id="58" w:name="refs"/>
    <w:bookmarkStart w:id="33"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3"/>
    <w:bookmarkStart w:id="34"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4"/>
    <w:bookmarkStart w:id="35"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5"/>
    <w:bookmarkStart w:id="36"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6"/>
    <w:bookmarkStart w:id="37"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7"/>
    <w:bookmarkStart w:id="38"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8"/>
    <w:bookmarkStart w:id="39"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9"/>
    <w:bookmarkStart w:id="40"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40"/>
    <w:bookmarkStart w:id="41"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1"/>
    <w:bookmarkStart w:id="42"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42"/>
    <w:bookmarkStart w:id="43"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3"/>
    <w:bookmarkStart w:id="44"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4"/>
    <w:bookmarkStart w:id="45"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5"/>
    <w:bookmarkStart w:id="46"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6"/>
    <w:bookmarkStart w:id="47"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7"/>
    <w:bookmarkStart w:id="4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8"/>
    <w:bookmarkStart w:id="49"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9"/>
    <w:bookmarkStart w:id="50"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50"/>
    <w:bookmarkStart w:id="51"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1"/>
    <w:bookmarkStart w:id="52"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52"/>
    <w:bookmarkStart w:id="53"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53"/>
    <w:bookmarkStart w:id="54"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4"/>
    <w:bookmarkStart w:id="55"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5"/>
    <w:bookmarkStart w:id="56"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6"/>
    <w:bookmarkStart w:id="57"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8" Target="https://github.com/EcoClimLab/vertical-thermal-review/issues/83" TargetMode="External" /><Relationship Type="http://schemas.openxmlformats.org/officeDocument/2006/relationships/hyperlink" Id="rId30"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9" Target="https://github.com/EcoClimLab/vertical-thermal-review/issues/95"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8" Target="https://github.com/EcoClimLab/vertical-thermal-review/issues/83" TargetMode="External" /><Relationship Type="http://schemas.openxmlformats.org/officeDocument/2006/relationships/hyperlink" Id="rId30"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9" Target="https://github.com/EcoClimLab/vertical-thermal-review/issues/95"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2022-02-07T23:09:59Z</dcterms:created>
  <dcterms:modified xsi:type="dcterms:W3CDTF">2022-02-07T23:09:59Z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