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41" w:name="response-to-reviewers-comments-to-author"/>
    <w:p>
      <w:pPr>
        <w:pStyle w:val="Heading1"/>
      </w:pPr>
      <w:r>
        <w:t xml:space="preserve">Response to Reviewer(s)’ Comments to Author:</w:t>
      </w:r>
    </w:p>
    <w:bookmarkStart w:id="22"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hyperlink r:id="rId20">
        <w:r>
          <w:rPr>
            <w:rStyle w:val="Hyperlink"/>
            <w:iCs/>
            <w:i/>
          </w:rPr>
          <w:t xml:space="preserve">https://github.com/EcoClimLab/vertical-thermal-review/issues/118</w:t>
        </w:r>
      </w:hyperlink>
    </w:p>
    <w:p>
      <w:pPr>
        <w:pStyle w:val="BodyText"/>
      </w:pPr>
      <w:r>
        <w:t xml:space="preserve">-Fig 3 caption: TLeaf and some other discreptances with rest of the paper abreviations or format (tair, gs)</w:t>
      </w:r>
    </w:p>
    <w:p>
      <w:pPr>
        <w:pStyle w:val="BodyText"/>
      </w:pPr>
      <w:hyperlink r:id="rId21">
        <w:r>
          <w:rPr>
            <w:rStyle w:val="Hyperlink"/>
            <w:iCs/>
            <w:i/>
          </w:rPr>
          <w:t xml:space="preserve">https://github.com/EcoClimLab/vertical-thermal-review/issues/121</w:t>
        </w:r>
      </w:hyperlink>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caould mitigate effects of gravity and hydraulic pathlength. We believe the sentence to be correct as written.</w:t>
      </w:r>
    </w:p>
    <w:p>
      <w:pPr>
        <w:pStyle w:val="BodyText"/>
      </w:pPr>
      <w:r>
        <w:t xml:space="preserve">-Table 2, gb unit, mmol m-2 s-1 ?</w:t>
      </w:r>
    </w:p>
    <w:p>
      <w:pPr>
        <w:pStyle w:val="BodyText"/>
      </w:pPr>
      <w:r>
        <w:rPr>
          <w:iCs/>
          <w:i/>
        </w:rPr>
        <w:t xml:space="preserve">Nidhi</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2"/>
    <w:bookmarkStart w:id="23"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w:t>
      </w:r>
      <w:r>
        <w:rPr>
          <w:bCs/>
          <w:b/>
        </w:rPr>
        <w:t xml:space="preserve"> </w:t>
      </w:r>
      <w:r>
        <w:rPr>
          <w:bCs/>
          <w:b/>
        </w:rPr>
        <w:t xml:space="preserve">“</w:t>
      </w:r>
      <w:r>
        <w:rPr>
          <w:bCs/>
          <w:b/>
        </w:rPr>
        <w:t xml:space="preserve">Scaling from leaves to trees, canopy trees have higher absolute metabolic capacity and growth, yet are more vulnerable to drought and damaging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than their smaller counterparts, particularly under climate change.</w:t>
      </w:r>
      <w:r>
        <w:rPr>
          <w:bCs/>
          <w:b/>
        </w:rPr>
        <w:t xml:space="preserve">”</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w:t>
      </w:r>
      <w:r>
        <w:rPr>
          <w:bCs/>
          <w:b/>
        </w:rPr>
        <w:t xml:space="preserve"> </w:t>
      </w:r>
      <w:r>
        <w:rPr>
          <w:bCs/>
          <w:b/>
        </w:rPr>
        <w:t xml:space="preserve">“</w:t>
      </w:r>
      <w:r>
        <w:rPr>
          <w:bCs/>
          <w:b/>
        </w:rPr>
        <w:t xml:space="preserve">Early leaf-out gives saplings and seedlings a window for high photosynthesis before they are shaded by canopy leaves– contributing the majority of annual carbon fixation for some seedlings – before canopy foliage and reduces light availability</w:t>
      </w:r>
      <w:r>
        <w:rPr>
          <w:bCs/>
          <w:b/>
        </w:rPr>
        <w:t xml:space="preserve"> </w:t>
      </w:r>
      <w:r>
        <w:rPr>
          <w:bCs/>
          <w:b/>
        </w:rPr>
        <w:t xml:space="preserve">(Augspurger &amp; Bartlett, 2003; Lee &amp; Ibáñez, 2021)</w:t>
      </w:r>
      <w:r>
        <w:rPr>
          <w:bCs/>
          <w:b/>
        </w:rPr>
        <w:t xml:space="preserve">.</w:t>
      </w:r>
      <w:r>
        <w:rPr>
          <w:bCs/>
          <w:b/>
        </w:rPr>
        <w:t xml:space="preserve">”</w:t>
      </w:r>
    </w:p>
    <w:p>
      <w:pPr>
        <w:pStyle w:val="BodyText"/>
      </w:pPr>
      <w:r>
        <w:rPr>
          <w:bCs/>
          <w:b/>
        </w:rPr>
        <w:t xml:space="preserve">l.648 -</w:t>
      </w:r>
      <w:r>
        <w:rPr>
          <w:bCs/>
          <w:b/>
        </w:rPr>
        <w:t xml:space="preserve"> </w:t>
      </w:r>
      <w:r>
        <w:rPr>
          <w:bCs/>
          <w:b/>
        </w:rPr>
        <w:t xml:space="preserve">“</w:t>
      </w:r>
      <w:r>
        <w:rPr>
          <w:bCs/>
          <w:b/>
        </w:rPr>
        <w:t xml:space="preserve">Among these, the best-studied process is aboveground woody growth, which consumes only a modest fraction of total photosynthate</w:t>
      </w:r>
      <w:r>
        <w:rPr>
          <w:bCs/>
          <w:b/>
        </w:rPr>
        <w:t xml:space="preserve"> </w:t>
      </w:r>
      <w:r>
        <w:rPr>
          <w:bCs/>
          <w:b/>
        </w:rPr>
        <w:t xml:space="preserve">(~1/6 on the ecosystem level, Anderson-Teixeira</w:t>
      </w:r>
      <w:r>
        <w:rPr>
          <w:bCs/>
          <w:b/>
        </w:rPr>
        <w:t xml:space="preserve"> </w:t>
      </w:r>
      <w:r>
        <w:rPr>
          <w:iCs/>
          <w:i/>
          <w:bCs/>
          <w:b/>
        </w:rPr>
        <w:t xml:space="preserve">et al.</w:t>
      </w:r>
      <w:r>
        <w:rPr>
          <w:bCs/>
          <w:b/>
        </w:rPr>
        <w:t xml:space="preserve">, 2021)</w:t>
      </w:r>
      <w:r>
        <w:rPr>
          <w:bCs/>
          <w:b/>
        </w:rPr>
        <w:t xml:space="preserve"> </w:t>
      </w:r>
      <w:r>
        <w:rPr>
          <w:bCs/>
          <w:b/>
        </w:rPr>
        <w:t xml:space="preserve">but, is critically important to long-term forest dynamics and carbon cycling because woody tissues have a long residence time in the ecosystem</w:t>
      </w:r>
      <w:r>
        <w:rPr>
          <w:bCs/>
          <w:b/>
        </w:rPr>
        <w:t xml:space="preserve"> </w:t>
      </w:r>
      <w:r>
        <w:rPr>
          <w:bCs/>
          <w:b/>
        </w:rPr>
        <w:t xml:space="preserve">(Russell</w:t>
      </w:r>
      <w:r>
        <w:rPr>
          <w:bCs/>
          <w:b/>
        </w:rPr>
        <w:t xml:space="preserve"> </w:t>
      </w:r>
      <w:r>
        <w:rPr>
          <w:iCs/>
          <w:i/>
          <w:bCs/>
          <w:b/>
        </w:rPr>
        <w:t xml:space="preserve">et al.</w:t>
      </w:r>
      <w:r>
        <w:rPr>
          <w:bCs/>
          <w:b/>
        </w:rPr>
        <w:t xml:space="preserve">, 2014)</w:t>
      </w:r>
      <w:r>
        <w:rPr>
          <w:bCs/>
          <w:b/>
        </w:rPr>
        <w:t xml:space="preserve">.</w:t>
      </w:r>
      <w:r>
        <w:rPr>
          <w:bCs/>
          <w:b/>
        </w:rPr>
        <w:t xml:space="preserve">”</w:t>
      </w:r>
    </w:p>
    <w:p>
      <w:pPr>
        <w:pStyle w:val="BodyText"/>
      </w:pPr>
      <w:r>
        <w:rPr>
          <w:bCs/>
          <w:b/>
        </w:rPr>
        <w:t xml:space="preserve">l.814 -</w:t>
      </w:r>
      <w:r>
        <w:rPr>
          <w:bCs/>
          <w:b/>
        </w:rPr>
        <w:t xml:space="preserve"> </w:t>
      </w:r>
      <w:r>
        <w:rPr>
          <w:bCs/>
          <w:b/>
        </w:rPr>
        <w:t xml:space="preserve">“</w:t>
      </w:r>
      <w:r>
        <w:rPr>
          <w:bCs/>
          <w:b/>
        </w:rPr>
        <w:t xml:space="preserve">Large trees are also the most vulnerable to other climate-related disturbances</w:t>
      </w:r>
      <w:r>
        <w:rPr>
          <w:bCs/>
          <w:b/>
        </w:rPr>
        <w:t xml:space="preserve"> </w:t>
      </w:r>
      <w:r>
        <w:rPr>
          <w:bCs/>
          <w:b/>
        </w:rPr>
        <w:t xml:space="preserve">(e.g., wind, lighting, Gora &amp; Esquivel-Muelbert, 2021)</w:t>
      </w:r>
      <w:r>
        <w:rPr>
          <w:bCs/>
          <w:b/>
        </w:rPr>
        <w:t xml:space="preserve"> </w:t>
      </w:r>
      <w:r>
        <w:rPr>
          <w:bCs/>
          <w:b/>
        </w:rPr>
        <w:t xml:space="preserve">that are expected to intensify with climate change</w:t>
      </w:r>
      <w:r>
        <w:rPr>
          <w:bCs/>
          <w:b/>
        </w:rPr>
        <w:t xml:space="preserve"> </w:t>
      </w:r>
      <w:r>
        <w:rPr>
          <w:bCs/>
          <w:b/>
        </w:rPr>
        <w:t xml:space="preserve">(IPCC, 2021)</w:t>
      </w:r>
      <w:r>
        <w:rPr>
          <w:bCs/>
          <w:b/>
        </w:rPr>
        <w:t xml:space="preserve">, and they are also targeted by selective logging</w:t>
      </w:r>
      <w:r>
        <w:rPr>
          <w:bCs/>
          <w:b/>
        </w:rPr>
        <w:t xml:space="preserve"> </w:t>
      </w:r>
      <w:r>
        <w:rPr>
          <w:bCs/>
          <w:b/>
        </w:rPr>
        <w:t xml:space="preserve">(Miller</w:t>
      </w:r>
      <w:r>
        <w:rPr>
          <w:bCs/>
          <w:b/>
        </w:rPr>
        <w:t xml:space="preserve"> </w:t>
      </w:r>
      <w:r>
        <w:rPr>
          <w:iCs/>
          <w:i/>
          <w:bCs/>
          <w:b/>
        </w:rPr>
        <w:t xml:space="preserve">et al.</w:t>
      </w:r>
      <w:r>
        <w:rPr>
          <w:bCs/>
          <w:b/>
        </w:rPr>
        <w:t xml:space="preserve">, 2011)</w:t>
      </w:r>
      <w:r>
        <w:rPr>
          <w:bCs/>
          <w:b/>
        </w:rPr>
        <w:t xml:space="preserve">.</w:t>
      </w:r>
      <w:r>
        <w:rPr>
          <w:bCs/>
          <w:b/>
        </w:rPr>
        <w:t xml:space="preserve">”</w:t>
      </w:r>
    </w:p>
    <w:p>
      <w:pPr>
        <w:pStyle w:val="BodyText"/>
      </w:pPr>
      <w:r>
        <w:rPr>
          <w:bCs/>
          <w:b/>
        </w:rPr>
        <w:t xml:space="preserve">l.838 -</w:t>
      </w:r>
      <w:r>
        <w:rPr>
          <w:bCs/>
          <w:b/>
        </w:rPr>
        <w:t xml:space="preserve"> </w:t>
      </w:r>
      <w:r>
        <w:rPr>
          <w:bCs/>
          <w:b/>
        </w:rPr>
        <w:t xml:space="preserve">“</w:t>
      </w:r>
      <w:r>
        <w:rPr>
          <w:bCs/>
          <w:b/>
        </w:rPr>
        <w:t xml:space="preserve">In the understory, warming reduces the abundance of less thermally-adapted plant species, causing thermophilization of the plant community</w:t>
      </w:r>
      <w:r>
        <w:rPr>
          <w:bCs/>
          <w:b/>
        </w:rPr>
        <w:t xml:space="preserve"> </w:t>
      </w:r>
      <w:r>
        <w:rPr>
          <w:bCs/>
          <w:b/>
        </w:rPr>
        <w:t xml:space="preserve">(Duque</w:t>
      </w:r>
      <w:r>
        <w:rPr>
          <w:bCs/>
          <w:b/>
        </w:rPr>
        <w:t xml:space="preserve"> </w:t>
      </w:r>
      <w:r>
        <w:rPr>
          <w:iCs/>
          <w:i/>
          <w:bCs/>
          <w:b/>
        </w:rPr>
        <w:t xml:space="preserve">et al.</w:t>
      </w:r>
      <w:r>
        <w:rPr>
          <w:bCs/>
          <w:b/>
        </w:rPr>
        <w:t xml:space="preserve">, 2015; Greiser</w:t>
      </w:r>
      <w:r>
        <w:rPr>
          <w:bCs/>
          <w:b/>
        </w:rPr>
        <w:t xml:space="preserve"> </w:t>
      </w:r>
      <w:r>
        <w:rPr>
          <w:iCs/>
          <w:i/>
          <w:bCs/>
          <w:b/>
        </w:rPr>
        <w:t xml:space="preserve">et al.</w:t>
      </w:r>
      <w:r>
        <w:rPr>
          <w:bCs/>
          <w:b/>
        </w:rPr>
        <w:t xml:space="preserve">, 2019; Zellweger</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bCs/>
          <w:b/>
        </w:rPr>
        <w:t xml:space="preserve">We have reworded the abstract sentence to place less emphasis on ecosystems:</w:t>
      </w:r>
      <w:r>
        <w:rPr>
          <w:bCs/>
          <w:b/>
        </w:rPr>
        <w:t xml:space="preserve"> </w:t>
      </w:r>
      <w:r>
        <w:rPr>
          <w:bCs/>
          <w:b/>
        </w:rPr>
        <w:t xml:space="preserve">“</w:t>
      </w:r>
      <w:r>
        <w:rPr>
          <w:bCs/>
          <w:b/>
        </w:rPr>
        <w:t xml:space="preserve">Using published research and new analyses, we evaluate how microclimate and leaf temperatures, traits, and gas exchange vary vertically in forests, shaping tree and ecosystem ecology.</w:t>
      </w:r>
      <w:r>
        <w:rPr>
          <w:bCs/>
          <w:b/>
        </w:rPr>
        <w:t xml:space="preserve">”</w:t>
      </w:r>
      <w:r>
        <w:rPr>
          <w:bCs/>
          <w:b/>
        </w:rPr>
        <w:t xml:space="preserve"> </w:t>
      </w:r>
      <w:r>
        <w:rPr>
          <w:bCs/>
          <w:b/>
        </w:rPr>
        <w:t xml:space="preserve">This wording parallels the section headers in the main manuscript. While we agree that there is little information on how ecosystem function varies across vertical profiles, this was included within the scope of our review, and we dedicate a 450-word subsection (sec. 5.2) plus a figure to this theme.</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rPr>
          <w:iCs/>
          <w:i/>
        </w:rPr>
        <w:t xml:space="preserve">response required</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rPr>
          <w:iCs/>
          <w:i/>
        </w:rPr>
        <w:t xml:space="preserve">response required</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rPr>
          <w:iCs/>
          <w:i/>
        </w:rPr>
        <w:t xml:space="preserve">response required</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rPr>
          <w:iCs/>
          <w:i/>
        </w:rPr>
        <w:t xml:space="preserve">response required</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rPr>
          <w:iCs/>
          <w:i/>
        </w:rPr>
        <w:t xml:space="preserve">response required</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3"/>
    <w:bookmarkStart w:id="40" w:name="references"/>
    <w:p>
      <w:pPr>
        <w:pStyle w:val="Heading2"/>
      </w:pPr>
      <w:r>
        <w:t xml:space="preserve">References</w:t>
      </w:r>
    </w:p>
    <w:bookmarkStart w:id="39" w:name="refs"/>
    <w:bookmarkStart w:id="24" w:name="X3b47a25d54fafe7eb76d413aea79e4e6d4dc20c"/>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Banbury Morgan R</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 Carbon cycling in mature and regrowth forests globally.</w:t>
      </w:r>
      <w:r>
        <w:t xml:space="preserve"> </w:t>
      </w:r>
      <w:r>
        <w:rPr>
          <w:iCs/>
          <w:i/>
        </w:rPr>
        <w:t xml:space="preserve">Environ. Res. Lett.</w:t>
      </w:r>
      <w:r>
        <w:t xml:space="preserve"> </w:t>
      </w:r>
      <w:r>
        <w:rPr>
          <w:bCs/>
          <w:b/>
        </w:rPr>
        <w:t xml:space="preserve">16</w:t>
      </w:r>
      <w:r>
        <w:t xml:space="preserve">: 053009.</w:t>
      </w:r>
    </w:p>
    <w:bookmarkEnd w:id="24"/>
    <w:bookmarkStart w:id="25"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5"/>
    <w:bookmarkStart w:id="26" w:name="X8cfdc7ea3a12c4697011aaaa8dc6bf2e9c94e66"/>
    <w:p>
      <w:pPr>
        <w:pStyle w:val="Bibliography"/>
      </w:pPr>
      <w:r>
        <w:rPr>
          <w:bCs/>
          <w:b/>
          <w:bCs/>
          <w:b/>
        </w:rPr>
        <w:t xml:space="preserve">Augspurger CK</w:t>
      </w:r>
      <w:r>
        <w:rPr>
          <w:bCs/>
          <w:b/>
        </w:rPr>
        <w:t xml:space="preserve">,</w:t>
      </w:r>
      <w:r>
        <w:rPr>
          <w:bCs/>
          <w:b/>
        </w:rPr>
        <w:t xml:space="preserve"> </w:t>
      </w:r>
      <w:r>
        <w:rPr>
          <w:bCs/>
          <w:b/>
          <w:bCs/>
          <w:b/>
        </w:rPr>
        <w:t xml:space="preserve">Bartlett EA</w:t>
      </w:r>
      <w:r>
        <w:t xml:space="preserve">.</w:t>
      </w:r>
      <w:r>
        <w:t xml:space="preserve"> </w:t>
      </w:r>
      <w:r>
        <w:rPr>
          <w:bCs/>
          <w:b/>
        </w:rPr>
        <w:t xml:space="preserve">2003</w:t>
      </w:r>
      <w:r>
        <w:t xml:space="preserve">. Differences in leaf phenology between juvenile and adult trees in a temperate deciduous forest.</w:t>
      </w:r>
      <w:r>
        <w:t xml:space="preserve"> </w:t>
      </w:r>
      <w:r>
        <w:rPr>
          <w:iCs/>
          <w:i/>
        </w:rPr>
        <w:t xml:space="preserve">Tree Physiology</w:t>
      </w:r>
      <w:r>
        <w:t xml:space="preserve"> </w:t>
      </w:r>
      <w:r>
        <w:rPr>
          <w:bCs/>
          <w:b/>
        </w:rPr>
        <w:t xml:space="preserve">23</w:t>
      </w:r>
      <w:r>
        <w:t xml:space="preserve">: 517–525.</w:t>
      </w:r>
    </w:p>
    <w:bookmarkEnd w:id="26"/>
    <w:bookmarkStart w:id="27" w:name="X3002d96248fc249c3ef6ed2e8b234bec4b11652"/>
    <w:p>
      <w:pPr>
        <w:pStyle w:val="Bibliography"/>
      </w:pPr>
      <w:r>
        <w:rPr>
          <w:bCs/>
          <w:b/>
          <w:bCs/>
          <w:b/>
        </w:rPr>
        <w:t xml:space="preserve">Duque A</w:t>
      </w:r>
      <w:r>
        <w:rPr>
          <w:bCs/>
          <w:b/>
        </w:rPr>
        <w:t xml:space="preserve">,</w:t>
      </w:r>
      <w:r>
        <w:rPr>
          <w:bCs/>
          <w:b/>
        </w:rPr>
        <w:t xml:space="preserve"> </w:t>
      </w:r>
      <w:r>
        <w:rPr>
          <w:bCs/>
          <w:b/>
          <w:bCs/>
          <w:b/>
        </w:rPr>
        <w:t xml:space="preserve">Stevenson PR</w:t>
      </w:r>
      <w:r>
        <w:rPr>
          <w:bCs/>
          <w:b/>
        </w:rPr>
        <w:t xml:space="preserve">,</w:t>
      </w:r>
      <w:r>
        <w:rPr>
          <w:bCs/>
          <w:b/>
        </w:rPr>
        <w:t xml:space="preserve"> </w:t>
      </w:r>
      <w:r>
        <w:rPr>
          <w:bCs/>
          <w:b/>
          <w:bCs/>
          <w:b/>
        </w:rPr>
        <w:t xml:space="preserve">Feeley KJ</w:t>
      </w:r>
      <w:r>
        <w:t xml:space="preserve">.</w:t>
      </w:r>
      <w:r>
        <w:t xml:space="preserve"> </w:t>
      </w:r>
      <w:r>
        <w:rPr>
          <w:bCs/>
          <w:b/>
        </w:rPr>
        <w:t xml:space="preserve">2015</w:t>
      </w:r>
      <w:r>
        <w:t xml:space="preserve">. Thermophilization of adult and juvenile tree communities in the northern tropical</w:t>
      </w:r>
      <w:r>
        <w:t xml:space="preserve"> </w:t>
      </w:r>
      <w:r>
        <w:t xml:space="preserve">Andes</w:t>
      </w:r>
      <w:r>
        <w:t xml:space="preserve">.</w:t>
      </w:r>
      <w:r>
        <w:t xml:space="preserve"> </w:t>
      </w:r>
      <w:r>
        <w:rPr>
          <w:iCs/>
          <w:i/>
        </w:rPr>
        <w:t xml:space="preserve">Proc Natl Acad Sci USA</w:t>
      </w:r>
      <w:r>
        <w:t xml:space="preserve"> </w:t>
      </w:r>
      <w:r>
        <w:rPr>
          <w:bCs/>
          <w:b/>
        </w:rPr>
        <w:t xml:space="preserve">112</w:t>
      </w:r>
      <w:r>
        <w:t xml:space="preserve">: 10744–10749.</w:t>
      </w:r>
    </w:p>
    <w:bookmarkEnd w:id="27"/>
    <w:bookmarkStart w:id="28" w:name="X4e4c500e2fd26cefefceae0c39325adc72cf0f2"/>
    <w:p>
      <w:pPr>
        <w:pStyle w:val="Bibliography"/>
      </w:pPr>
      <w:r>
        <w:rPr>
          <w:bCs/>
          <w:b/>
          <w:bCs/>
          <w:b/>
        </w:rPr>
        <w:t xml:space="preserve">Gora EM</w:t>
      </w:r>
      <w:r>
        <w:rPr>
          <w:bCs/>
          <w:b/>
        </w:rPr>
        <w:t xml:space="preserve">,</w:t>
      </w:r>
      <w:r>
        <w:rPr>
          <w:bCs/>
          <w:b/>
        </w:rPr>
        <w:t xml:space="preserve"> </w:t>
      </w:r>
      <w:r>
        <w:rPr>
          <w:bCs/>
          <w:b/>
          <w:bCs/>
          <w:b/>
        </w:rPr>
        <w:t xml:space="preserve">Esquivel-Muelbert A</w:t>
      </w:r>
      <w:r>
        <w:t xml:space="preserve">.</w:t>
      </w:r>
      <w:r>
        <w:t xml:space="preserve"> </w:t>
      </w:r>
      <w:r>
        <w:rPr>
          <w:bCs/>
          <w:b/>
        </w:rPr>
        <w:t xml:space="preserve">2021</w:t>
      </w:r>
      <w:r>
        <w:t xml:space="preserve">. Implications of size-dependent tree mortality for tropical forest carbon dynamics.</w:t>
      </w:r>
      <w:r>
        <w:t xml:space="preserve"> </w:t>
      </w:r>
      <w:r>
        <w:rPr>
          <w:iCs/>
          <w:i/>
        </w:rPr>
        <w:t xml:space="preserve">Nat. Plants</w:t>
      </w:r>
      <w:r>
        <w:t xml:space="preserve"> </w:t>
      </w:r>
      <w:r>
        <w:rPr>
          <w:bCs/>
          <w:b/>
        </w:rPr>
        <w:t xml:space="preserve">7</w:t>
      </w:r>
      <w:r>
        <w:t xml:space="preserve">: 384–391.</w:t>
      </w:r>
    </w:p>
    <w:bookmarkEnd w:id="28"/>
    <w:bookmarkStart w:id="29" w:name="Xf18c6bff4762da1124f9106bb0871d78b211cfd"/>
    <w:p>
      <w:pPr>
        <w:pStyle w:val="Bibliography"/>
      </w:pPr>
      <w:r>
        <w:rPr>
          <w:bCs/>
          <w:b/>
          <w:bCs/>
          <w:b/>
        </w:rPr>
        <w:t xml:space="preserve">Greiser C</w:t>
      </w:r>
      <w:r>
        <w:rPr>
          <w:bCs/>
          <w:b/>
        </w:rPr>
        <w:t xml:space="preserve">,</w:t>
      </w:r>
      <w:r>
        <w:rPr>
          <w:bCs/>
          <w:b/>
        </w:rPr>
        <w:t xml:space="preserve"> </w:t>
      </w:r>
      <w:r>
        <w:rPr>
          <w:bCs/>
          <w:b/>
          <w:bCs/>
          <w:b/>
        </w:rPr>
        <w:t xml:space="preserve">Ehrlén J</w:t>
      </w:r>
      <w:r>
        <w:rPr>
          <w:bCs/>
          <w:b/>
        </w:rPr>
        <w:t xml:space="preserve">,</w:t>
      </w:r>
      <w:r>
        <w:rPr>
          <w:bCs/>
          <w:b/>
        </w:rPr>
        <w:t xml:space="preserve"> </w:t>
      </w:r>
      <w:r>
        <w:rPr>
          <w:bCs/>
          <w:b/>
          <w:bCs/>
          <w:b/>
        </w:rPr>
        <w:t xml:space="preserve">Meineri E</w:t>
      </w:r>
      <w:r>
        <w:rPr>
          <w:bCs/>
          <w:b/>
        </w:rPr>
        <w:t xml:space="preserve">,</w:t>
      </w:r>
      <w:r>
        <w:rPr>
          <w:bCs/>
          <w:b/>
        </w:rPr>
        <w:t xml:space="preserve"> </w:t>
      </w:r>
      <w:r>
        <w:rPr>
          <w:bCs/>
          <w:b/>
          <w:bCs/>
          <w:b/>
        </w:rPr>
        <w:t xml:space="preserve">Hylander K</w:t>
      </w:r>
      <w:r>
        <w:t xml:space="preserve">.</w:t>
      </w:r>
      <w:r>
        <w:t xml:space="preserve"> </w:t>
      </w:r>
      <w:r>
        <w:rPr>
          <w:bCs/>
          <w:b/>
        </w:rPr>
        <w:t xml:space="preserve">2019</w:t>
      </w:r>
      <w:r>
        <w:t xml:space="preserve">. Hiding from the climate:</w:t>
      </w:r>
      <w:r>
        <w:t xml:space="preserve"> </w:t>
      </w:r>
      <w:r>
        <w:t xml:space="preserve">Characterizing</w:t>
      </w:r>
      <w:r>
        <w:t xml:space="preserve"> </w:t>
      </w:r>
      <w:r>
        <w:t xml:space="preserve">microrefugia for boreal forest understory species.</w:t>
      </w:r>
      <w:r>
        <w:t xml:space="preserve"> </w:t>
      </w:r>
      <w:r>
        <w:rPr>
          <w:iCs/>
          <w:i/>
        </w:rPr>
        <w:t xml:space="preserve">Global Change Biology</w:t>
      </w:r>
      <w:r>
        <w:t xml:space="preserve"> </w:t>
      </w:r>
      <w:r>
        <w:rPr>
          <w:bCs/>
          <w:b/>
        </w:rPr>
        <w:t xml:space="preserve">26</w:t>
      </w:r>
      <w:r>
        <w:t xml:space="preserve">: 471–483.</w:t>
      </w:r>
    </w:p>
    <w:bookmarkEnd w:id="29"/>
    <w:bookmarkStart w:id="30"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30"/>
    <w:bookmarkStart w:id="31" w:name="ref-ipccClimateChange20212021"/>
    <w:p>
      <w:pPr>
        <w:pStyle w:val="Bibliography"/>
      </w:pPr>
      <w:r>
        <w:rPr>
          <w:bCs/>
          <w:b/>
          <w:bCs/>
          <w:b/>
        </w:rPr>
        <w:t xml:space="preserve">IPCC</w:t>
      </w:r>
      <w:r>
        <w:t xml:space="preserve">.</w:t>
      </w:r>
      <w:r>
        <w:t xml:space="preserve"> </w:t>
      </w:r>
      <w:r>
        <w:rPr>
          <w:bCs/>
          <w:b/>
        </w:rPr>
        <w:t xml:space="preserve">2021</w:t>
      </w:r>
      <w:r>
        <w:t xml:space="preserve">. Climate</w:t>
      </w:r>
      <w:r>
        <w:t xml:space="preserve"> </w:t>
      </w:r>
      <w:r>
        <w:t xml:space="preserve">Change</w:t>
      </w:r>
      <w:r>
        <w:t xml:space="preserve"> </w:t>
      </w:r>
      <w:r>
        <w:t xml:space="preserve">2021</w:t>
      </w:r>
      <w:r>
        <w:t xml:space="preserve"> </w:t>
      </w:r>
      <w:r>
        <w:t xml:space="preserve">The Physical Science Basis–IPCC</w:t>
      </w:r>
      <w:r>
        <w:t xml:space="preserve">.</w:t>
      </w:r>
    </w:p>
    <w:bookmarkEnd w:id="31"/>
    <w:bookmarkStart w:id="32"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2"/>
    <w:bookmarkStart w:id="33"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33"/>
    <w:bookmarkStart w:id="34" w:name="ref-millerReducedImpactLogging2011"/>
    <w:p>
      <w:pPr>
        <w:pStyle w:val="Bibliography"/>
      </w:pPr>
      <w:r>
        <w:rPr>
          <w:bCs/>
          <w:b/>
          <w:bCs/>
          <w:b/>
        </w:rPr>
        <w:t xml:space="preserve">Miller SD</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Hutyra LR</w:t>
      </w:r>
      <w:r>
        <w:rPr>
          <w:bCs/>
          <w:b/>
        </w:rPr>
        <w:t xml:space="preserve">,</w:t>
      </w:r>
      <w:r>
        <w:rPr>
          <w:bCs/>
          <w:b/>
        </w:rPr>
        <w:t xml:space="preserve"> </w:t>
      </w:r>
      <w:r>
        <w:rPr>
          <w:bCs/>
          <w:b/>
          <w:bCs/>
          <w:b/>
        </w:rPr>
        <w:t xml:space="preserve">Keller M</w:t>
      </w:r>
      <w:r>
        <w:rPr>
          <w:bCs/>
          <w:b/>
        </w:rPr>
        <w:t xml:space="preserve">,</w:t>
      </w:r>
      <w:r>
        <w:rPr>
          <w:bCs/>
          <w:b/>
        </w:rPr>
        <w:t xml:space="preserve"> </w:t>
      </w:r>
      <w:r>
        <w:rPr>
          <w:bCs/>
          <w:b/>
          <w:bCs/>
          <w:b/>
        </w:rPr>
        <w:t xml:space="preserve">Saleska SR</w:t>
      </w:r>
      <w:r>
        <w:rPr>
          <w:bCs/>
          <w:b/>
        </w:rPr>
        <w:t xml:space="preserve">,</w:t>
      </w:r>
      <w:r>
        <w:rPr>
          <w:bCs/>
          <w:b/>
        </w:rPr>
        <w:t xml:space="preserve"> </w:t>
      </w:r>
      <w:r>
        <w:rPr>
          <w:bCs/>
          <w:b/>
          <w:bCs/>
          <w:b/>
        </w:rPr>
        <w:t xml:space="preserve">Wofsy SC</w:t>
      </w:r>
      <w:r>
        <w:rPr>
          <w:bCs/>
          <w:b/>
        </w:rPr>
        <w:t xml:space="preserve">,</w:t>
      </w:r>
      <w:r>
        <w:rPr>
          <w:bCs/>
          <w:b/>
        </w:rPr>
        <w:t xml:space="preserve"> </w:t>
      </w:r>
      <w:r>
        <w:rPr>
          <w:bCs/>
          <w:b/>
          <w:bCs/>
          <w:b/>
        </w:rPr>
        <w:t xml:space="preserve">Figueira AMS</w:t>
      </w:r>
      <w:r>
        <w:rPr>
          <w:bCs/>
          <w:b/>
        </w:rPr>
        <w:t xml:space="preserve">,</w:t>
      </w:r>
      <w:r>
        <w:rPr>
          <w:bCs/>
          <w:b/>
        </w:rPr>
        <w:t xml:space="preserve"> </w:t>
      </w:r>
      <w:r>
        <w:rPr>
          <w:bCs/>
          <w:b/>
          <w:bCs/>
          <w:b/>
        </w:rPr>
        <w:t xml:space="preserve">Rocha HR da</w:t>
      </w:r>
      <w:r>
        <w:rPr>
          <w:bCs/>
          <w:b/>
        </w:rPr>
        <w:t xml:space="preserve">,</w:t>
      </w:r>
      <w:r>
        <w:rPr>
          <w:bCs/>
          <w:b/>
        </w:rPr>
        <w:t xml:space="preserve"> </w:t>
      </w:r>
      <w:r>
        <w:rPr>
          <w:bCs/>
          <w:b/>
          <w:bCs/>
          <w:b/>
        </w:rPr>
        <w:t xml:space="preserve">Camargo PB de</w:t>
      </w:r>
      <w:r>
        <w:t xml:space="preserve">.</w:t>
      </w:r>
      <w:r>
        <w:t xml:space="preserve"> </w:t>
      </w:r>
      <w:r>
        <w:rPr>
          <w:bCs/>
          <w:b/>
        </w:rPr>
        <w:t xml:space="preserve">2011</w:t>
      </w:r>
      <w:r>
        <w:t xml:space="preserve">. Reduced impact logging minimally alters tropical rainforest carbon and energy exchange.</w:t>
      </w:r>
      <w:r>
        <w:t xml:space="preserve"> </w:t>
      </w:r>
      <w:r>
        <w:rPr>
          <w:iCs/>
          <w:i/>
        </w:rPr>
        <w:t xml:space="preserve">PNAS</w:t>
      </w:r>
      <w:r>
        <w:t xml:space="preserve"> </w:t>
      </w:r>
      <w:r>
        <w:rPr>
          <w:bCs/>
          <w:b/>
        </w:rPr>
        <w:t xml:space="preserve">108</w:t>
      </w:r>
      <w:r>
        <w:t xml:space="preserve">: 19431–19435.</w:t>
      </w:r>
    </w:p>
    <w:bookmarkEnd w:id="34"/>
    <w:bookmarkStart w:id="35"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35"/>
    <w:bookmarkStart w:id="36"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6"/>
    <w:bookmarkStart w:id="37" w:name="ref-russellResidenceTimesDecay2014"/>
    <w:p>
      <w:pPr>
        <w:pStyle w:val="Bibliography"/>
      </w:pPr>
      <w:r>
        <w:rPr>
          <w:bCs/>
          <w:b/>
          <w:bCs/>
          <w:b/>
        </w:rPr>
        <w:t xml:space="preserve">Russell MB</w:t>
      </w:r>
      <w:r>
        <w:rPr>
          <w:bCs/>
          <w:b/>
        </w:rPr>
        <w:t xml:space="preserve">,</w:t>
      </w:r>
      <w:r>
        <w:rPr>
          <w:bCs/>
          <w:b/>
        </w:rPr>
        <w:t xml:space="preserve"> </w:t>
      </w:r>
      <w:r>
        <w:rPr>
          <w:bCs/>
          <w:b/>
          <w:bCs/>
          <w:b/>
        </w:rPr>
        <w:t xml:space="preserve">Woodall CW</w:t>
      </w:r>
      <w:r>
        <w:rPr>
          <w:bCs/>
          <w:b/>
        </w:rPr>
        <w:t xml:space="preserve">,</w:t>
      </w:r>
      <w:r>
        <w:rPr>
          <w:bCs/>
          <w:b/>
        </w:rPr>
        <w:t xml:space="preserve"> </w:t>
      </w:r>
      <w:r>
        <w:rPr>
          <w:bCs/>
          <w:b/>
          <w:bCs/>
          <w:b/>
        </w:rPr>
        <w:t xml:space="preserve">Fraver S</w:t>
      </w:r>
      <w:r>
        <w:rPr>
          <w:bCs/>
          <w:b/>
        </w:rPr>
        <w:t xml:space="preserve">,</w:t>
      </w:r>
      <w:r>
        <w:rPr>
          <w:bCs/>
          <w:b/>
        </w:rPr>
        <w:t xml:space="preserve"> </w:t>
      </w:r>
      <w:r>
        <w:rPr>
          <w:bCs/>
          <w:b/>
          <w:bCs/>
          <w:b/>
        </w:rPr>
        <w:t xml:space="preserve">D’Amato AW</w:t>
      </w:r>
      <w:r>
        <w:rPr>
          <w:bCs/>
          <w:b/>
        </w:rPr>
        <w:t xml:space="preserve">,</w:t>
      </w:r>
      <w:r>
        <w:rPr>
          <w:bCs/>
          <w:b/>
        </w:rPr>
        <w:t xml:space="preserve"> </w:t>
      </w:r>
      <w:r>
        <w:rPr>
          <w:bCs/>
          <w:b/>
          <w:bCs/>
          <w:b/>
        </w:rPr>
        <w:t xml:space="preserve">Domke GM</w:t>
      </w:r>
      <w:r>
        <w:rPr>
          <w:bCs/>
          <w:b/>
        </w:rPr>
        <w:t xml:space="preserve">,</w:t>
      </w:r>
      <w:r>
        <w:rPr>
          <w:bCs/>
          <w:b/>
        </w:rPr>
        <w:t xml:space="preserve"> </w:t>
      </w:r>
      <w:r>
        <w:rPr>
          <w:bCs/>
          <w:b/>
          <w:bCs/>
          <w:b/>
        </w:rPr>
        <w:t xml:space="preserve">Skog KE</w:t>
      </w:r>
      <w:r>
        <w:t xml:space="preserve">.</w:t>
      </w:r>
      <w:r>
        <w:t xml:space="preserve"> </w:t>
      </w:r>
      <w:r>
        <w:rPr>
          <w:bCs/>
          <w:b/>
        </w:rPr>
        <w:t xml:space="preserve">2014</w:t>
      </w:r>
      <w:r>
        <w:t xml:space="preserve">. Residence</w:t>
      </w:r>
      <w:r>
        <w:t xml:space="preserve"> </w:t>
      </w:r>
      <w:r>
        <w:t xml:space="preserve">Times</w:t>
      </w:r>
      <w:r>
        <w:t xml:space="preserve"> </w:t>
      </w:r>
      <w:r>
        <w:t xml:space="preserve">and</w:t>
      </w:r>
      <w:r>
        <w:t xml:space="preserve"> </w:t>
      </w:r>
      <w:r>
        <w:t xml:space="preserve">Decay Rates</w:t>
      </w:r>
      <w:r>
        <w:t xml:space="preserve"> </w:t>
      </w:r>
      <w:r>
        <w:t xml:space="preserve">of</w:t>
      </w:r>
      <w:r>
        <w:t xml:space="preserve"> </w:t>
      </w:r>
      <w:r>
        <w:t xml:space="preserve">Downed Woody Debris Biomass</w:t>
      </w:r>
      <w:r>
        <w:t xml:space="preserve">/</w:t>
      </w:r>
      <w:r>
        <w:t xml:space="preserve">Carbon</w:t>
      </w:r>
      <w:r>
        <w:t xml:space="preserve"> </w:t>
      </w:r>
      <w:r>
        <w:t xml:space="preserve">in</w:t>
      </w:r>
      <w:r>
        <w:t xml:space="preserve"> </w:t>
      </w:r>
      <w:r>
        <w:t xml:space="preserve">Eastern US Forests</w:t>
      </w:r>
      <w:r>
        <w:t xml:space="preserve">.</w:t>
      </w:r>
      <w:r>
        <w:t xml:space="preserve"> </w:t>
      </w:r>
      <w:r>
        <w:rPr>
          <w:iCs/>
          <w:i/>
        </w:rPr>
        <w:t xml:space="preserve">Ecosystems</w:t>
      </w:r>
      <w:r>
        <w:t xml:space="preserve"> </w:t>
      </w:r>
      <w:r>
        <w:rPr>
          <w:bCs/>
          <w:b/>
        </w:rPr>
        <w:t xml:space="preserve">17</w:t>
      </w:r>
      <w:r>
        <w:t xml:space="preserve">: 765–777.</w:t>
      </w:r>
    </w:p>
    <w:bookmarkEnd w:id="37"/>
    <w:bookmarkStart w:id="38" w:name="X56bd4fc883d47e3feaf914d72d99fa8db90454c"/>
    <w:p>
      <w:pPr>
        <w:pStyle w:val="Bibliography"/>
      </w:pPr>
      <w:r>
        <w:rPr>
          <w:bCs/>
          <w:b/>
          <w:bCs/>
          <w:b/>
        </w:rPr>
        <w:t xml:space="preserve">Zellweger F</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Vangansbeke P</w:t>
      </w:r>
      <w:r>
        <w:rPr>
          <w:bCs/>
          <w:b/>
        </w:rPr>
        <w:t xml:space="preserve">,</w:t>
      </w:r>
      <w:r>
        <w:rPr>
          <w:bCs/>
          <w:b/>
        </w:rPr>
        <w:t xml:space="preserve"> </w:t>
      </w:r>
      <w:r>
        <w:rPr>
          <w:bCs/>
          <w:b/>
          <w:bCs/>
          <w:b/>
        </w:rPr>
        <w:t xml:space="preserve">Verheyen K</w:t>
      </w:r>
      <w:r>
        <w:rPr>
          <w:bCs/>
          <w:b/>
        </w:rPr>
        <w:t xml:space="preserve">,</w:t>
      </w:r>
      <w:r>
        <w:rPr>
          <w:bCs/>
          <w:b/>
        </w:rPr>
        <w:t xml:space="preserve"> </w:t>
      </w:r>
      <w:r>
        <w:rPr>
          <w:bCs/>
          <w:b/>
          <w:bCs/>
          <w:b/>
        </w:rPr>
        <w:t xml:space="preserve">Bernhardt-Römermann M</w:t>
      </w:r>
      <w:r>
        <w:rPr>
          <w:bCs/>
          <w:b/>
        </w:rPr>
        <w:t xml:space="preserve">,</w:t>
      </w:r>
      <w:r>
        <w:rPr>
          <w:bCs/>
          <w:b/>
        </w:rPr>
        <w:t xml:space="preserve"> </w:t>
      </w:r>
      <w:r>
        <w:rPr>
          <w:bCs/>
          <w:b/>
          <w:bCs/>
          <w:b/>
        </w:rPr>
        <w:t xml:space="preserve">Baeten L</w:t>
      </w:r>
      <w:r>
        <w:rPr>
          <w:bCs/>
          <w:b/>
        </w:rPr>
        <w:t xml:space="preserve">,</w:t>
      </w:r>
      <w:r>
        <w:rPr>
          <w:bCs/>
          <w:b/>
        </w:rPr>
        <w:t xml:space="preserve"> </w:t>
      </w:r>
      <w:r>
        <w:rPr>
          <w:bCs/>
          <w:b/>
          <w:bCs/>
          <w:b/>
        </w:rPr>
        <w:t xml:space="preserve">Hédl R</w:t>
      </w:r>
      <w:r>
        <w:rPr>
          <w:bCs/>
          <w:b/>
        </w:rPr>
        <w:t xml:space="preserve">,</w:t>
      </w:r>
      <w:r>
        <w:rPr>
          <w:bCs/>
          <w:b/>
        </w:rPr>
        <w:t xml:space="preserve"> </w:t>
      </w:r>
      <w:r>
        <w:rPr>
          <w:bCs/>
          <w:b/>
          <w:bCs/>
          <w:b/>
        </w:rPr>
        <w:t xml:space="preserve">Berki I</w:t>
      </w:r>
      <w:r>
        <w:rPr>
          <w:bCs/>
          <w:b/>
        </w:rPr>
        <w:t xml:space="preserve">,</w:t>
      </w:r>
      <w:r>
        <w:rPr>
          <w:bCs/>
          <w:b/>
        </w:rPr>
        <w:t xml:space="preserve"> </w:t>
      </w:r>
      <w:r>
        <w:rPr>
          <w:bCs/>
          <w:b/>
          <w:bCs/>
          <w:b/>
        </w:rPr>
        <w:t xml:space="preserve">Brunet J</w:t>
      </w:r>
      <w:r>
        <w:rPr>
          <w:bCs/>
          <w:b/>
        </w:rPr>
        <w:t xml:space="preserve">,</w:t>
      </w:r>
      <w:r>
        <w:rPr>
          <w:bCs/>
          <w:b/>
        </w:rPr>
        <w:t xml:space="preserve"> </w:t>
      </w:r>
      <w:r>
        <w:rPr>
          <w:iCs/>
          <w:i/>
          <w:bCs/>
          <w:b/>
        </w:rPr>
        <w:t xml:space="preserve">et al.</w:t>
      </w:r>
      <w:r>
        <w:t xml:space="preserve"> </w:t>
      </w:r>
      <w:r>
        <w:rPr>
          <w:bCs/>
          <w:b/>
        </w:rPr>
        <w:t xml:space="preserve">2020</w:t>
      </w:r>
      <w:r>
        <w:t xml:space="preserve">. Forest microclimate dynamics drive plant responses to warming.</w:t>
      </w:r>
      <w:r>
        <w:t xml:space="preserve"> </w:t>
      </w:r>
      <w:r>
        <w:rPr>
          <w:iCs/>
          <w:i/>
        </w:rPr>
        <w:t xml:space="preserve">Science</w:t>
      </w:r>
      <w:r>
        <w:t xml:space="preserve"> </w:t>
      </w:r>
      <w:r>
        <w:rPr>
          <w:bCs/>
          <w:b/>
        </w:rPr>
        <w:t xml:space="preserve">368</w:t>
      </w:r>
      <w:r>
        <w:t xml:space="preserve">: 772–775.</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2022-06-10T12:15:48Z</dcterms:created>
  <dcterms:modified xsi:type="dcterms:W3CDTF">2022-06-10T12:15:48Z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