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Buckley, to round out the expertise of the author team and help address some of the reviewer comments (particularly R2).</w:t>
      </w:r>
    </w:p>
    <w:p>
      <w:pPr>
        <w:numPr>
          <w:ilvl w:val="0"/>
          <w:numId w:val="1001"/>
        </w:numPr>
      </w:pPr>
      <w:r>
        <w:t xml:space="preserve">Revised three figures (Figs. 1-3) based on reviewer comments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numPr>
          <w:ilvl w:val="0"/>
          <w:numId w:val="1002"/>
        </w:numPr>
        <w:pStyle w:val="Compact"/>
      </w:pPr>
      <w:r>
        <w:t xml:space="preserve">On Fig. 4, please adjust colors on panel (a) to correspond to those in panel (b), where</w:t>
      </w:r>
      <w:r>
        <w:t xml:space="preserve"> </w:t>
      </w:r>
      <w:r>
        <w:t xml:space="preserve">“</w:t>
      </w:r>
      <w:r>
        <w:t xml:space="preserve">min MIN</w:t>
      </w:r>
      <w:r>
        <w:t xml:space="preserve">”</w:t>
      </w:r>
      <w:r>
        <w:t xml:space="preserve"> </w:t>
      </w:r>
      <w:r>
        <w:t xml:space="preserve">color should match</w:t>
      </w:r>
      <w:r>
        <w:t xml:space="preserve"> </w:t>
      </w:r>
      <w:r>
        <w:t xml:space="preserve">“</w:t>
      </w:r>
      <w:r>
        <w:t xml:space="preserve">understory</w:t>
      </w:r>
      <w:r>
        <w:t xml:space="preserve">”</w:t>
      </w:r>
      <w:r>
        <w:t xml:space="preserve"> </w:t>
      </w:r>
      <w:r>
        <w:t xml:space="preserve">and</w:t>
      </w:r>
      <w:r>
        <w:t xml:space="preserve"> </w:t>
      </w:r>
      <w:r>
        <w:t xml:space="preserve">“</w:t>
      </w:r>
      <w:r>
        <w:t xml:space="preserve">max DBH</w:t>
      </w:r>
      <w:r>
        <w:t xml:space="preserve">”</w:t>
      </w:r>
      <w:r>
        <w:t xml:space="preserve"> </w:t>
      </w:r>
      <w:r>
        <w:t xml:space="preserve">should match</w:t>
      </w:r>
      <w:r>
        <w:t xml:space="preserve"> </w:t>
      </w:r>
      <w:r>
        <w:t xml:space="preserve">“</w:t>
      </w:r>
      <w:r>
        <w:t xml:space="preserve">canopy</w:t>
      </w:r>
      <w:r>
        <w:t xml:space="preserve">”</w:t>
      </w:r>
      <w:r>
        <w:t xml:space="preserve">. The same color scheme can be applied to all panels in (a), and there is no need to keep the line type differences (both can be solid).</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61" w:name="response-to-reviewers-comments-to-author"/>
    <w:p>
      <w:pPr>
        <w:pStyle w:val="Heading1"/>
      </w:pPr>
      <w:r>
        <w:t xml:space="preserve">Response to Reviewer(s)’ Comments to Author:</w:t>
      </w:r>
    </w:p>
    <w:bookmarkStart w:id="25" w:name="referee-1"/>
    <w:p>
      <w:pPr>
        <w:pStyle w:val="Heading2"/>
      </w:pPr>
      <w:r>
        <w:t xml:space="preserve">Referee: 1</w:t>
      </w:r>
    </w:p>
    <w:bookmarkStart w:id="23"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hyperlink r:id="rId21">
        <w:r>
          <w:rPr>
            <w:rStyle w:val="Hyperlink"/>
            <w:iCs/>
            <w:i/>
          </w:rPr>
          <w:t xml:space="preserve">issue #99</w:t>
        </w:r>
      </w:hyperlink>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p>
      <w:pPr>
        <w:pStyle w:val="BodyText"/>
      </w:pPr>
      <w:hyperlink r:id="rId22">
        <w:r>
          <w:rPr>
            <w:rStyle w:val="Hyperlink"/>
            <w:iCs/>
            <w:i/>
          </w:rPr>
          <w:t xml:space="preserve">issue #82</w:t>
        </w:r>
      </w:hyperlink>
    </w:p>
    <w:bookmarkEnd w:id="23"/>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editorial staff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hyperlink r:id="rId21">
        <w:r>
          <w:rPr>
            <w:rStyle w:val="Hyperlink"/>
            <w:iCs/>
            <w:i/>
          </w:rPr>
          <w:t xml:space="preserve">issue #99</w:t>
        </w:r>
      </w:hyperlink>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ability to incorporate vertical variation in leaf traits and physiological processes. In general, however, this variation is accounted for via light competition. 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w:t>
      </w:r>
      <w:r>
        <w:rPr>
          <w:bCs/>
          <w:b/>
        </w:rPr>
        <w:t xml:space="preserve"> </w:t>
      </w:r>
      <w:r>
        <w:rPr>
          <w:bCs/>
          <w:b/>
        </w:rPr>
        <w:t xml:space="preserve">“</w:t>
      </w:r>
      <w:r>
        <w:rPr>
          <w:bCs/>
          <w:b/>
        </w:rPr>
        <w:t xml:space="preserve">However, doing so will require improved understanding of the mechanisms controlling vertical gradients.</w:t>
      </w:r>
      <w:r>
        <w:rPr>
          <w:bCs/>
          <w:b/>
        </w:rPr>
        <w:t xml:space="preserve">”</w:t>
      </w:r>
      <w:r>
        <w:rPr>
          <w:bCs/>
          <w:b/>
        </w:rPr>
        <w:t xml:space="preserve">.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r>
        <w:t xml:space="preserve"> </w:t>
      </w:r>
      <w:r>
        <w:rPr>
          <w:iCs/>
          <w:i/>
        </w:rPr>
        <w:t xml:space="preserve">(Nidhi, assuing this is true?)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29"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xxx)</w:t>
      </w:r>
      <w:r>
        <w:rPr>
          <w:bCs/>
          <w:b/>
        </w:rPr>
        <w:t xml:space="preserve">(new text italicized)</w:t>
      </w:r>
    </w:p>
    <w:p>
      <w:pPr>
        <w:numPr>
          <w:ilvl w:val="0"/>
          <w:numId w:val="1005"/>
        </w:numPr>
        <w:pStyle w:val="Compact"/>
      </w:pPr>
      <w:r>
        <w:rPr>
          <w:bCs/>
          <w:b/>
        </w:rPr>
        <w:t xml:space="preserve">“</w:t>
      </w:r>
      <w:r>
        <w:rPr>
          <w:bCs/>
          <w:b/>
        </w:rPr>
        <w:t xml:space="preserve">Air temperature (</w:t>
      </w:r>
      <m:oMath>
        <m:sSub>
          <m:e>
            <m:r>
              <m:t>T</m:t>
            </m:r>
          </m:e>
          <m:sub>
            <m:r>
              <m:t>a</m:t>
            </m:r>
            <m:r>
              <m:t>i</m:t>
            </m:r>
            <m:r>
              <m:t>r</m:t>
            </m:r>
          </m:sub>
        </m:sSub>
      </m:oMath>
      <w:r>
        <w:rPr>
          <w:bCs/>
          <w:b/>
        </w:rPr>
        <w:t xml:space="preserve">)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p>
    <w:p>
      <w:pPr>
        <w:numPr>
          <w:ilvl w:val="0"/>
          <w:numId w:val="1005"/>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cooler maximum daytime</w:t>
      </w:r>
      <w:r>
        <w:rPr>
          <w:bCs/>
          <w:b/>
        </w:rPr>
        <w:t xml:space="preserve"> </w:t>
      </w:r>
      <m:oMath>
        <m:sSub>
          <m:e>
            <m:r>
              <m:t>T</m:t>
            </m:r>
          </m:e>
          <m:sub>
            <m:r>
              <m:t>a</m:t>
            </m:r>
            <m:r>
              <m:t>i</m:t>
            </m:r>
            <m:r>
              <m:t>r</m:t>
            </m:r>
          </m:sub>
        </m:sSub>
      </m:oMath>
      <w:r>
        <w:rPr>
          <w:bCs/>
          <w:b/>
        </w:rPr>
        <w:t xml:space="preserve"> </w:t>
      </w:r>
      <w:r>
        <w:rPr>
          <w:bCs/>
          <w:b/>
        </w:rPr>
        <w:t xml:space="preserve">and warmer nighttime minimum Tair than open canopy understories or nearby clearings.</w:t>
      </w:r>
      <w:r>
        <w:rPr>
          <w:bCs/>
          <w:b/>
        </w:rPr>
        <w:t xml:space="preserve">”</w:t>
      </w:r>
      <w:r>
        <w:rPr>
          <w:bCs/>
          <w:b/>
        </w:rPr>
        <w:t xml:space="preserve"> </w:t>
      </w:r>
      <w:r>
        <w:rPr>
          <w:bCs/>
          <w:b/>
        </w:rPr>
        <w:t xml:space="preserve">(line xxx)</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6">
        <w:r>
          <w:rPr>
            <w:rStyle w:val="Hyperlink"/>
            <w:iCs/>
            <w:i/>
          </w:rPr>
          <w:t xml:space="preserve">issue #92</w:t>
        </w:r>
      </w:hyperlink>
    </w:p>
    <w:p>
      <w:pPr>
        <w:pStyle w:val="BodyText"/>
      </w:pPr>
      <w:r>
        <w:rPr>
          <w:bCs/>
          <w:b/>
        </w:rPr>
        <w:t xml:space="preserve">We have revised the first sentence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lines:</w:t>
      </w:r>
    </w:p>
    <w:p>
      <w:pPr>
        <w:numPr>
          <w:ilvl w:val="0"/>
          <w:numId w:val="1006"/>
        </w:numPr>
        <w:pStyle w:val="Compact"/>
      </w:pPr>
      <w:r>
        <w:rPr>
          <w:bCs/>
          <w:b/>
        </w:rPr>
        <w:t xml:space="preserve">With saturating irradiance in canopy leaves, unused energy from photosystem II antennae is further dissipated as heat energy through non-photochemical quenching</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However, at a photon flux density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non-photochemical quenching rates than upper canopy reflecting rapid photosynthetic kinetics in shaded leaves as an acclimation to sunflecks. However, beyond this photon flux density threshold, non-photochemical quenching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7"/>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8"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hyperlink r:id="rId27">
        <w:r>
          <w:rPr>
            <w:rStyle w:val="Hyperlink"/>
            <w:iCs/>
            <w:i/>
          </w:rPr>
          <w:t xml:space="preserve">https://github.com/EcoClimLab/vertical-thermal-review/issues/84</w:t>
        </w:r>
      </w:hyperlink>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iCs/>
          <w:i/>
        </w:rPr>
        <w:t xml:space="preserve">(see Lawren’s comments in google doc)</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Pr>
      <w:r>
        <w:rPr>
          <w:bCs/>
          <w:b/>
        </w:rPr>
        <w:t xml:space="preserve">We have very little evidence as to how the temperature sensitivity of photosynthesis compares between sun and shade leaves, and existing studies, which compare sun and shade leaves of the same trees, reveal no pronounced overall trend with height in the optimum temperatures for photosynthetic processes</w:t>
      </w:r>
    </w:p>
    <w:p>
      <w:pPr>
        <w:numPr>
          <w:ilvl w:val="0"/>
          <w:numId w:val="1010"/>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8"/>
    <w:bookmarkEnd w:id="29"/>
    <w:bookmarkStart w:id="60" w:name="references"/>
    <w:p>
      <w:pPr>
        <w:pStyle w:val="Heading2"/>
      </w:pPr>
      <w:r>
        <w:t xml:space="preserve">References</w:t>
      </w:r>
    </w:p>
    <w:bookmarkStart w:id="59" w:name="refs"/>
    <w:bookmarkStart w:id="30"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0"/>
    <w:bookmarkStart w:id="31"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1"/>
    <w:bookmarkStart w:id="32"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2"/>
    <w:bookmarkStart w:id="33"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3"/>
    <w:bookmarkStart w:id="34"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4"/>
    <w:bookmarkStart w:id="35"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5"/>
    <w:bookmarkStart w:id="36" w:name="Xa1bff5a5969f0791f89e588c947c633046af388"/>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36"/>
    <w:bookmarkStart w:id="37"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7"/>
    <w:bookmarkStart w:id="38"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8"/>
    <w:bookmarkStart w:id="39" w:name="ref-krinnerDynamicGlobalVegetation2005a"/>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de Noblet-Ducoudré N</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39"/>
    <w:bookmarkStart w:id="40"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40"/>
    <w:bookmarkStart w:id="41"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1"/>
    <w:bookmarkStart w:id="42"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42"/>
    <w:bookmarkStart w:id="43"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43"/>
    <w:bookmarkStart w:id="44"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4"/>
    <w:bookmarkStart w:id="45"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5"/>
    <w:bookmarkStart w:id="46"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6"/>
    <w:bookmarkStart w:id="47"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47"/>
    <w:bookmarkStart w:id="4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8"/>
    <w:bookmarkStart w:id="49"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9"/>
    <w:bookmarkStart w:id="50"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50"/>
    <w:bookmarkStart w:id="51"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51"/>
    <w:bookmarkStart w:id="52"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2"/>
    <w:bookmarkStart w:id="53"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53"/>
    <w:bookmarkStart w:id="54"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54"/>
    <w:bookmarkStart w:id="55"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5"/>
    <w:bookmarkStart w:id="56"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56"/>
    <w:bookmarkStart w:id="57"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7"/>
    <w:bookmarkStart w:id="58"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8"/>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2022-02-10T14:21:49Z</dcterms:created>
  <dcterms:modified xsi:type="dcterms:W3CDTF">2022-02-10T14:21:49Z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