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gradient.[Bertrand et al. 2011]</w:t>
      </w:r>
    </w:p>
    <w:p>
      <w:pPr>
        <w:pStyle w:val="BodyText"/>
      </w:pPr>
      <w:r>
        <w:t xml:space="preserve">The capacity of buffering largly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Evidence shows that larger trees suffer during drought resulting in heat stressed canopy-leaves, which may contribute to increasing larger tree mortality in forests around the world should frequencies of drought continue to occur</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the extremes of macroclimate warming, they are still experiencing warming. As a result, understories experience a different set of microclimatic pressures, e.g limited light and related foliar traits, inter-species competition etc.. with rising temperature</w:t>
      </w:r>
      <w:r>
        <w:t xml:space="preserve"> </w:t>
      </w:r>
      <w:r>
        <w:t xml:space="preserve">(Bartholomew</w:t>
      </w:r>
      <w:r>
        <w:t xml:space="preserve"> </w:t>
      </w:r>
      <w:r>
        <w:rPr>
          <w:i/>
        </w:rPr>
        <w:t xml:space="preserve">et al.</w:t>
      </w:r>
      <w:r>
        <w:t xml:space="preserve">, 2020)</w:t>
      </w:r>
      <w:r>
        <w:t xml:space="preserve">. Since temperature is directly linked with plant metabolic processes and growth, even around 1 degree of warming can lead to changes in plant species composition and growth [Bertrand et al.2011]. Evidence shows reduced growth of understory trees relative to overstory with warming temperatures, in mesic temperate forests</w:t>
      </w:r>
      <w:r>
        <w:t xml:space="preserve">(Rollinson</w:t>
      </w:r>
      <w:r>
        <w:t xml:space="preserve"> </w:t>
      </w:r>
      <w:r>
        <w:rPr>
          <w:i/>
        </w:rPr>
        <w:t xml:space="preserve">et al.</w:t>
      </w:r>
      <w:r>
        <w:t xml:space="preserve">, p. 2020)</w:t>
      </w:r>
      <w:r>
        <w:t xml:space="preserve">, along with thermophilization in plant communities and reshuffling of species acclimated to cooler [mean annual] temperatures</w:t>
      </w:r>
      <w:r>
        <w:t xml:space="preserve">(Zellweger</w:t>
      </w:r>
      <w:r>
        <w:t xml:space="preserve"> </w:t>
      </w:r>
      <w:r>
        <w:rPr>
          <w:i/>
        </w:rPr>
        <w:t xml:space="preserve">et al.</w:t>
      </w:r>
      <w:r>
        <w:t xml:space="preserve">, 2019, 2020a; Scheffers</w:t>
      </w:r>
      <w:r>
        <w:t xml:space="preserve"> </w:t>
      </w:r>
      <w:r>
        <w:rPr>
          <w:i/>
        </w:rPr>
        <w:t xml:space="preserve">et al.</w:t>
      </w:r>
      <w:r>
        <w:t xml:space="preserve">, 2013; De Frenne</w:t>
      </w:r>
      <w:r>
        <w:t xml:space="preserve"> </w:t>
      </w:r>
      <w:r>
        <w:rPr>
          <w:i/>
        </w:rPr>
        <w:t xml:space="preserve">et al.</w:t>
      </w:r>
      <w:r>
        <w:t xml:space="preserve">, 2013; Duque</w:t>
      </w:r>
      <w:r>
        <w:t xml:space="preserve"> </w:t>
      </w:r>
      <w:r>
        <w:rPr>
          <w:i/>
        </w:rPr>
        <w:t xml:space="preserve">et al.</w:t>
      </w:r>
      <w:r>
        <w:t xml:space="preserve">, 2015; Suggitt</w:t>
      </w:r>
      <w:r>
        <w:t xml:space="preserve"> </w:t>
      </w:r>
      <w:r>
        <w:rPr>
          <w:i/>
        </w:rPr>
        <w:t xml:space="preserve">et al.</w:t>
      </w:r>
      <w:r>
        <w:t xml:space="preserve">, 2018)</w:t>
      </w:r>
      <w:r>
        <w:t xml:space="preserve">. Considering more frequent occurences of drought, extensive analysis also shows negetive correlation between species shade tolerance and drought tolerance globally</w:t>
      </w:r>
      <w:r>
        <w:t xml:space="preserve"> </w:t>
      </w:r>
      <w:r>
        <w:t xml:space="preserve">(Niinemets, 2006)</w:t>
      </w:r>
      <w:r>
        <w:t xml:space="preserve"> </w:t>
      </w:r>
      <w:r>
        <w:t xml:space="preserve">which may have further impacts on understory species with rising temperatures.</w:t>
      </w:r>
      <w:r>
        <w:t xml:space="preserve"> </w:t>
      </w: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2020)</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temperature and metabolism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 due to cumulative layers of vegetation</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to canopy interiors, lower canopy layers and understories. Shaded regions under canopy cover experience lower values and quality of PAR [in ranges of blue, orange and red]. The gradient of light is more pronounced under broadleaved forests than conifers</w:t>
      </w:r>
      <w:r>
        <w:t xml:space="preserve">(Niinemets &amp; Anten, 2009; Aussenac, 2000;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r>
        <w:t xml:space="preserve"> </w:t>
      </w: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w:t>
      </w:r>
      <w:r>
        <w:t xml:space="preserve"> </w:t>
      </w:r>
      <w:r>
        <w:t xml:space="preserve">This difference in light regime along a vertical profile is an important driver of plasticity in leaf traits, leaf physiology, adaptation, and thermal sensitivity along the gradient. Leaves along a vertical intra-canopy gradient thus exhibit a variation in leaf trait adapaptions to a range of high light to shaded-ness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Doughty &amp; Goulden (2008)</w:t>
      </w:r>
      <w:r>
        <w:t xml:space="preserve">; Niinemets and Valladares 2006].</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p>
    <w:p>
      <w:pPr>
        <w:pStyle w:val="BodyText"/>
      </w:pPr>
      <w:r>
        <w:t xml:space="preserve">Wind speed in the upper canopy of a semi-deciduous tropical forest has been observed to be higher in dry season of than in upper canopy wet season</w:t>
      </w:r>
      <w:r>
        <w:t xml:space="preserve"> </w:t>
      </w:r>
      <w:r>
        <w:t xml:space="preserve">(Rey-Sánchez</w:t>
      </w:r>
      <w:r>
        <w:t xml:space="preserve"> </w:t>
      </w:r>
      <w:r>
        <w:rPr>
          <w:i/>
        </w:rPr>
        <w:t xml:space="preserve">et al.</w:t>
      </w:r>
      <w:r>
        <w:t xml:space="preserve">, 2016)</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increase in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make them more advantageous in dissapating heat efficiently than larger leaves</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and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 De Frenne</w:t>
      </w:r>
      <w:r>
        <w:t xml:space="preserve"> </w:t>
      </w:r>
      <w:r>
        <w:rPr>
          <w:i/>
        </w:rPr>
        <w:t xml:space="preserve">et al.</w:t>
      </w:r>
      <w:r>
        <w:t xml:space="preserve">, 2019; von Arx</w:t>
      </w:r>
      <w:r>
        <w:t xml:space="preserve"> </w:t>
      </w:r>
      <w:r>
        <w:rPr>
          <w:i/>
        </w:rPr>
        <w:t xml:space="preserve">et al.</w:t>
      </w:r>
      <w:r>
        <w:t xml:space="preserve">, 2012)</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p>
    <w:p>
      <w:pPr>
        <w:pStyle w:val="BodyText"/>
      </w:pPr>
      <w:r>
        <w:t xml:space="preserve">“</w:t>
      </w:r>
      <w:r>
        <w:t xml:space="preserve">max temps were higher and humidity lower in gaps vs understory regions (both at 1.5 m above the ground), see Fig. 4 - again illustrating buffering effect of the canopy</w:t>
      </w:r>
      <w:r>
        <w:t xml:space="preserve">”</w:t>
      </w:r>
      <w:r>
        <w:t xml:space="preserve">.However,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With rising temperatures, this trend in maximum</w:t>
      </w:r>
      <w:r>
        <w:t xml:space="preserve"> </w:t>
      </w:r>
      <m:oMath>
        <m:sSub>
          <m:e>
            <m:r>
              <m:t>T</m:t>
            </m:r>
          </m:e>
          <m:sub>
            <m:r>
              <m:t>a</m:t>
            </m:r>
            <m:r>
              <m:t>i</m:t>
            </m:r>
            <m:r>
              <m:t>r</m:t>
            </m:r>
          </m:sub>
        </m:sSub>
      </m:oMath>
      <w:r>
        <w:t xml:space="preserve"> </w:t>
      </w:r>
      <w:r>
        <w:t xml:space="preserve">and RH would have implications for understory seedling growth, especially in high altitude temperate pine forests and montane forests</w:t>
      </w:r>
      <w:r>
        <w:t xml:space="preserve"> </w:t>
      </w:r>
      <w:r>
        <w:t xml:space="preserve">(von Arx</w:t>
      </w:r>
      <w:r>
        <w:t xml:space="preserve"> </w:t>
      </w:r>
      <w:r>
        <w:rPr>
          <w:i/>
        </w:rPr>
        <w:t xml:space="preserve">et al.</w:t>
      </w:r>
      <w:r>
        <w:t xml:space="preserve">, 2012, p. @fauset_differences_2018)</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t xml:space="preserve"> </w:t>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intra canopy light and height, and show intra-canopy plasticity in accordance with intensity and availability of light. Taller trees in dense forests tend to be exposed to greater irradiance than lower canopy and shorter understory trees shaded by overstory.Degrees of high irradiance has consequential adaptations in leaf morphology compared to degrees of low irradiance to shaded-ness [</w:t>
      </w:r>
      <w:r>
        <w:t xml:space="preserve">Poorter</w:t>
      </w:r>
      <w:r>
        <w:t xml:space="preserve"> </w:t>
      </w:r>
      <w:r>
        <w:rPr>
          <w:i/>
        </w:rPr>
        <w:t xml:space="preserve">et al.</w:t>
      </w:r>
      <w:r>
        <w:t xml:space="preserve"> </w:t>
      </w:r>
      <w:r>
        <w:t xml:space="preserve">(2019)</w:t>
      </w:r>
      <w:r>
        <w:t xml:space="preserve">; Sack et al 2006] within- and across species</w:t>
      </w:r>
      <w:r>
        <w:t xml:space="preserve"> </w:t>
      </w:r>
      <w:r>
        <w:t xml:space="preserve">(Ishii et al. 2018; Niinemets</w:t>
      </w:r>
      <w:r>
        <w:t xml:space="preserve"> </w:t>
      </w:r>
      <w:r>
        <w:rPr>
          <w:i/>
        </w:rPr>
        <w:t xml:space="preserve">et al.</w:t>
      </w:r>
      <w:r>
        <w:t xml:space="preserve">, 2015)</w:t>
      </w:r>
      <w:r>
        <w:t xml:space="preserve">. This dichotomy in leaf traits that vary with light intensity generally differ within intra-canopy, however the degree of intra-canopy plasticity also varies across species and geographically</w:t>
      </w:r>
      <w:r>
        <w:t xml:space="preserve"> </w:t>
      </w:r>
      <w:r>
        <w:t xml:space="preserve">(Sack</w:t>
      </w:r>
      <w:r>
        <w:t xml:space="preserve"> </w:t>
      </w:r>
      <w:r>
        <w:rPr>
          <w:i/>
        </w:rPr>
        <w:t xml:space="preserve">et al.</w:t>
      </w:r>
      <w:r>
        <w:t xml:space="preserve">, 2006; Ishii</w:t>
      </w:r>
      <w:r>
        <w:t xml:space="preserve"> </w:t>
      </w:r>
      <w:r>
        <w:rPr>
          <w:i/>
        </w:rPr>
        <w:t xml:space="preserve">et al.</w:t>
      </w:r>
      <w:r>
        <w:t xml:space="preserve">, 2018)</w:t>
      </w:r>
      <w:r>
        <w:t xml:space="preserve">.</w:t>
      </w:r>
    </w:p>
    <w:p>
      <w:pPr>
        <w:pStyle w:val="BodyText"/>
      </w:pPr>
      <w:r>
        <w:t xml:space="preserve">Adaptions of traits to ranges of sun-exposure or shaded-ness also vary within a forest strata.</w:t>
      </w:r>
      <w:r>
        <w:t xml:space="preserve"> </w:t>
      </w:r>
      <w:r>
        <w:t xml:space="preserve">Understory species may have conservative growth strategies because they are resource (light) limited. Spending their lifecycle in the shade means they have different pressures than plants that get the bulk of their carbon from sun-exposed leaves, but can maintain a few layers of shade leaves as well. 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r>
        <w:t xml:space="preserve"> </w:t>
      </w:r>
      <w:r>
        <w:t xml:space="preserve">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considered.[refs]</w:t>
      </w:r>
    </w:p>
    <w:p>
      <w:pPr>
        <w:pStyle w:val="BodyText"/>
      </w:pPr>
      <w:r>
        <w:t xml:space="preserve">Cateogorization of sun and shade tolerance from</w:t>
      </w:r>
      <w:r>
        <w:t xml:space="preserve"> </w:t>
      </w:r>
      <w:r>
        <w:t xml:space="preserve">Niinemets (2006)</w:t>
      </w:r>
      <w:r>
        <w:t xml:space="preserve">:</w:t>
      </w:r>
      <w:r>
        <w:t xml:space="preserve"> </w:t>
      </w:r>
      <w:r>
        <w:t xml:space="preserve">“</w:t>
      </w:r>
      <w:r>
        <w:t xml:space="preserve">The five-level scale used for shade tolerance (1,</w:t>
      </w:r>
      <w:r>
        <w:t xml:space="preserve"> </w:t>
      </w:r>
      <w:r>
        <w:t xml:space="preserve">very intolerant; 2, intolerant; 3, moderately tolerant; 4,tolerant; 5, very tolerant) corresponds approximately to the following light availabilities expressed as percentage of full sunlight: 1,&gt;50%; 2, 25-50%; 3, 10-25%; 4, 5-10%; 5, 2-5%</w:t>
      </w:r>
      <w:r>
        <w:t xml:space="preserve">”</w:t>
      </w:r>
    </w:p>
    <w:p>
      <w:pPr>
        <w:pStyle w:val="BodyText"/>
      </w:pPr>
      <w:r>
        <w:t xml:space="preserve">Passing light in the forest understory often caused by over-canopy vegetation and wind speed called sunflecks cause a different type of morphological adaptation in shaded leaves [characterized by low LMA and greater effective leaf width] that make them efficient in capturing &gt;50% of light through sunflecks for photosynthesis</w:t>
      </w:r>
      <w:r>
        <w:t xml:space="preserve"> </w:t>
      </w:r>
      <w:r>
        <w:t xml:space="preserve">(Chazdon &amp; Fetcher, 1984)</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Increasing number of studies point towards the importance of incorporating vertical canopy leaf trait variation in modelling for leaf economic spectrum (LES)</w:t>
      </w:r>
      <w:r>
        <w:t xml:space="preserve"> </w:t>
      </w:r>
      <w:r>
        <w:t xml:space="preserve">(Chen</w:t>
      </w:r>
      <w:r>
        <w:t xml:space="preserve"> </w:t>
      </w:r>
      <w:r>
        <w:rPr>
          <w:i/>
        </w:rPr>
        <w:t xml:space="preserve">et al.</w:t>
      </w:r>
      <w:r>
        <w:t xml:space="preserve">, 2020)</w:t>
      </w:r>
      <w:r>
        <w:t xml:space="preserve">,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w:t>
      </w:r>
      <w:r>
        <w:rPr>
          <w:b/>
        </w:rPr>
        <w:t xml:space="preserve">???</w:t>
      </w:r>
      <w:r>
        <w:t xml:space="preserve">)</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2" w:name="references"/>
    <w:p>
      <w:pPr>
        <w:pStyle w:val="Heading2"/>
      </w:pPr>
      <w:r>
        <w:t xml:space="preserve">References</w:t>
      </w:r>
    </w:p>
    <w:bookmarkStart w:id="121"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1"/>
    <w:bookmarkStart w:id="5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2"/>
    <w:bookmarkStart w:id="5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3"/>
    <w:bookmarkStart w:id="5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4"/>
    <w:bookmarkStart w:id="5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5"/>
    <w:bookmarkStart w:id="5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6"/>
    <w:bookmarkStart w:id="5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7"/>
    <w:bookmarkStart w:id="5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8"/>
    <w:bookmarkStart w:id="59"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9"/>
    <w:bookmarkStart w:id="6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0"/>
    <w:bookmarkStart w:id="6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1"/>
    <w:bookmarkStart w:id="6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2"/>
    <w:bookmarkStart w:id="6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3"/>
    <w:bookmarkStart w:id="6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4"/>
    <w:bookmarkStart w:id="6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5"/>
    <w:bookmarkStart w:id="6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6"/>
    <w:bookmarkStart w:id="6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7"/>
    <w:bookmarkStart w:id="6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68"/>
    <w:bookmarkStart w:id="69" w:name="X3002d96248fc249c3ef6ed2e8b234bec4b11652"/>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PNAS</w:t>
      </w:r>
      <w:r>
        <w:t xml:space="preserve"> </w:t>
      </w:r>
      <w:r>
        <w:rPr>
          <w:b/>
        </w:rPr>
        <w:t xml:space="preserve">112</w:t>
      </w:r>
      <w:r>
        <w:t xml:space="preserve">: 10744–10749.</w:t>
      </w:r>
    </w:p>
    <w:bookmarkEnd w:id="69"/>
    <w:bookmarkStart w:id="7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0"/>
    <w:bookmarkStart w:id="71"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1"/>
    <w:bookmarkStart w:id="72"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2"/>
    <w:bookmarkStart w:id="73"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3"/>
    <w:bookmarkStart w:id="74"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4"/>
    <w:bookmarkStart w:id="75"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5"/>
    <w:bookmarkStart w:id="76"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6"/>
    <w:bookmarkStart w:id="77"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7"/>
    <w:bookmarkStart w:id="78"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78"/>
    <w:bookmarkStart w:id="79"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79"/>
    <w:bookmarkStart w:id="80"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0"/>
    <w:bookmarkStart w:id="81"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1"/>
    <w:bookmarkStart w:id="82"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2"/>
    <w:bookmarkStart w:id="83"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3"/>
    <w:bookmarkStart w:id="84"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4"/>
    <w:bookmarkStart w:id="85"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5"/>
    <w:bookmarkStart w:id="86"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6"/>
    <w:bookmarkStart w:id="87"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87"/>
    <w:bookmarkStart w:id="8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88"/>
    <w:bookmarkStart w:id="89"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89"/>
    <w:bookmarkStart w:id="90"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0"/>
    <w:bookmarkStart w:id="91"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1"/>
    <w:bookmarkStart w:id="92"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2"/>
    <w:bookmarkStart w:id="93"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3"/>
    <w:bookmarkStart w:id="94"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4"/>
    <w:bookmarkStart w:id="95"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95"/>
    <w:bookmarkStart w:id="96"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96"/>
    <w:bookmarkStart w:id="97"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97"/>
    <w:bookmarkStart w:id="98"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98"/>
    <w:bookmarkStart w:id="99"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99"/>
    <w:bookmarkStart w:id="100"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0"/>
    <w:bookmarkStart w:id="101"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1"/>
    <w:bookmarkStart w:id="10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2"/>
    <w:bookmarkStart w:id="103"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3"/>
    <w:bookmarkStart w:id="104"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104"/>
    <w:bookmarkStart w:id="105"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05"/>
    <w:bookmarkStart w:id="106"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06"/>
    <w:bookmarkStart w:id="107"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07"/>
    <w:bookmarkStart w:id="108"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08"/>
    <w:bookmarkStart w:id="109"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09"/>
    <w:bookmarkStart w:id="110"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0"/>
    <w:bookmarkStart w:id="111"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1"/>
    <w:bookmarkStart w:id="112"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112"/>
    <w:bookmarkStart w:id="113"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3"/>
    <w:bookmarkStart w:id="114"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4"/>
    <w:bookmarkStart w:id="115"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15"/>
    <w:bookmarkStart w:id="116"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16"/>
    <w:bookmarkStart w:id="117"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17"/>
    <w:bookmarkStart w:id="118"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18"/>
    <w:bookmarkStart w:id="119"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19"/>
    <w:bookmarkStart w:id="120"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2020-12-30T22:44:17Z</dcterms:created>
  <dcterms:modified xsi:type="dcterms:W3CDTF">2020-12-30T22:44:17Z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