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6.png" ContentType="image/png"/>
  <Override PartName="/word/media/rId35.png" ContentType="image/png"/>
  <Override PartName="/word/media/rId22.png" ContentType="image/png"/>
  <Override PartName="/word/media/rId32.png" ContentType="image/png"/>
  <Override PartName="/word/media/rId39.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[REFS].</w:t>
      </w:r>
      <w:r>
        <w:t xml:space="preserve"> </w:t>
      </w:r>
      <w:r>
        <w:t xml:space="preserve">These changes are expected to have profound effects on tree metabolism and forest ecosystem function (REFS; IPBES report), including</w:t>
      </w:r>
      <w:r>
        <w:t xml:space="preserve"> </w:t>
      </w:r>
      <w:r>
        <w:rPr>
          <w:i/>
        </w:rPr>
        <w:t xml:space="preserve">(altered rates of photosynthesis and respiration)</w:t>
      </w:r>
      <w:r>
        <w:t xml:space="preserve"> </w:t>
      </w:r>
      <w:r>
        <w:t xml:space="preserve">[REF], foliar damage during heat waves [],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rPr>
          <w:strike/>
        </w:rPr>
        <w:t xml:space="preserve">The capacity of buffering largely depends on canopy cover and water availability</w:t>
      </w:r>
      <w:r>
        <w:rPr>
          <w:strike/>
        </w:rPr>
        <w:t xml:space="preserve"> </w:t>
      </w:r>
      <w:r>
        <w:rPr>
          <w:strike/>
        </w:rPr>
        <w:t xml:space="preserve">(Davis</w:t>
      </w:r>
      <w:r>
        <w:rPr>
          <w:strike/>
        </w:rPr>
        <w:t xml:space="preserve"> </w:t>
      </w:r>
      <w:r>
        <w:rPr>
          <w:i/>
          <w:strike/>
        </w:rPr>
        <w:t xml:space="preserve">et al.</w:t>
      </w:r>
      <w:r>
        <w:rPr>
          <w:strike/>
        </w:rPr>
        <w:t xml:space="preserve">, 2019)</w:t>
      </w:r>
      <w:r>
        <w:rPr>
          <w:strike/>
        </w:rPr>
        <w:t xml:space="preserve">, each of which is subjected to change through climate-driven disturbances such as drought, deforestation, fire and related disruptions</w:t>
      </w:r>
      <w:r>
        <w:rPr>
          <w:strike/>
        </w:rPr>
        <w:t xml:space="preserve"> </w:t>
      </w:r>
      <w:r>
        <w:rPr>
          <w:strike/>
        </w:rPr>
        <w:t xml:space="preserve">(Senf</w:t>
      </w:r>
      <w:r>
        <w:rPr>
          <w:strike/>
        </w:rPr>
        <w:t xml:space="preserve"> </w:t>
      </w:r>
      <w:r>
        <w:rPr>
          <w:i/>
          <w:strike/>
        </w:rPr>
        <w:t xml:space="preserve">et al.</w:t>
      </w:r>
      <w:r>
        <w:rPr>
          <w:strike/>
        </w:rPr>
        <w:t xml:space="preserve">, 2018)</w:t>
      </w:r>
      <w:r>
        <w:rPr>
          <w:strike/>
        </w:rP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rPr>
          <w:strike/>
        </w:rPr>
        <w:t xml:space="preserve"> </w:t>
      </w:r>
      <w:r>
        <w:rPr>
          <w:strike/>
        </w:rPr>
        <w:t xml:space="preserve">(Mau</w:t>
      </w:r>
      <w:r>
        <w:rPr>
          <w:strike/>
        </w:rPr>
        <w:t xml:space="preserve"> </w:t>
      </w:r>
      <w:r>
        <w:rPr>
          <w:i/>
          <w:strike/>
        </w:rPr>
        <w:t xml:space="preserve">et al.</w:t>
      </w:r>
      <w:r>
        <w:rPr>
          <w:strike/>
        </w:rPr>
        <w:t xml:space="preserve">, 2018a; Huang</w:t>
      </w:r>
      <w:r>
        <w:rPr>
          <w:strike/>
        </w:rPr>
        <w:t xml:space="preserve"> </w:t>
      </w:r>
      <w:r>
        <w:rPr>
          <w:i/>
          <w:strike/>
        </w:rPr>
        <w:t xml:space="preserve">et al.</w:t>
      </w:r>
      <w:r>
        <w:rPr>
          <w:strike/>
        </w:rPr>
        <w:t xml:space="preserve">, 2019)</w:t>
      </w:r>
      <w:r>
        <w:rPr>
          <w:strike/>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strike/>
        </w:rPr>
        <w:t xml:space="preserve"> </w:t>
      </w:r>
      <w:r>
        <w:rPr>
          <w:strike/>
        </w:rPr>
        <w:t xml:space="preserve">(Tibbitts, 1979; Perez &amp; Feeley, 2018)</w:t>
      </w:r>
    </w:p>
    <w:p>
      <w:pPr>
        <w:pStyle w:val="BodyText"/>
      </w:pPr>
      <w:r>
        <w:rPr>
          <w:strike/>
        </w:rPr>
        <w:t xml:space="preserve">Frequent drought-related hydraulic limitation in forests alters species thermoregulation</w:t>
      </w:r>
      <w:r>
        <w:rPr>
          <w:strike/>
        </w:rPr>
        <w:t xml:space="preserve"> </w:t>
      </w:r>
      <w:r>
        <w:rPr>
          <w:strike/>
        </w:rPr>
        <w:t xml:space="preserve">(Sastry</w:t>
      </w:r>
      <w:r>
        <w:rPr>
          <w:strike/>
        </w:rPr>
        <w:t xml:space="preserve"> </w:t>
      </w:r>
      <w:r>
        <w:rPr>
          <w:i/>
          <w:strike/>
        </w:rPr>
        <w:t xml:space="preserve">et al.</w:t>
      </w:r>
      <w:r>
        <w:rPr>
          <w:strike/>
        </w:rPr>
        <w:t xml:space="preserve">, 2018)</w:t>
      </w:r>
      <w:r>
        <w:rPr>
          <w:strike/>
        </w:rPr>
        <w:t xml:space="preserve">, and also decreases tree canopy circumference</w:t>
      </w:r>
      <w:r>
        <w:rPr>
          <w:strike/>
        </w:rPr>
        <w:t xml:space="preserve"> </w:t>
      </w:r>
      <w:r>
        <w:rPr>
          <w:strike/>
        </w:rPr>
        <w:t xml:space="preserve">(Aussenac, 2000)</w:t>
      </w:r>
      <w:r>
        <w:rPr>
          <w:strike/>
        </w:rPr>
        <w:t xml:space="preserve"> </w:t>
      </w:r>
      <w:r>
        <w:rPr>
          <w:strike/>
        </w:rPr>
        <w:t xml:space="preserve">due to sensitivity of overstory trees to variability in water availability and precipitation</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strike/>
        </w:rPr>
        <w:t xml:space="preserve"> </w:t>
      </w:r>
      <w:r>
        <w:rPr>
          <w:strike/>
        </w:rPr>
        <w:t xml:space="preserve">(McDowell</w:t>
      </w:r>
      <w:r>
        <w:rPr>
          <w:strike/>
        </w:rPr>
        <w:t xml:space="preserve"> </w:t>
      </w:r>
      <w:r>
        <w:rPr>
          <w:i/>
          <w:strike/>
        </w:rPr>
        <w:t xml:space="preserve">et al.</w:t>
      </w:r>
      <w:r>
        <w:rPr>
          <w:strike/>
        </w:rPr>
        <w:t xml:space="preserve">, 2008; Brienen et al. 2015; Bennett</w:t>
      </w:r>
      <w:r>
        <w:rPr>
          <w:strike/>
        </w:rPr>
        <w:t xml:space="preserve"> </w:t>
      </w:r>
      <w:r>
        <w:rPr>
          <w:i/>
          <w:strike/>
        </w:rPr>
        <w:t xml:space="preserve">et al.</w:t>
      </w:r>
      <w:r>
        <w:rPr>
          <w:strike/>
        </w:rPr>
        <w:t xml:space="preserve">, 2015; Stovall</w:t>
      </w:r>
      <w:r>
        <w:rPr>
          <w:strike/>
        </w:rPr>
        <w:t xml:space="preserve"> </w:t>
      </w:r>
      <w:r>
        <w:rPr>
          <w:i/>
          <w:strike/>
        </w:rPr>
        <w:t xml:space="preserve">et al.</w:t>
      </w:r>
      <w:r>
        <w:rPr>
          <w:strike/>
        </w:rPr>
        <w:t xml:space="preserve">, 2019)</w:t>
      </w:r>
      <w:r>
        <w:rPr>
          <w:strike/>
        </w:rPr>
        <w:t xml:space="preserve">. Increases in loss of canopy cover</w:t>
      </w:r>
      <w:r>
        <w:rPr>
          <w:strike/>
        </w:rPr>
        <w:t xml:space="preserve"> </w:t>
      </w:r>
      <w:r>
        <w:rPr>
          <w:strike/>
        </w:rPr>
        <w:t xml:space="preserve">(Senf</w:t>
      </w:r>
      <w:r>
        <w:rPr>
          <w:strike/>
        </w:rPr>
        <w:t xml:space="preserve"> </w:t>
      </w:r>
      <w:r>
        <w:rPr>
          <w:i/>
          <w:strike/>
        </w:rPr>
        <w:t xml:space="preserve">et al.</w:t>
      </w:r>
      <w:r>
        <w:rPr>
          <w:strike/>
        </w:rPr>
        <w:t xml:space="preserve">, 2018; Senf &amp; Seidl, 2020)</w:t>
      </w:r>
      <w:r>
        <w:rPr>
          <w:strike/>
        </w:rPr>
        <w:t xml:space="preserve"> </w:t>
      </w:r>
      <w:r>
        <w:rPr>
          <w:strike/>
        </w:rPr>
        <w:t xml:space="preserve">are also associated with reduced canopy structural complexity, altering microclimates with local heating effects and surface energy balance components</w:t>
      </w:r>
      <w:r>
        <w:rPr>
          <w:strike/>
        </w:rPr>
        <w:t xml:space="preserve"> </w:t>
      </w:r>
      <w:r>
        <w:rPr>
          <w:strike/>
        </w:rPr>
        <w:t xml:space="preserve">(Stark</w:t>
      </w:r>
      <w:r>
        <w:rPr>
          <w:strike/>
        </w:rPr>
        <w:t xml:space="preserve"> </w:t>
      </w:r>
      <w:r>
        <w:rPr>
          <w:i/>
          <w:strike/>
        </w:rPr>
        <w:t xml:space="preserve">et al.</w:t>
      </w:r>
      <w:r>
        <w:rPr>
          <w:strike/>
        </w:rPr>
        <w:t xml:space="preserve">, 2020; Zellweger</w:t>
      </w:r>
      <w:r>
        <w:rPr>
          <w:strike/>
        </w:rPr>
        <w:t xml:space="preserve"> </w:t>
      </w:r>
      <w:r>
        <w:rPr>
          <w:i/>
          <w:strike/>
        </w:rPr>
        <w:t xml:space="preserve">et al.</w:t>
      </w:r>
      <w:r>
        <w:rPr>
          <w:strike/>
        </w:rPr>
        <w:t xml:space="preserve">, 2020a)</w:t>
      </w:r>
      <w:r>
        <w:rPr>
          <w:strike/>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strike/>
        </w:rPr>
        <w:t xml:space="preserve"> </w:t>
      </w:r>
      <w:r>
        <w:rPr>
          <w:strike/>
        </w:rPr>
        <w:t xml:space="preserve">(Perez &amp; Feeley, 2018)</w:t>
      </w:r>
      <w:r>
        <w:rPr>
          <w:strike/>
        </w:rPr>
        <w:t xml:space="preserve">.</w:t>
      </w:r>
    </w:p>
    <w:p>
      <w:pPr>
        <w:pStyle w:val="BodyText"/>
      </w:pPr>
      <w:r>
        <w:rPr>
          <w:strike/>
        </w:rPr>
        <w:t xml:space="preserve">While forest microclimates are insulated from macroclimatic extremes, they are still subjected to warming trends</w:t>
      </w:r>
      <w:r>
        <w:rPr>
          <w:strike/>
        </w:rPr>
        <w:t xml:space="preserve"> </w:t>
      </w:r>
      <w:r>
        <w:rPr>
          <w:strike/>
        </w:rPr>
        <w:t xml:space="preserve">(Bertrand</w:t>
      </w:r>
      <w:r>
        <w:rPr>
          <w:strike/>
        </w:rPr>
        <w:t xml:space="preserve"> </w:t>
      </w:r>
      <w:r>
        <w:rPr>
          <w:i/>
          <w:strike/>
        </w:rPr>
        <w:t xml:space="preserve">et al.</w:t>
      </w:r>
      <w:r>
        <w:rPr>
          <w:strike/>
        </w:rPr>
        <w:t xml:space="preserve">, 2020)</w:t>
      </w:r>
      <w:r>
        <w:rPr>
          <w:strike/>
        </w:rPr>
        <w:t xml:space="preserve">. Understories experience a distinct set of pressures as microclimatic warming combines with conditions of limited light and related foliar traits, inter-species resource competition, and herbivory</w:t>
      </w:r>
      <w:r>
        <w:rPr>
          <w:strike/>
        </w:rPr>
        <w:t xml:space="preserve"> </w:t>
      </w:r>
      <w:r>
        <w:rPr>
          <w:strike/>
        </w:rPr>
        <w:t xml:space="preserve">(Bartholomew</w:t>
      </w:r>
      <w:r>
        <w:rPr>
          <w:strike/>
        </w:rPr>
        <w:t xml:space="preserve"> </w:t>
      </w:r>
      <w:r>
        <w:rPr>
          <w:i/>
          <w:strike/>
        </w:rPr>
        <w:t xml:space="preserve">et al.</w:t>
      </w:r>
      <w:r>
        <w:rPr>
          <w:strike/>
        </w:rPr>
        <w:t xml:space="preserve">, 2020; Niinemets, 2010)</w:t>
      </w:r>
      <w:r>
        <w:rPr>
          <w:strike/>
        </w:rPr>
        <w:t xml:space="preserve">. Since temperature sensitivity is directly linked with plant metabolic processes and performance, even around 1 degree of warming can lead to changes in plant species composition and growth</w:t>
      </w:r>
      <w:r>
        <w:rPr>
          <w:strike/>
        </w:rPr>
        <w:t xml:space="preserve"> </w:t>
      </w:r>
      <w:r>
        <w:rPr>
          <w:strike/>
        </w:rPr>
        <w:t xml:space="preserve">(Bertrand</w:t>
      </w:r>
      <w:r>
        <w:rPr>
          <w:strike/>
        </w:rPr>
        <w:t xml:space="preserve"> </w:t>
      </w:r>
      <w:r>
        <w:rPr>
          <w:i/>
          <w:strike/>
        </w:rPr>
        <w:t xml:space="preserve">et al.</w:t>
      </w:r>
      <w:r>
        <w:rPr>
          <w:strike/>
        </w:rPr>
        <w:t xml:space="preserve">, 2011, 2020)</w:t>
      </w:r>
      <w:r>
        <w:rPr>
          <w:strike/>
        </w:rPr>
        <w:t xml:space="preserve">. Plant communities in forest microclimates are already undergoing thermophilization</w:t>
      </w:r>
      <w:r>
        <w:rPr>
          <w:strike/>
        </w:rPr>
        <w:t xml:space="preserve"> </w:t>
      </w:r>
      <w:r>
        <w:rPr>
          <w:strike/>
        </w:rPr>
        <w:t xml:space="preserve">(Zellweger</w:t>
      </w:r>
      <w:r>
        <w:rPr>
          <w:strike/>
        </w:rPr>
        <w:t xml:space="preserve"> </w:t>
      </w:r>
      <w:r>
        <w:rPr>
          <w:i/>
          <w:strike/>
        </w:rPr>
        <w:t xml:space="preserve">et al.</w:t>
      </w:r>
      <w:r>
        <w:rPr>
          <w:strike/>
        </w:rPr>
        <w:t xml:space="preserve">, 2019, 2020a; De Frenne</w:t>
      </w:r>
      <w:r>
        <w:rPr>
          <w:strike/>
        </w:rPr>
        <w:t xml:space="preserve"> </w:t>
      </w:r>
      <w:r>
        <w:rPr>
          <w:i/>
          <w:strike/>
        </w:rPr>
        <w:t xml:space="preserve">et al.</w:t>
      </w:r>
      <w:r>
        <w:rPr>
          <w:strike/>
        </w:rPr>
        <w:t xml:space="preserve">, 2013; Duque</w:t>
      </w:r>
      <w:r>
        <w:rPr>
          <w:strike/>
        </w:rPr>
        <w:t xml:space="preserve"> </w:t>
      </w:r>
      <w:r>
        <w:rPr>
          <w:i/>
          <w:strike/>
        </w:rPr>
        <w:t xml:space="preserve">et al.</w:t>
      </w:r>
      <w:r>
        <w:rPr>
          <w:strike/>
        </w:rPr>
        <w:t xml:space="preserve">, 2015)</w:t>
      </w:r>
      <w:r>
        <w:rPr>
          <w:strike/>
        </w:rPr>
        <w:t xml:space="preserve">. Tree-ring analysis in mesic temperate forests shows reduced growth of understory trees relative to overstory with warming temperatures</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In addition, understory growth phenology is more sensitive to warming than canopy– showing earlier spring onset and later autumn senescense</w:t>
      </w:r>
      <w:r>
        <w:rPr>
          <w:strike/>
        </w:rPr>
        <w:t xml:space="preserve"> </w:t>
      </w:r>
      <w:r>
        <w:rPr>
          <w:strike/>
        </w:rPr>
        <w:t xml:space="preserve">(Zohner &amp; Renner, 2019)</w:t>
      </w:r>
      <w:r>
        <w:rPr>
          <w:strike/>
        </w:rPr>
        <w:t xml:space="preserve">.</w:t>
      </w:r>
    </w:p>
    <w:p>
      <w:pPr>
        <w:pStyle w:val="BodyText"/>
      </w:pPr>
      <w:r>
        <w:rPr>
          <w:strike/>
        </w:rPr>
        <w:t xml:space="preserve">Microclimate warming has implications for forest regeneration</w:t>
      </w:r>
      <w:r>
        <w:rPr>
          <w:strike/>
        </w:rPr>
        <w:t xml:space="preserve"> </w:t>
      </w:r>
      <w:r>
        <w:rPr>
          <w:strike/>
        </w:rPr>
        <w:t xml:space="preserve">(von Arx</w:t>
      </w:r>
      <w:r>
        <w:rPr>
          <w:strike/>
        </w:rPr>
        <w:t xml:space="preserve"> </w:t>
      </w:r>
      <w:r>
        <w:rPr>
          <w:i/>
          <w:strike/>
        </w:rPr>
        <w:t xml:space="preserve">et al.</w:t>
      </w:r>
      <w:r>
        <w:rPr>
          <w:strike/>
        </w:rPr>
        <w:t xml:space="preserve">, 2012)</w:t>
      </w:r>
      <w:r>
        <w:rPr>
          <w:strike/>
        </w:rPr>
        <w:t xml:space="preserve">. Temperature driven photosynthesis limitation is reducing tree growth rates, accompanying a global trend towards more frequently disturbed forests dominanted by younger trees</w:t>
      </w:r>
      <w:r>
        <w:rPr>
          <w:strike/>
        </w:rPr>
        <w:t xml:space="preserve"> </w:t>
      </w:r>
      <w:r>
        <w:rPr>
          <w:strike/>
        </w:rPr>
        <w:t xml:space="preserve">(McDowell</w:t>
      </w:r>
      <w:r>
        <w:rPr>
          <w:strike/>
        </w:rPr>
        <w:t xml:space="preserve"> </w:t>
      </w:r>
      <w:r>
        <w:rPr>
          <w:i/>
          <w:strike/>
        </w:rPr>
        <w:t xml:space="preserve">et al.</w:t>
      </w:r>
      <w:r>
        <w:rPr>
          <w:strike/>
        </w:rPr>
        <w:t xml:space="preserve">, 2020)</w:t>
      </w:r>
      <w:r>
        <w:rPr>
          <w:strike/>
        </w:rPr>
        <w:t xml:space="preserve">. Reductions in canopy cover can lead to non-linear threshold responses, causing dramatic shifts from one forest state to another (e.g., transition from forest to savanna-like vegetation in tropical forest regions through</w:t>
      </w:r>
      <w:r>
        <w:rPr>
          <w:strike/>
        </w:rPr>
        <w:t xml:space="preserve"> </w:t>
      </w:r>
      <w:r>
        <w:rPr>
          <w:strike/>
        </w:rPr>
        <w:t xml:space="preserve">“</w:t>
      </w:r>
      <w:r>
        <w:rPr>
          <w:strike/>
        </w:rPr>
        <w:t xml:space="preserve">savannization</w:t>
      </w:r>
      <w:r>
        <w:rPr>
          <w:strike/>
        </w:rPr>
        <w:t xml:space="preserve">”</w:t>
      </w:r>
      <w:r>
        <w:rPr>
          <w:strike/>
        </w:rPr>
        <w:t xml:space="preserve">), with energy balance impacts and implications for forest-atmosphere interactions</w:t>
      </w:r>
      <w:r>
        <w:rPr>
          <w:strike/>
        </w:rPr>
        <w:t xml:space="preserve"> </w:t>
      </w:r>
      <w:r>
        <w:rPr>
          <w:strike/>
        </w:rPr>
        <w:t xml:space="preserve">(Stark</w:t>
      </w:r>
      <w:r>
        <w:rPr>
          <w:strike/>
        </w:rPr>
        <w:t xml:space="preserve"> </w:t>
      </w:r>
      <w:r>
        <w:rPr>
          <w:i/>
          <w:strike/>
        </w:rPr>
        <w:t xml:space="preserve">et al.</w:t>
      </w:r>
      <w:r>
        <w:rPr>
          <w:strike/>
        </w:rPr>
        <w:t xml:space="preserve">, 2020)</w:t>
      </w:r>
      <w:r>
        <w:rPr>
          <w:strike/>
        </w:rP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are still unclear. Thus, it is becoming important to understand foliage thermal sensitivity in forests along the vertical canopy profile, from the understory to the top of the canopy. This will provide a pathway for understanding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gradients vary along the vertical canopy profile, however our current knowledge of this topic is lacking.)</w:t>
      </w:r>
    </w:p>
    <w:p>
      <w:pPr>
        <w:pStyle w:val="BodyText"/>
      </w:pPr>
      <w:r>
        <w:rPr>
          <w:b/>
        </w:rPr>
        <w:t xml:space="preserve">Here we review biophysical and biological patterns across the vertical canopy gradient in forests, how these gradients affect leaf-level processes and, in turn, whole plant performance (Fig. 1), and the implications for understanding forest ecosystem responses and feedbacks to climate change .</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1"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top of the canopy) and associated microclimates, is in large part determined by the structure of the forest itself.</w:t>
      </w:r>
      <w:r>
        <w:t xml:space="preserve"> </w:t>
      </w:r>
      <w:r>
        <w:t xml:space="preserve">We supplement a review of the existing literature with a new analysis of data on vegetation structure and vertical microclimate profiles from the U.S. National Ecological Observatory Network [NEON; Appendix S1; Schimel et al. 2007].</w:t>
      </w:r>
    </w:p>
    <w:p>
      <w:pPr>
        <w:pStyle w:val="BodyText"/>
      </w:pPr>
      <w:r>
        <w:t xml:space="preserve">Canopy foliage, which varies across forest types and seasonality, strongly shapes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5">
        <w:r>
          <w:rPr>
            <w:rStyle w:val="Hyperlink"/>
            <w:i/>
          </w:rPr>
          <w:t xml:space="preserve">GitHub issue #15</w:t>
        </w:r>
      </w:hyperlink>
      <w:r>
        <w:rPr>
          <w:i/>
        </w:rPr>
        <w:t xml:space="preserve">)</w:t>
      </w:r>
      <w:r>
        <w:t xml:space="preserve"> </w:t>
      </w:r>
      <w:r>
        <w:t xml:space="preserve">The vertical structure and corresponding microenvironments of forest canopies vary seasonally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 and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In this review, we focus primarily on growing season conditions, including leaf phenology at the edges of the growing season, but excluding periods when no leaves are present in deciduous forests.</w:t>
      </w:r>
    </w:p>
    <w:p>
      <w:pPr>
        <w:pStyle w:val="BodyText"/>
      </w:pPr>
      <w:r>
        <w:t xml:space="preserve">Light conditions, specifically changes in photosynthetically active radiation (PAR), vary along the vertical gradient with leaf area index (LAI), canopy height, canopy structure, and across species and forest types</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(Elsa: or lower?)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p>
    <w:p>
      <w:pPr>
        <w:pStyle w:val="BodyText"/>
      </w:pPr>
      <w:r>
        <w:t xml:space="preserve">Given that differences are small during the day when photosynthesis is occuring,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p>
      <w:pPr>
        <w:pStyle w:val="BodyText"/>
      </w:pP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 Furthermore, increases in mortality of big trees (e.g. </w:t>
      </w:r>
      <w:r>
        <w:t xml:space="preserve">Senf</w:t>
      </w:r>
      <w:r>
        <w:t xml:space="preserve"> </w:t>
      </w:r>
      <w:r>
        <w:rPr>
          <w:i/>
        </w:rPr>
        <w:t xml:space="preserve">et al.</w:t>
      </w:r>
      <w:r>
        <w:t xml:space="preserve"> </w:t>
      </w:r>
      <w:r>
        <w:t xml:space="preserve">(2018)</w:t>
      </w:r>
      <w:r>
        <w:t xml:space="preserve">) would increase canopy roughness and prevent build-up of CO</w:t>
      </w:r>
      <w:r>
        <w:rPr>
          <w:vertAlign w:val="subscript"/>
        </w:rPr>
        <w:t xml:space="preserve">2</w:t>
      </w:r>
      <w:r>
        <w:t xml:space="preserve"> </w:t>
      </w:r>
      <w:r>
        <w:t xml:space="preserve">concentration gradients.</w:t>
      </w:r>
      <w:r>
        <w:t xml:space="preserve"> </w:t>
      </w:r>
      <w:r>
        <w:t xml:space="preserve">(Elsa: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7">
        <w:r>
          <w:rPr>
            <w:rStyle w:val="Hyperlink"/>
          </w:rPr>
          <w:t xml:space="preserve">issue 20</w:t>
        </w:r>
      </w:hyperlink>
      <w:r>
        <w:t xml:space="preserve">)</w:t>
      </w:r>
    </w:p>
    <w:p>
      <w:pPr>
        <w:pStyle w:val="BodyText"/>
      </w:pPr>
      <w:r>
        <w:rPr>
          <w:b/>
        </w:rP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8">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31."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9"/>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w:t>
      </w:r>
      <w:r>
        <w:t xml:space="preserve"> </w:t>
      </w:r>
      <w:hyperlink r:id="rId30">
        <w:r>
          <w:rPr>
            <w:rStyle w:val="Hyperlink"/>
          </w:rPr>
          <w:t xml:space="preserve">issue 31</w:t>
        </w:r>
      </w:hyperlink>
      <w:r>
        <w:t xml:space="preserve">.</w:t>
      </w:r>
    </w:p>
    <w:bookmarkEnd w:id="31"/>
    <w:bookmarkStart w:id="34" w:name="trait-variation"/>
    <w:p>
      <w:pPr>
        <w:pStyle w:val="Heading2"/>
      </w:pPr>
      <w:r>
        <w:t xml:space="preserve">Trait variation</w:t>
      </w:r>
    </w:p>
    <w:p>
      <w:pPr>
        <w:pStyle w:val="FirstParagraph"/>
      </w:pPr>
      <w:r>
        <w:t xml:space="preserve">Leaf traits co-vary with their environment</w:t>
      </w:r>
      <w:r>
        <w:t xml:space="preserve"> </w:t>
      </w:r>
      <w:r>
        <w:t xml:space="preserve">(Michaletz</w:t>
      </w:r>
      <w:r>
        <w:t xml:space="preserve"> </w:t>
      </w:r>
      <w:r>
        <w:rPr>
          <w:i/>
        </w:rPr>
        <w:t xml:space="preserve">et al.</w:t>
      </w:r>
      <w:r>
        <w:t xml:space="preserve">, 2016)</w:t>
      </w:r>
      <w:r>
        <w:t xml:space="preserve"> </w:t>
      </w:r>
      <w:r>
        <w:t xml:space="preserve">and show different degrees of intraspecific foliar plasticity in accordance with the intensity and availability of light, optimizing water uptake, heat, C uptake and metabolism across forest vertical strata</w:t>
      </w:r>
      <w:r>
        <w:t xml:space="preserve"> </w:t>
      </w:r>
      <w:r>
        <w:t xml:space="preserve">(Rozendaal</w:t>
      </w:r>
      <w:r>
        <w:t xml:space="preserve"> </w:t>
      </w:r>
      <w:r>
        <w:rPr>
          <w:i/>
        </w:rPr>
        <w:t xml:space="preserve">et al.</w:t>
      </w:r>
      <w:r>
        <w:t xml:space="preserve">, 2006)</w:t>
      </w:r>
      <w:r>
        <w:t xml:space="preserve">. 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t xml:space="preserve">(Elsa: it may also be worth mentioning leaf turnover / leaf longevity briefly in the above paragraph in the context of leaf development and trait formation.)</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p>
      <w:pPr>
        <w:pStyle w:val="BodyText"/>
      </w:pPr>
      <w:r>
        <w:t xml:space="preserve">Classification schemes for sun and shade tolerance rankings have been highlighted by multiple studies [Baker 1949;</w:t>
      </w:r>
      <w:r>
        <w:t xml:space="preserve"> </w:t>
      </w:r>
      <w:r>
        <w:t xml:space="preserve">Niinemets (2006)</w:t>
      </w:r>
      <w:r>
        <w:t xml:space="preserve">; Feng et al. 2018]. For example, classifications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w:t>
      </w:r>
    </w:p>
    <w:p>
      <w:pPr>
        <w:pStyle w:val="BodyText"/>
      </w:pPr>
      <w: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b/>
        </w:rPr>
        <w:t xml:space="preserve">Inter-species vertical gradient leaf trait variation</w:t>
      </w:r>
    </w:p>
    <w:p>
      <w:pPr>
        <w:pStyle w:val="BodyText"/>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rPr>
          <w:b/>
        </w:rPr>
        <w:t xml:space="preserve">Intra-canopy on the same species leaf trait variation</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3">
        <w:r>
          <w:rPr>
            <w:rStyle w:val="Hyperlink"/>
          </w:rPr>
          <w:t xml:space="preserve">https://onlinelibrary.wiley.com/doi/full/10.1111/pce.12857</w:t>
        </w:r>
      </w:hyperlink>
      <w:r>
        <w:t xml:space="preserve">)</w:t>
      </w:r>
    </w:p>
    <w:p>
      <w:pPr>
        <w:pStyle w:val="BodyText"/>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at a steady state, larger leaves with greater leaf width experience longer leaf cooling time and thus increased thermal time constant compared to leaves with smaller leaf width. Dissections in leaves, such as lobes, decrease leaf width and thus thermal time constant</w:t>
      </w:r>
      <w:r>
        <w:t xml:space="preserve"> </w:t>
      </w:r>
      <w:r>
        <w:t xml:space="preserve">(Leigh</w:t>
      </w:r>
      <w:r>
        <w:t xml:space="preserve"> </w:t>
      </w:r>
      <w:r>
        <w:rPr>
          <w:i/>
        </w:rPr>
        <w:t xml:space="preserve">et al.</w:t>
      </w:r>
      <w:r>
        <w:t xml:space="preserve">, 2017)</w:t>
      </w:r>
      <w:r>
        <w:t xml:space="preserve">. Additionally, a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p>
    <w:p>
      <w:pPr>
        <w:pStyle w:val="BodyText"/>
      </w:pPr>
      <w:r>
        <w:t xml:space="preserve">Tserej &amp; Feeley 2021 experimentally showed that the rate of leaf warming is negetively correlated with leaf water content per unit leaf area (Lawren mentioned in the meeting as well?)</w:t>
      </w:r>
    </w:p>
    <w:p>
      <w:pPr>
        <w:pStyle w:val="BodyText"/>
      </w:pP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5"/>
        </w:numPr>
        <w:pStyle w:val="Compact"/>
      </w:pPr>
      <w:r>
        <w:t xml:space="preserve">antioxidant scavenging function- protect against cellular damage</w:t>
      </w:r>
    </w:p>
    <w:p>
      <w:pPr>
        <w:numPr>
          <w:ilvl w:val="0"/>
          <w:numId w:val="1005"/>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6"/>
        </w:numPr>
        <w:pStyle w:val="Compact"/>
      </w:pPr>
      <w:r>
        <w:rPr>
          <w:i/>
        </w:rPr>
        <w:t xml:space="preserve">Are patterns (in traits, metabolism, ecology) driven by tree height or exposure?</w:t>
      </w:r>
    </w:p>
    <w:bookmarkEnd w:id="34"/>
    <w:bookmarkStart w:id="38" w:name="leaf-temperature-and-hydraulics"/>
    <w:p>
      <w:pPr>
        <w:pStyle w:val="Heading2"/>
      </w:pPr>
      <w:r>
        <w:t xml:space="preserve">Leaf temperature and hydraulics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4.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35"/>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4.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36">
        <w:r>
          <w:rPr>
            <w:rStyle w:val="Hyperlink"/>
          </w:rPr>
          <w:t xml:space="preserve">ISSUE #6</w:t>
        </w:r>
      </w:hyperlink>
      <w:r>
        <w:t xml:space="preserve">.</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7"/>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7">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8"/>
        </w:numPr>
        <w:pStyle w:val="Compact"/>
      </w:pPr>
      <w:r>
        <w:t xml:space="preserve">(Slot et al. 2019) and refs therein</w:t>
      </w:r>
    </w:p>
    <w:p>
      <w:pPr>
        <w:numPr>
          <w:ilvl w:val="0"/>
          <w:numId w:val="1008"/>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9"/>
        </w:numPr>
        <w:pStyle w:val="Compact"/>
      </w:pPr>
      <w:r>
        <w:t xml:space="preserve">Elsa: I came across these two studies that could be relevent in the evapotranspiration/temperature feedback section hinted at above:</w:t>
      </w:r>
    </w:p>
    <w:p>
      <w:pPr>
        <w:numPr>
          <w:ilvl w:val="0"/>
          <w:numId w:val="1009"/>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9"/>
        </w:numPr>
        <w:pStyle w:val="Compact"/>
      </w:pPr>
      <w:r>
        <w:t xml:space="preserve">Sellin, A. and Lubenets, K., 2010. Variation of transpiration within a canopy of silver birch: effect of canopy position and daily versus nightly water loss. Ecohydrology, 3(4), pp.467-477.</w:t>
      </w:r>
    </w:p>
    <w:bookmarkEnd w:id="38"/>
    <w:bookmarkStart w:id="42"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9"/>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40">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40">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41">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42"/>
    <w:bookmarkStart w:id="47" w:name="implications-for-ecology-demography"/>
    <w:p>
      <w:pPr>
        <w:pStyle w:val="Heading2"/>
      </w:pPr>
      <w:r>
        <w:t xml:space="preserve">Implications for ecology/ demography</w:t>
      </w:r>
    </w:p>
    <w:bookmarkStart w:id="43"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3"/>
    <w:bookmarkStart w:id="46"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44"/>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45">
        <w:r>
          <w:rPr>
            <w:rStyle w:val="Hyperlink"/>
          </w:rPr>
          <w:t xml:space="preserve">ISSUE # 29</w:t>
        </w:r>
      </w:hyperlink>
      <w:r>
        <w:t xml:space="preserve">.</w:t>
      </w:r>
    </w:p>
    <w:bookmarkEnd w:id="46"/>
    <w:bookmarkEnd w:id="47"/>
    <w:bookmarkStart w:id="49" w:name="Xe60e3a61b7b2e9abd8fe6c494a36108b87bace1"/>
    <w:p>
      <w:pPr>
        <w:pStyle w:val="Heading2"/>
      </w:pPr>
      <w:r>
        <w:t xml:space="preserve">Implications for Modeling / Scaling / Future Climate Projections</w:t>
      </w:r>
    </w:p>
    <w:p>
      <w:pPr>
        <w:pStyle w:val="FirstParagraph"/>
      </w:pPr>
      <w:r>
        <w:rPr>
          <w:i/>
        </w:rPr>
        <w:t xml:space="preserve">Ecosystem Scale Implications</w:t>
      </w:r>
      <w:r>
        <w:t xml:space="preserve"> </w:t>
      </w:r>
      <w:r>
        <w:t xml:space="preserve">(Elsa: I included info on ecosystem function here – e.g., transpiration, gpp)</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p>
      <w:pPr>
        <w:pStyle w:val="BodyText"/>
      </w:pPr>
      <w:r>
        <w:rPr>
          <w:i/>
        </w:rPr>
        <w:t xml:space="preserve">Representing Vertical Gradients in Models</w:t>
      </w:r>
      <w:r>
        <w:t xml:space="preserve"> </w:t>
      </w:r>
      <w:r>
        <w:t xml:space="preserve">[How do models currently integrate or not integrate these concepts and dynamics]</w:t>
      </w:r>
      <w:r>
        <w:t xml:space="preserve"> </w:t>
      </w:r>
      <w:r>
        <w:t xml:space="preserve">(</w:t>
      </w:r>
      <w:r>
        <w:t xml:space="preserve">(</w:t>
      </w:r>
      <w:r>
        <w:rPr>
          <w:b/>
        </w:rPr>
        <w:t xml:space="preserve">???</w:t>
      </w:r>
      <w:r>
        <w:t xml:space="preserve">)</w:t>
      </w:r>
      <w:r>
        <w:t xml:space="preserve"> </w:t>
      </w:r>
      <w:r>
        <w:t xml:space="preserve">&amp;</w:t>
      </w:r>
      <w:r>
        <w:t xml:space="preserve"> </w:t>
      </w:r>
      <w:r>
        <w:t xml:space="preserve">(</w:t>
      </w:r>
      <w:r>
        <w:rPr>
          <w:b/>
        </w:rPr>
        <w:t xml:space="preserve">???</w:t>
      </w:r>
      <w:r>
        <w:t xml:space="preserve">)</w:t>
      </w:r>
      <w: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p>
      <w:pPr>
        <w:pStyle w:val="BodyText"/>
      </w:pPr>
      <w:r>
        <w:rPr>
          <w:i/>
        </w:rPr>
        <w:t xml:space="preserve">Knowledge Gaps &amp; Future Research</w:t>
      </w:r>
      <w:r>
        <w:t xml:space="preserve"> </w:t>
      </w:r>
      <w:r>
        <w:t xml:space="preserve">- What do [current model abilities or inabilities to integrate these concepts] mean for about ability to predict/understand how forest ecosystems will respond in the future?</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Not sure where this section should go</w:t>
      </w:r>
    </w:p>
    <w:bookmarkStart w:id="48" w:name="X81231cce53188fe35f6d56730db0dc994d0c1d7"/>
    <w:p>
      <w:pPr>
        <w:pStyle w:val="Heading3"/>
      </w:pPr>
      <w:r>
        <w:t xml:space="preserve">Implications for climate change responses</w:t>
      </w:r>
    </w:p>
    <w:p>
      <w:pPr>
        <w:numPr>
          <w:ilvl w:val="0"/>
          <w:numId w:val="1010"/>
        </w:numPr>
      </w:pPr>
      <w:r>
        <w:t xml:space="preserve">CO2 may lead to denser understory (Martijn)</w:t>
      </w:r>
    </w:p>
    <w:p>
      <w:pPr>
        <w:numPr>
          <w:ilvl w:val="0"/>
          <w:numId w:val="1010"/>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8"/>
    <w:bookmarkEnd w:id="49"/>
    <w:bookmarkStart w:id="50" w:name="conclusions"/>
    <w:p>
      <w:pPr>
        <w:pStyle w:val="Heading2"/>
      </w:pPr>
      <w:r>
        <w:t xml:space="preserve">Conclusions</w:t>
      </w:r>
    </w:p>
    <w:bookmarkEnd w:id="50"/>
    <w:bookmarkStart w:id="51"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51"/>
    <w:bookmarkStart w:id="146" w:name="references"/>
    <w:p>
      <w:pPr>
        <w:pStyle w:val="Heading2"/>
      </w:pPr>
      <w:r>
        <w:t xml:space="preserve">References</w:t>
      </w:r>
    </w:p>
    <w:bookmarkStart w:id="145" w:name="refs"/>
    <w:bookmarkStart w:id="52"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52"/>
    <w:bookmarkStart w:id="53"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3"/>
    <w:bookmarkStart w:id="54"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4"/>
    <w:bookmarkStart w:id="55"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5"/>
    <w:bookmarkStart w:id="56"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6"/>
    <w:bookmarkStart w:id="57"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7"/>
    <w:bookmarkStart w:id="58"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8"/>
    <w:bookmarkStart w:id="59"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9"/>
    <w:bookmarkStart w:id="60"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60"/>
    <w:bookmarkStart w:id="61"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61"/>
    <w:bookmarkStart w:id="62"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62"/>
    <w:bookmarkStart w:id="6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63"/>
    <w:bookmarkStart w:id="64"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64"/>
    <w:bookmarkStart w:id="65"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5"/>
    <w:bookmarkStart w:id="66"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6"/>
    <w:bookmarkStart w:id="67"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7"/>
    <w:bookmarkStart w:id="68"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68"/>
    <w:bookmarkStart w:id="69"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69"/>
    <w:bookmarkStart w:id="70"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70"/>
    <w:bookmarkStart w:id="71"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71"/>
    <w:bookmarkStart w:id="72"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72"/>
    <w:bookmarkStart w:id="73"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73"/>
    <w:bookmarkStart w:id="74"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74"/>
    <w:bookmarkStart w:id="75"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75"/>
    <w:bookmarkStart w:id="76"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76"/>
    <w:bookmarkStart w:id="77"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77"/>
    <w:bookmarkStart w:id="78"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8"/>
    <w:bookmarkStart w:id="79"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9"/>
    <w:bookmarkStart w:id="80"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80"/>
    <w:bookmarkStart w:id="81"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81"/>
    <w:bookmarkStart w:id="82"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82"/>
    <w:bookmarkStart w:id="83"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83"/>
    <w:bookmarkStart w:id="84"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84"/>
    <w:bookmarkStart w:id="85"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85"/>
    <w:bookmarkStart w:id="86"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86"/>
    <w:bookmarkStart w:id="87"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87"/>
    <w:bookmarkStart w:id="88"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88"/>
    <w:bookmarkStart w:id="89"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89"/>
    <w:bookmarkStart w:id="90"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90"/>
    <w:bookmarkStart w:id="91"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91"/>
    <w:bookmarkStart w:id="92"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2"/>
    <w:bookmarkStart w:id="93"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3"/>
    <w:bookmarkStart w:id="94"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94"/>
    <w:bookmarkStart w:id="95"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95"/>
    <w:bookmarkStart w:id="96"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96"/>
    <w:bookmarkStart w:id="97"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97"/>
    <w:bookmarkStart w:id="98"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98"/>
    <w:bookmarkStart w:id="99"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99"/>
    <w:bookmarkStart w:id="100"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00"/>
    <w:bookmarkStart w:id="101"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01"/>
    <w:bookmarkStart w:id="102"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02"/>
    <w:bookmarkStart w:id="103"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03"/>
    <w:bookmarkStart w:id="104"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04"/>
    <w:bookmarkStart w:id="105"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05"/>
    <w:bookmarkStart w:id="106"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06"/>
    <w:bookmarkStart w:id="107"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07"/>
    <w:bookmarkStart w:id="108"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08"/>
    <w:bookmarkStart w:id="109"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09"/>
    <w:bookmarkStart w:id="110"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10"/>
    <w:bookmarkStart w:id="111"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11"/>
    <w:bookmarkStart w:id="112"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12"/>
    <w:bookmarkStart w:id="113"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13"/>
    <w:bookmarkStart w:id="114"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14"/>
    <w:bookmarkStart w:id="115"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15"/>
    <w:bookmarkStart w:id="116"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16"/>
    <w:bookmarkStart w:id="117"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17"/>
    <w:bookmarkStart w:id="118"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18"/>
    <w:bookmarkStart w:id="119"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19"/>
    <w:bookmarkStart w:id="120"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20"/>
    <w:bookmarkStart w:id="121"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21"/>
    <w:bookmarkStart w:id="122"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22"/>
    <w:bookmarkStart w:id="123"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23"/>
    <w:bookmarkStart w:id="124"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24"/>
    <w:bookmarkStart w:id="125"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25"/>
    <w:bookmarkStart w:id="126"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26"/>
    <w:bookmarkStart w:id="127"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27"/>
    <w:bookmarkStart w:id="128"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28"/>
    <w:bookmarkStart w:id="129"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29"/>
    <w:bookmarkStart w:id="130"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30"/>
    <w:bookmarkStart w:id="131"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31"/>
    <w:bookmarkStart w:id="132"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32"/>
    <w:bookmarkStart w:id="133"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33"/>
    <w:bookmarkStart w:id="134"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34"/>
    <w:bookmarkStart w:id="135"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35"/>
    <w:bookmarkStart w:id="136"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36"/>
    <w:bookmarkStart w:id="137"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37"/>
    <w:bookmarkStart w:id="138"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38"/>
    <w:bookmarkStart w:id="139"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39"/>
    <w:bookmarkStart w:id="140"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40"/>
    <w:bookmarkStart w:id="141"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41"/>
    <w:bookmarkStart w:id="142"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42"/>
    <w:bookmarkStart w:id="143"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43"/>
    <w:bookmarkStart w:id="144"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hyperlink" Id="rId36" Target="2020_12_draft" TargetMode="External" /><Relationship Type="http://schemas.openxmlformats.org/officeDocument/2006/relationships/hyperlink" Id="rId37" Target="http://dx.doi.org/10.1016/j.tree.2015.09.006" TargetMode="External" /><Relationship Type="http://schemas.openxmlformats.org/officeDocument/2006/relationships/hyperlink" Id="rId28" Target="https://doi.org/10.1016/S0065-2504(08)60119-1%22-M.Slot" TargetMode="External" /><Relationship Type="http://schemas.openxmlformats.org/officeDocument/2006/relationships/hyperlink" Id="rId41"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45" Target="https://github.com/EcoClimLab/vertical-thermal-review/issues/29" TargetMode="External" /><Relationship Type="http://schemas.openxmlformats.org/officeDocument/2006/relationships/hyperlink" Id="rId30" Target="https://github.com/EcoClimLab/vertical-thermal-review/issues/31" TargetMode="External" /><Relationship Type="http://schemas.openxmlformats.org/officeDocument/2006/relationships/hyperlink" Id="rId40" Target="https://github.com/EcoClimLab/vertical-thermal-review/issues/8" TargetMode="External" /><Relationship Type="http://schemas.openxmlformats.org/officeDocument/2006/relationships/hyperlink" Id="rId33"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6" Target="2020_12_draft" TargetMode="External" /><Relationship Type="http://schemas.openxmlformats.org/officeDocument/2006/relationships/hyperlink" Id="rId37" Target="http://dx.doi.org/10.1016/j.tree.2015.09.006" TargetMode="External" /><Relationship Type="http://schemas.openxmlformats.org/officeDocument/2006/relationships/hyperlink" Id="rId28" Target="https://doi.org/10.1016/S0065-2504(08)60119-1%22-M.Slot" TargetMode="External" /><Relationship Type="http://schemas.openxmlformats.org/officeDocument/2006/relationships/hyperlink" Id="rId41"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45" Target="https://github.com/EcoClimLab/vertical-thermal-review/issues/29" TargetMode="External" /><Relationship Type="http://schemas.openxmlformats.org/officeDocument/2006/relationships/hyperlink" Id="rId30" Target="https://github.com/EcoClimLab/vertical-thermal-review/issues/31" TargetMode="External" /><Relationship Type="http://schemas.openxmlformats.org/officeDocument/2006/relationships/hyperlink" Id="rId40" Target="https://github.com/EcoClimLab/vertical-thermal-review/issues/8" TargetMode="External" /><Relationship Type="http://schemas.openxmlformats.org/officeDocument/2006/relationships/hyperlink" Id="rId33"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2021-01-27T13:00:56Z</dcterms:created>
  <dcterms:modified xsi:type="dcterms:W3CDTF">2021-01-27T13:00:56Z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