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5.png" ContentType="image/png"/>
  <Override PartName="/word/media/rId52.png" ContentType="image/png"/>
  <Override PartName="/word/media/rId30.png" ContentType="image/png"/>
  <Override PartName="/word/media/rId37.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497</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(200 word limit, no bullet points )</w:t>
      </w:r>
    </w:p>
    <w:p>
      <w:pPr>
        <w:pStyle w:val="BodyText"/>
      </w:pPr>
      <w:r>
        <w:t xml:space="preserve">Clean version implementing the changes below (198 words):</w:t>
      </w:r>
    </w:p>
    <w:p>
      <w:pPr>
        <w:pStyle w:val="BodyText"/>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w:t>
      </w:r>
      <w:r>
        <w:t xml:space="preserve"> </w:t>
      </w:r>
      <m:oMath>
        <m:sSup>
          <m:e>
            <m:r>
              <m:t>1.2</m:t>
            </m:r>
          </m:e>
          <m:sup>
            <m:r>
              <m:rPr>
                <m:sty m:val="p"/>
              </m:rPr>
              <m:t>∘</m:t>
            </m:r>
          </m:sup>
        </m:sSup>
      </m:oMath>
      <w:r>
        <w:t xml:space="preserve">C since 1900</w:t>
      </w:r>
      <w:r>
        <w:t xml:space="preserve"> </w:t>
      </w:r>
      <w:r>
        <w:t xml:space="preserve">(Rohde &amp; Hausfather, 2020)</w:t>
      </w:r>
      <w:r>
        <w:t xml:space="preserve"> </w:t>
      </w:r>
      <w:r>
        <w:t xml:space="preserve">and are expected to reach or even exceed an average of</w:t>
      </w:r>
      <w:r>
        <w:t xml:space="preserve"> </w:t>
      </w:r>
      <m:oMath>
        <m:sSup>
          <m:e>
            <m:r>
              <m:t>1.5</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(Rollinson</w:t>
      </w:r>
      <w:r>
        <w:t xml:space="preserve"> </w:t>
      </w:r>
      <w:r>
        <w:rPr>
          <w:iCs/>
          <w:i/>
        </w:rPr>
        <w:t xml:space="preserve">et al.</w:t>
      </w:r>
      <w:r>
        <w:t xml:space="preserve">, 2020; McDowell</w:t>
      </w:r>
      <w:r>
        <w:t xml:space="preserve"> </w:t>
      </w:r>
      <w:r>
        <w:rPr>
          <w:iCs/>
          <w:i/>
        </w:rPr>
        <w:t xml:space="preserve">et al.</w:t>
      </w:r>
      <w:r>
        <w:t xml:space="preserve">, 2020; Breshears</w:t>
      </w:r>
      <w:r>
        <w:t xml:space="preserve"> </w:t>
      </w:r>
      <w:r>
        <w:rPr>
          <w:iCs/>
          <w:i/>
        </w:rPr>
        <w:t xml:space="preserve">et al.</w:t>
      </w:r>
      <w:r>
        <w:t xml:space="preserve">, 2021)</w:t>
      </w:r>
      <w:r>
        <w:t xml:space="preserve">. Collectively, these impacts may lead to reduction of forest carbon sequestration, as has already occurred in some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rPr>
          <w:bCs/>
          <w:b/>
        </w:rPr>
        <w:t xml:space="preserve">A great measure of uncertainity arises due to the differential impacts of rising temperatures on trees of differential size and canopy position, especially as small understory trees exist in microenvironments that are substantially buffered by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2019a;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containg trees of different sizes along various successional stages.</w:t>
      </w:r>
      <w:r>
        <w:t xml:space="preserve"> </w:t>
      </w:r>
      <w:r>
        <w:t xml:space="preserve">Overstory canopies play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 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rPr>
          <w:bCs/>
          <w:b/>
        </w:rP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rPr>
          <w:iCs/>
          <w:i/>
        </w:rP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w:t>
      </w:r>
      <w:r>
        <w:t xml:space="preserve"> </w:t>
      </w:r>
      <w:r>
        <w:t xml:space="preserve">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6"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rPr>
          <w:bCs/>
          <w:b/>
        </w:rP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w:t>
      </w:r>
      <w:r>
        <w:t xml:space="preserve"> </w:t>
      </w:r>
      <w:r>
        <w:t xml:space="preserve">(NEON; Fig. 2, Supporting Information Figure S1; Supporting Information Methods S1, Schimel</w:t>
      </w:r>
      <w:r>
        <w:t xml:space="preserve"> </w:t>
      </w:r>
      <w:r>
        <w:rPr>
          <w:iCs/>
          <w:i/>
        </w:rPr>
        <w:t xml:space="preserve">et al.</w:t>
      </w:r>
      <w:r>
        <w:t xml:space="preserve">, 2007)</w:t>
      </w:r>
      <w:r>
        <w:t xml:space="preserve">.</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with contrasting forest structures in the National Ecological Observatory Network (NEON).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 T_{air}, and (h) maximum biological temperature, T_{bio}.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with contrasting forest structures in the National Ecological Observatory Network (NEON)</w:t>
      </w:r>
      <w:r>
        <w:t xml:space="preserve">.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w:t>
      </w:r>
    </w:p>
    <w:p>
      <w:pPr>
        <w:pStyle w:val="BodyText"/>
      </w:pPr>
      <w:r>
        <w:rPr>
          <w:bCs/>
          <w:b/>
        </w:rP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Foliage distribution within a forest is determined by the distribution of tree sizes and tree architecture, along the vertical gradient by leaf area density (LAD;</w:t>
      </w:r>
      <w:r>
        <w:t xml:space="preserve"> </w:t>
      </w:r>
      <w:r>
        <w:rPr>
          <w:iCs/>
          <w:i/>
        </w:rPr>
        <w:t xml:space="preserve">i.e.</w:t>
      </w:r>
      <w:r>
        <w:t xml:space="preserve">, leaf area per unit volume) patterns that are heterogeneous across forests (Fig. 2a-b, Supporting Information Figure S1).</w:t>
      </w:r>
      <w:r>
        <w:t xml:space="preserve"> </w:t>
      </w:r>
      <w:r>
        <w:t xml:space="preserve">Dense canopy forests composed of broadleaf trees can have high LAD in the upper canopy layers, as well as in the understory (e.g., SCBI, SERC and HARV, Fig. 2a) – a pattern also common in tropical forests</w:t>
      </w:r>
      <w:r>
        <w:t xml:space="preserve"> </w:t>
      </w:r>
      <w:r>
        <w:t xml:space="preserve">(Ashton &amp; Hall, 1992; Koike &amp; Syahbuddin, 1993)</w:t>
      </w:r>
      <w:r>
        <w:t xml:space="preserve">.</w:t>
      </w:r>
      <w:r>
        <w:t xml:space="preserve"> </w:t>
      </w:r>
      <w:r>
        <w:t xml:space="preserve">In temperate forests, although LAD is generally more concentrated in the upper-canopy, undualting patterns are formed by conifers and top- vs. bottom-heavy foliage trees, and sometimes by dense understories</w:t>
      </w:r>
      <w:r>
        <w:t xml:space="preserve"> </w:t>
      </w:r>
      <w:r>
        <w:t xml:space="preserve">(Terborgh, 1985; e.g., SCBI, Fig. 2a, Parker</w:t>
      </w:r>
      <w:r>
        <w:t xml:space="preserve"> </w:t>
      </w:r>
      <w:r>
        <w:rPr>
          <w:iCs/>
          <w:i/>
        </w:rPr>
        <w:t xml:space="preserve">et al.</w:t>
      </w:r>
      <w:r>
        <w:t xml:space="preserve">, 1989, 2002; Ishii</w:t>
      </w:r>
      <w:r>
        <w:t xml:space="preserve"> </w:t>
      </w:r>
      <w:r>
        <w:rPr>
          <w:iCs/>
          <w:i/>
        </w:rPr>
        <w:t xml:space="preserve">et al.</w:t>
      </w:r>
      <w: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5"/>
    <w:bookmarkStart w:id="29"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Model parameters for biophysical conditions are given in Supplementary Information Table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 Model parameters for biophysical conditions are given in Supplementary Information Table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6"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4"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pPr>
        <w:pStyle w:val="CaptionedFigure"/>
      </w:pPr>
      <w:r>
        <w:drawing>
          <wp:inline>
            <wp:extent cx="5334000" cy="6803770"/>
            <wp:effectExtent b="0" l="0" r="0" t="0"/>
            <wp:docPr descr="Table 1. Studies listed here were compiled using a systematic review process, as described in Supplementary Information Methods S3.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Studies listed here were compiled using a systematic review process, as described in Supplementary Information Methods S3. (</w:t>
      </w:r>
      <w:r>
        <w:rPr>
          <w:iCs/>
          <w:i/>
        </w:rPr>
        <w:t xml:space="preserve">For latest version of table, see tables.pdf.</w:t>
      </w:r>
      <w:r>
        <w:t xml:space="preserve">)</w:t>
      </w:r>
    </w:p>
    <w:bookmarkStart w:id="31"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1"/>
    <w:bookmarkStart w:id="32"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2"/>
    <w:bookmarkStart w:id="33"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3"/>
    <w:bookmarkEnd w:id="34"/>
    <w:bookmarkStart w:id="35"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5"/>
    <w:bookmarkEnd w:id="36"/>
    <w:bookmarkStart w:id="42"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pPr>
        <w:pStyle w:val="CaptionedFigure"/>
      </w:pPr>
      <w:r>
        <w:drawing>
          <wp:inline>
            <wp:extent cx="5334000" cy="5655648"/>
            <wp:effectExtent b="0" l="0" r="0" t="0"/>
            <wp:docPr descr="Table 2. Studies listed here were compiled using a systematic review process, as described in Supplementary Information Methods S3.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Studies listed here were compiled using a systematic review process, as described in Supplementary Information Methods S3. (</w:t>
      </w:r>
      <w:r>
        <w:rPr>
          <w:iCs/>
          <w:i/>
        </w:rPr>
        <w:t xml:space="preserve">For latest version of table, see tables.pdf.</w:t>
      </w:r>
      <w:r>
        <w:t xml:space="preserve">)</w:t>
      </w:r>
    </w:p>
    <w:bookmarkStart w:id="38"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38"/>
    <w:bookmarkStart w:id="39"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39"/>
    <w:bookmarkStart w:id="40"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0"/>
    <w:bookmarkStart w:id="41"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1"/>
    <w:bookmarkEnd w:id="42"/>
    <w:bookmarkStart w:id="47"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4"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3"/>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4"/>
    <w:bookmarkStart w:id="46"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5"/>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6"/>
    <w:bookmarkEnd w:id="47"/>
    <w:bookmarkStart w:id="48" w:name="implications-future-research-directions"/>
    <w:p>
      <w:pPr>
        <w:pStyle w:val="Heading2"/>
      </w:pPr>
      <w:r>
        <w:t xml:space="preserve">Implications [ &amp; future research directions?]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48"/>
    <w:bookmarkStart w:id="51"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49"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 [McDowell et al. 2018; REFS] 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49"/>
    <w:bookmarkStart w:id="50"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This buffering is influenced by hydrology, as wetter sites and seasons allow for denser, and more buffered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0"/>
    <w:bookmarkEnd w:id="51"/>
    <w:bookmarkStart w:id="54" w:name="scaling-across-space-and-time"/>
    <w:p>
      <w:pPr>
        <w:pStyle w:val="Heading2"/>
      </w:pPr>
      <w:r>
        <w:t xml:space="preserve">Scaling across space and time</w:t>
      </w:r>
    </w:p>
    <w:bookmarkStart w:id="53"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2"/>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3"/>
    <w:bookmarkEnd w:id="54"/>
    <w:bookmarkStart w:id="55"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5"/>
    <w:bookmarkStart w:id="56"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56"/>
    <w:bookmarkStart w:id="57"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Table S2. (Tealeaves parameters)</w:t>
      </w:r>
    </w:p>
    <w:p>
      <w:pPr>
        <w:pStyle w:val="BodyText"/>
      </w:pPr>
      <w:r>
        <w:t xml:space="preserve">Figure S1. Vertical gradients in micrometeorological conditions for all forested sites in the National Ecological Observatory Network (NEON)</w:t>
      </w:r>
    </w:p>
    <w:p>
      <w:r>
        <w:br w:type="page"/>
      </w:r>
    </w:p>
    <w:bookmarkEnd w:id="57"/>
    <w:bookmarkStart w:id="325" w:name="references"/>
    <w:p>
      <w:pPr>
        <w:pStyle w:val="Heading2"/>
      </w:pPr>
      <w:r>
        <w:t xml:space="preserve">References</w:t>
      </w:r>
    </w:p>
    <w:bookmarkStart w:id="324" w:name="refs"/>
    <w:bookmarkStart w:id="58"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58"/>
    <w:bookmarkStart w:id="59"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59"/>
    <w:bookmarkStart w:id="60"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0"/>
    <w:bookmarkStart w:id="61"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1"/>
    <w:bookmarkStart w:id="62"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2"/>
    <w:bookmarkStart w:id="63"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3"/>
    <w:bookmarkStart w:id="64"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4"/>
    <w:bookmarkStart w:id="65"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5"/>
    <w:bookmarkStart w:id="66"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6"/>
    <w:bookmarkStart w:id="67"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67"/>
    <w:bookmarkStart w:id="68"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68"/>
    <w:bookmarkStart w:id="69"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69"/>
    <w:bookmarkStart w:id="70"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0"/>
    <w:bookmarkStart w:id="71"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1"/>
    <w:bookmarkStart w:id="72"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2"/>
    <w:bookmarkStart w:id="73"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3"/>
    <w:bookmarkStart w:id="74"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4"/>
    <w:bookmarkStart w:id="75"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5"/>
    <w:bookmarkStart w:id="76"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6"/>
    <w:bookmarkStart w:id="77"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77"/>
    <w:bookmarkStart w:id="78"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78"/>
    <w:bookmarkStart w:id="79"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79"/>
    <w:bookmarkStart w:id="80"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0"/>
    <w:bookmarkStart w:id="81"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1"/>
    <w:bookmarkStart w:id="82"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2"/>
    <w:bookmarkStart w:id="83"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3"/>
    <w:bookmarkStart w:id="84"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4"/>
    <w:bookmarkStart w:id="85"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5"/>
    <w:bookmarkStart w:id="86"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6"/>
    <w:bookmarkStart w:id="87"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87"/>
    <w:bookmarkStart w:id="88"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88"/>
    <w:bookmarkStart w:id="89"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89"/>
    <w:bookmarkStart w:id="90"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0"/>
    <w:bookmarkStart w:id="91"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1"/>
    <w:bookmarkStart w:id="92"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2"/>
    <w:bookmarkStart w:id="93"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3"/>
    <w:bookmarkStart w:id="94"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4"/>
    <w:bookmarkStart w:id="95"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5"/>
    <w:bookmarkStart w:id="96"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6"/>
    <w:bookmarkStart w:id="97"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97"/>
    <w:bookmarkStart w:id="98"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98"/>
    <w:bookmarkStart w:id="99"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99"/>
    <w:bookmarkStart w:id="100"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0"/>
    <w:bookmarkStart w:id="101"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1"/>
    <w:bookmarkStart w:id="102"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2"/>
    <w:bookmarkStart w:id="103"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3"/>
    <w:bookmarkStart w:id="104"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4"/>
    <w:bookmarkStart w:id="105"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5"/>
    <w:bookmarkStart w:id="106"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06"/>
    <w:bookmarkStart w:id="107"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07"/>
    <w:bookmarkStart w:id="108"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08"/>
    <w:bookmarkStart w:id="109"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09"/>
    <w:bookmarkStart w:id="110"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0"/>
    <w:bookmarkStart w:id="111"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1"/>
    <w:bookmarkStart w:id="112"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2"/>
    <w:bookmarkStart w:id="113"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3"/>
    <w:bookmarkStart w:id="114"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4"/>
    <w:bookmarkStart w:id="115"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5"/>
    <w:bookmarkStart w:id="116"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16"/>
    <w:bookmarkStart w:id="117"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17"/>
    <w:bookmarkStart w:id="118"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18"/>
    <w:bookmarkStart w:id="119"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19"/>
    <w:bookmarkStart w:id="120"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0"/>
    <w:bookmarkStart w:id="121"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1"/>
    <w:bookmarkStart w:id="122"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2"/>
    <w:bookmarkStart w:id="123"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3"/>
    <w:bookmarkStart w:id="124"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4"/>
    <w:bookmarkStart w:id="125"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5"/>
    <w:bookmarkStart w:id="126"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26"/>
    <w:bookmarkStart w:id="127"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27"/>
    <w:bookmarkStart w:id="128"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28"/>
    <w:bookmarkStart w:id="129"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29"/>
    <w:bookmarkStart w:id="130"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0"/>
    <w:bookmarkStart w:id="131"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1"/>
    <w:bookmarkStart w:id="132"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2"/>
    <w:bookmarkStart w:id="133"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3"/>
    <w:bookmarkStart w:id="134"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4"/>
    <w:bookmarkStart w:id="135"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5"/>
    <w:bookmarkStart w:id="136"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36"/>
    <w:bookmarkStart w:id="137"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37"/>
    <w:bookmarkStart w:id="138"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38"/>
    <w:bookmarkStart w:id="139"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39"/>
    <w:bookmarkStart w:id="140"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0"/>
    <w:bookmarkStart w:id="141"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1"/>
    <w:bookmarkStart w:id="142"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2"/>
    <w:bookmarkStart w:id="143"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3"/>
    <w:bookmarkStart w:id="144"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4"/>
    <w:bookmarkStart w:id="145"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5"/>
    <w:bookmarkStart w:id="146"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46"/>
    <w:bookmarkStart w:id="147"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47"/>
    <w:bookmarkStart w:id="148"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48"/>
    <w:bookmarkStart w:id="149"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49"/>
    <w:bookmarkStart w:id="150"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0"/>
    <w:bookmarkStart w:id="151"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1"/>
    <w:bookmarkStart w:id="152"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2"/>
    <w:bookmarkStart w:id="153"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3"/>
    <w:bookmarkStart w:id="154"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4"/>
    <w:bookmarkStart w:id="155"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5"/>
    <w:bookmarkStart w:id="156"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6"/>
    <w:bookmarkStart w:id="157"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57"/>
    <w:bookmarkStart w:id="158"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58"/>
    <w:bookmarkStart w:id="159"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59"/>
    <w:bookmarkStart w:id="160"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0"/>
    <w:bookmarkStart w:id="161"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1"/>
    <w:bookmarkStart w:id="162"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2"/>
    <w:bookmarkStart w:id="163"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3"/>
    <w:bookmarkStart w:id="164"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4"/>
    <w:bookmarkStart w:id="165"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5"/>
    <w:bookmarkStart w:id="166"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6"/>
    <w:bookmarkStart w:id="167"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67"/>
    <w:bookmarkStart w:id="168"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68"/>
    <w:bookmarkStart w:id="169"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69"/>
    <w:bookmarkStart w:id="170"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0"/>
    <w:bookmarkStart w:id="171"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1"/>
    <w:bookmarkStart w:id="172"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2"/>
    <w:bookmarkStart w:id="173"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3"/>
    <w:bookmarkStart w:id="174"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4"/>
    <w:bookmarkStart w:id="175"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5"/>
    <w:bookmarkStart w:id="176"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6"/>
    <w:bookmarkStart w:id="177"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77"/>
    <w:bookmarkStart w:id="178"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78"/>
    <w:bookmarkStart w:id="179"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79"/>
    <w:bookmarkStart w:id="180"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0"/>
    <w:bookmarkStart w:id="181"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1"/>
    <w:bookmarkStart w:id="182"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2"/>
    <w:bookmarkStart w:id="183"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3"/>
    <w:bookmarkStart w:id="184"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4"/>
    <w:bookmarkStart w:id="185"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5"/>
    <w:bookmarkStart w:id="186"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6"/>
    <w:bookmarkStart w:id="187"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87"/>
    <w:bookmarkStart w:id="188"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88"/>
    <w:bookmarkStart w:id="189"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89"/>
    <w:bookmarkStart w:id="190"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0"/>
    <w:bookmarkStart w:id="191"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1"/>
    <w:bookmarkStart w:id="192"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2"/>
    <w:bookmarkStart w:id="193"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3"/>
    <w:bookmarkStart w:id="194"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4"/>
    <w:bookmarkStart w:id="195"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5"/>
    <w:bookmarkStart w:id="196"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196"/>
    <w:bookmarkStart w:id="197"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197"/>
    <w:bookmarkStart w:id="198"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198"/>
    <w:bookmarkStart w:id="199"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199"/>
    <w:bookmarkStart w:id="200"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0"/>
    <w:bookmarkStart w:id="201"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1"/>
    <w:bookmarkStart w:id="202"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2"/>
    <w:bookmarkStart w:id="203"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3"/>
    <w:bookmarkStart w:id="204"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4"/>
    <w:bookmarkStart w:id="205"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5"/>
    <w:bookmarkStart w:id="206"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06"/>
    <w:bookmarkStart w:id="207"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07"/>
    <w:bookmarkStart w:id="208"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08"/>
    <w:bookmarkStart w:id="209"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09"/>
    <w:bookmarkStart w:id="210"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0"/>
    <w:bookmarkStart w:id="211"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1"/>
    <w:bookmarkStart w:id="212"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2"/>
    <w:bookmarkStart w:id="213"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3"/>
    <w:bookmarkStart w:id="214"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4"/>
    <w:bookmarkStart w:id="215"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5"/>
    <w:bookmarkStart w:id="216"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16"/>
    <w:bookmarkStart w:id="217"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17"/>
    <w:bookmarkStart w:id="218"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18"/>
    <w:bookmarkStart w:id="219"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19"/>
    <w:bookmarkStart w:id="220"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0"/>
    <w:bookmarkStart w:id="221"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1"/>
    <w:bookmarkStart w:id="222"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2"/>
    <w:bookmarkStart w:id="223"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3"/>
    <w:bookmarkStart w:id="224"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4"/>
    <w:bookmarkStart w:id="225"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5"/>
    <w:bookmarkStart w:id="226"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6"/>
    <w:bookmarkStart w:id="227"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27"/>
    <w:bookmarkStart w:id="228"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28"/>
    <w:bookmarkStart w:id="229"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29"/>
    <w:bookmarkStart w:id="230"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0"/>
    <w:bookmarkStart w:id="231"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1"/>
    <w:bookmarkStart w:id="232"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2"/>
    <w:bookmarkStart w:id="233"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3"/>
    <w:bookmarkStart w:id="234"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4"/>
    <w:bookmarkStart w:id="235"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5"/>
    <w:bookmarkStart w:id="236"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6"/>
    <w:bookmarkStart w:id="237"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37"/>
    <w:bookmarkStart w:id="238"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38"/>
    <w:bookmarkStart w:id="239"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39"/>
    <w:bookmarkStart w:id="240"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0"/>
    <w:bookmarkStart w:id="241"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1"/>
    <w:bookmarkStart w:id="242"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2"/>
    <w:bookmarkStart w:id="243"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3"/>
    <w:bookmarkStart w:id="244"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4"/>
    <w:bookmarkStart w:id="245"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5"/>
    <w:bookmarkStart w:id="246"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6"/>
    <w:bookmarkStart w:id="247"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47"/>
    <w:bookmarkStart w:id="248"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48"/>
    <w:bookmarkStart w:id="249"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49"/>
    <w:bookmarkStart w:id="250"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0"/>
    <w:bookmarkStart w:id="251"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1"/>
    <w:bookmarkStart w:id="252"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2"/>
    <w:bookmarkStart w:id="253"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3"/>
    <w:bookmarkStart w:id="254"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4"/>
    <w:bookmarkStart w:id="255"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5"/>
    <w:bookmarkStart w:id="256"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6"/>
    <w:bookmarkStart w:id="257"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57"/>
    <w:bookmarkStart w:id="258"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58"/>
    <w:bookmarkStart w:id="259"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59"/>
    <w:bookmarkStart w:id="260"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0"/>
    <w:bookmarkStart w:id="261"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1"/>
    <w:bookmarkStart w:id="262"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2"/>
    <w:bookmarkStart w:id="263"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3"/>
    <w:bookmarkStart w:id="264"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4"/>
    <w:bookmarkStart w:id="265" w:name="X37866945a1514e5304353b865dab4d70276132f"/>
    <w:p>
      <w:pPr>
        <w:pStyle w:val="Bibliography"/>
      </w:pPr>
      <w:r>
        <w:rPr>
          <w:bCs/>
          <w:b/>
          <w:bCs/>
          <w:b/>
        </w:rPr>
        <w:t xml:space="preserve">Schimel D</w:t>
      </w:r>
      <w:r>
        <w:rPr>
          <w:bCs/>
          <w:b/>
        </w:rPr>
        <w:t xml:space="preserve">,</w:t>
      </w:r>
      <w:r>
        <w:rPr>
          <w:bCs/>
          <w:b/>
        </w:rPr>
        <w:t xml:space="preserve"> </w:t>
      </w:r>
      <w:r>
        <w:rPr>
          <w:bCs/>
          <w:b/>
          <w:bCs/>
          <w:b/>
        </w:rPr>
        <w:t xml:space="preserve">Hargrove W</w:t>
      </w:r>
      <w:r>
        <w:rPr>
          <w:bCs/>
          <w:b/>
        </w:rPr>
        <w:t xml:space="preserve">,</w:t>
      </w:r>
      <w:r>
        <w:rPr>
          <w:bCs/>
          <w:b/>
        </w:rPr>
        <w:t xml:space="preserve"> </w:t>
      </w:r>
      <w:r>
        <w:rPr>
          <w:bCs/>
          <w:b/>
          <w:bCs/>
          <w:b/>
        </w:rPr>
        <w:t xml:space="preserve">Hoffman F</w:t>
      </w:r>
      <w:r>
        <w:rPr>
          <w:bCs/>
          <w:b/>
        </w:rPr>
        <w:t xml:space="preserve">,</w:t>
      </w:r>
      <w:r>
        <w:rPr>
          <w:bCs/>
          <w:b/>
        </w:rPr>
        <w:t xml:space="preserve"> </w:t>
      </w:r>
      <w:r>
        <w:rPr>
          <w:bCs/>
          <w:b/>
          <w:bCs/>
          <w:b/>
        </w:rPr>
        <w:t xml:space="preserve">MacMahon J</w:t>
      </w:r>
      <w:r>
        <w:t xml:space="preserve">.</w:t>
      </w:r>
      <w:r>
        <w:t xml:space="preserve"> </w:t>
      </w:r>
      <w:r>
        <w:rPr>
          <w:bCs/>
          <w:b/>
        </w:rPr>
        <w:t xml:space="preserve">2007</w:t>
      </w:r>
      <w:r>
        <w:t xml:space="preserve">.</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59–59.</w:t>
      </w:r>
    </w:p>
    <w:bookmarkEnd w:id="265"/>
    <w:bookmarkStart w:id="266"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6"/>
    <w:bookmarkStart w:id="267"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67"/>
    <w:bookmarkStart w:id="268"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68"/>
    <w:bookmarkStart w:id="269"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69"/>
    <w:bookmarkStart w:id="270"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0"/>
    <w:bookmarkStart w:id="271"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1"/>
    <w:bookmarkStart w:id="272"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2"/>
    <w:bookmarkStart w:id="273"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3"/>
    <w:bookmarkStart w:id="274"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4"/>
    <w:bookmarkStart w:id="275"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5"/>
    <w:bookmarkStart w:id="276"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6"/>
    <w:bookmarkStart w:id="277"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77"/>
    <w:bookmarkStart w:id="278"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78"/>
    <w:bookmarkStart w:id="279"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79"/>
    <w:bookmarkStart w:id="280"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0"/>
    <w:bookmarkStart w:id="281"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1"/>
    <w:bookmarkStart w:id="282"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2"/>
    <w:bookmarkStart w:id="283"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3"/>
    <w:bookmarkStart w:id="284"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4"/>
    <w:bookmarkStart w:id="285"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5"/>
    <w:bookmarkStart w:id="286"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6"/>
    <w:bookmarkStart w:id="287"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87"/>
    <w:bookmarkStart w:id="288"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88"/>
    <w:bookmarkStart w:id="289"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89"/>
    <w:bookmarkStart w:id="290"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0"/>
    <w:bookmarkStart w:id="291"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1"/>
    <w:bookmarkStart w:id="292"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2"/>
    <w:bookmarkStart w:id="293"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3"/>
    <w:bookmarkStart w:id="294"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4"/>
    <w:bookmarkStart w:id="295"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5"/>
    <w:bookmarkStart w:id="296"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6"/>
    <w:bookmarkStart w:id="297"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297"/>
    <w:bookmarkStart w:id="298"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298"/>
    <w:bookmarkStart w:id="299"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299"/>
    <w:bookmarkStart w:id="300"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0"/>
    <w:bookmarkStart w:id="301"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1"/>
    <w:bookmarkStart w:id="302"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2"/>
    <w:bookmarkStart w:id="303"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3"/>
    <w:bookmarkStart w:id="304"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4"/>
    <w:bookmarkStart w:id="305"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5"/>
    <w:bookmarkStart w:id="306"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6"/>
    <w:bookmarkStart w:id="307"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07"/>
    <w:bookmarkStart w:id="308"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08"/>
    <w:bookmarkStart w:id="309"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09"/>
    <w:bookmarkStart w:id="310"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0"/>
    <w:bookmarkStart w:id="311"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1"/>
    <w:bookmarkStart w:id="312"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2"/>
    <w:bookmarkStart w:id="313"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3"/>
    <w:bookmarkStart w:id="314"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4"/>
    <w:bookmarkStart w:id="315"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5"/>
    <w:bookmarkStart w:id="316"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6"/>
    <w:bookmarkStart w:id="317"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17"/>
    <w:bookmarkStart w:id="318"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18"/>
    <w:bookmarkStart w:id="319"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19"/>
    <w:bookmarkStart w:id="320"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0"/>
    <w:bookmarkStart w:id="321"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1"/>
    <w:bookmarkStart w:id="322"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2"/>
    <w:bookmarkStart w:id="323"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3"/>
    <w:bookmarkEnd w:id="324"/>
    <w:bookmarkEnd w:id="325"/>
    <w:bookmarkEnd w:id="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2021-09-02T16:04:56Z</dcterms:created>
  <dcterms:modified xsi:type="dcterms:W3CDTF">2021-09-02T16:04:56Z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