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(e.g., Bonan, 2016;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t xml:space="preserve"> </w:t>
      </w:r>
      <w:r>
        <w:t xml:space="preserve">(Fig. 2a-d, Supporting Information Figure S1, Koike</w:t>
      </w:r>
      <w:r>
        <w:t xml:space="preserve"> </w:t>
      </w:r>
      <w:r>
        <w:rPr>
          <w:iCs/>
          <w:i/>
        </w:rPr>
        <w:t xml:space="preserve">et al.</w:t>
      </w:r>
      <w:r>
        <w:t xml:space="preserve">, 2001)</w:t>
      </w:r>
      <w: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 2d, Supporting Information Figure S1, Chazdon &amp; Fetcher, 1984; Baldocchi</w:t>
      </w:r>
      <w:r>
        <w:t xml:space="preserve"> </w:t>
      </w:r>
      <w:r>
        <w:rPr>
          <w:iCs/>
          <w:i/>
        </w:rPr>
        <w:t xml:space="preserve">et al.</w:t>
      </w:r>
      <w:r>
        <w:t xml:space="preserve">, 1997;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r>
        <w:t xml:space="preserve"> </w:t>
      </w:r>
      <w:r>
        <w:t xml:space="preserve">The implication of this light gradient is that upper canopy leaves have higher potential photosynthetic rate (see section</w:t>
      </w:r>
      <w:r>
        <w:t xml:space="preserve"> </w:t>
      </w:r>
      <w:r>
        <w:t xml:space="preserve">“</w:t>
      </w:r>
      <w:r>
        <w:t xml:space="preserve">Leaf metabolism and thermal responses</w:t>
      </w:r>
      <w:r>
        <w:t xml:space="preserve">”</w:t>
      </w:r>
      <w:r>
        <w:t xml:space="preserve">), but also greater propensity towards elevated</w:t>
      </w:r>
      <w:r>
        <w:t xml:space="preserve"> </w:t>
      </w:r>
      <m:oMath>
        <m:sSub>
          <m:e>
            <m:r>
              <m:t>T</m:t>
            </m:r>
          </m:e>
          <m:sub>
            <m:r>
              <m:t>l</m:t>
            </m:r>
            <m:r>
              <m:t>e</m:t>
            </m:r>
            <m:r>
              <m:t>a</m:t>
            </m:r>
            <m:r>
              <m:t>f</m:t>
            </m:r>
          </m:sub>
        </m:sSub>
      </m:oMath>
      <w:r>
        <w:t xml:space="preserve"> </w:t>
      </w:r>
      <w:r>
        <w:t xml:space="preserve">(see section</w:t>
      </w:r>
      <w:r>
        <w:t xml:space="preserve"> </w:t>
      </w:r>
      <w:r>
        <w:t xml:space="preserve">“</w:t>
      </w:r>
      <w:r>
        <w:t xml:space="preserve">Leaf temperature</w:t>
      </w:r>
      <w:r>
        <w:t xml:space="preserve">”</w:t>
      </w:r>
      <w:r>
        <w:t xml:space="preserve">).</w:t>
      </w:r>
    </w:p>
    <w:p>
      <w:pPr>
        <w:pStyle w:val="BodyText"/>
      </w:pPr>
      <w:r>
        <w:t xml:space="preserve">Wind speeds are also higher at the top of the canopy, owing to the buffering effect of the canopy</w:t>
      </w:r>
      <w:r>
        <w:t xml:space="preserve"> </w:t>
      </w:r>
      <w:r>
        <w:t xml:space="preserve">(Jucker</w:t>
      </w:r>
      <w:r>
        <w:t xml:space="preserve"> </w:t>
      </w:r>
      <w:r>
        <w:rPr>
          <w:iCs/>
          <w:i/>
        </w:rPr>
        <w:t xml:space="preserve">et al.</w:t>
      </w:r>
      <w:r>
        <w:t xml:space="preserve">, 2018)</w:t>
      </w:r>
      <w:r>
        <w:t xml:space="preserve">.</w:t>
      </w:r>
      <w:r>
        <w:t xml:space="preserve"> </w:t>
      </w:r>
      <w:r>
        <w:t xml:space="preserve">This holds true across the range of forest types</w:t>
      </w:r>
      <w:r>
        <w:t xml:space="preserve"> </w:t>
      </w:r>
      <w:r>
        <w:t xml:space="preserve">(Fig. 2e, Supporting Information Figure S1, Barnard &amp; Bauerle, 2016; Hanberry</w:t>
      </w:r>
      <w:r>
        <w:t xml:space="preserve"> </w:t>
      </w:r>
      <w:r>
        <w:rPr>
          <w:iCs/>
          <w:i/>
        </w:rPr>
        <w:t xml:space="preserve">et al.</w:t>
      </w:r>
      <w:r>
        <w:t xml:space="preserve">, 2018, 2020; Jucker</w:t>
      </w:r>
      <w:r>
        <w:t xml:space="preserve"> </w:t>
      </w:r>
      <w:r>
        <w:rPr>
          <w:iCs/>
          <w:i/>
        </w:rPr>
        <w:t xml:space="preserve">et al.</w:t>
      </w:r>
      <w:r>
        <w:t xml:space="preserve">, 2018; McGregor</w:t>
      </w:r>
      <w:r>
        <w:t xml:space="preserve"> </w:t>
      </w:r>
      <w:r>
        <w:rPr>
          <w:iCs/>
          <w:i/>
        </w:rPr>
        <w:t xml:space="preserve">et al.</w:t>
      </w:r>
      <w:r>
        <w:t xml:space="preserve">, 2021; Muller</w:t>
      </w:r>
      <w:r>
        <w:t xml:space="preserve"> </w:t>
      </w:r>
      <w:r>
        <w:rPr>
          <w:iCs/>
          <w:i/>
        </w:rPr>
        <w:t xml:space="preserve">et al.</w:t>
      </w:r>
      <w:r>
        <w:t xml:space="preserve">, 2021)</w:t>
      </w:r>
      <w:r>
        <w:t xml:space="preserve"> </w:t>
      </w:r>
      <w:r>
        <w:t xml:space="preserve">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t xml:space="preserve">Atmospheric concentrations of carbon dioxide (CO</w:t>
      </w:r>
      <w:r>
        <w:rPr>
          <w:vertAlign w:val="subscript"/>
        </w:rPr>
        <w:t xml:space="preserve">2</w:t>
      </w:r>
      <w: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 2f, Supporting Information Figure S1, e.g., Jucker</w:t>
      </w:r>
      <w:r>
        <w:t xml:space="preserve"> </w:t>
      </w:r>
      <w:r>
        <w:rPr>
          <w:iCs/>
          <w:i/>
        </w:rPr>
        <w:t xml:space="preserve">et al.</w:t>
      </w:r>
      <w:r>
        <w:t xml:space="preserve">, 2018;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r>
        <w:t xml:space="preserve"> </w:t>
      </w:r>
      <w:r>
        <w:t xml:space="preserve">The implication is that canopy leaves face higher</w:t>
      </w:r>
      <w:r>
        <w:t xml:space="preserve"> </w:t>
      </w:r>
      <m:oMath>
        <m:sSub>
          <m:e>
            <m:r>
              <m:t>g</m:t>
            </m:r>
          </m:e>
          <m:sub>
            <m:r>
              <m:t>b</m:t>
            </m:r>
          </m:sub>
        </m:sSub>
      </m:oMath>
      <w:r>
        <w:t xml:space="preserve"> </w:t>
      </w:r>
      <w:r>
        <w:t xml:space="preserve">and associated potential for water and heat loss (see section</w:t>
      </w:r>
      <w:r>
        <w:t xml:space="preserve"> </w:t>
      </w:r>
      <w:r>
        <w:t xml:space="preserve">“</w:t>
      </w:r>
      <w:r>
        <w:t xml:space="preserve">Leaf temperature</w:t>
      </w:r>
      <w:r>
        <w:t xml:space="preserve">”</w:t>
      </w:r>
      <w:r>
        <w:t xml:space="preserve">).</w:t>
      </w:r>
    </w:p>
    <w:p>
      <w:pPr>
        <w:pStyle w:val="BodyText"/>
      </w:pPr>
      <w:r>
        <w:t xml:space="preserve">Air temperature (</w:t>
      </w:r>
      <m:oMath>
        <m:sSub>
          <m:e>
            <m:r>
              <m:t>T</m:t>
            </m:r>
          </m:e>
          <m:sub>
            <m:r>
              <m:t>a</m:t>
            </m:r>
            <m:r>
              <m:t>i</m:t>
            </m:r>
            <m:r>
              <m:t>r</m:t>
            </m:r>
          </m:sub>
        </m:sSub>
      </m:oMath>
      <w: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 2g, Supporting Information Figure S1b, 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Banerjee</w:t>
      </w:r>
      <w:r>
        <w:t xml:space="preserve"> </w:t>
      </w:r>
      <w:r>
        <w:rPr>
          <w:iCs/>
          <w:i/>
        </w:rPr>
        <w:t xml:space="preserve">et al.</w:t>
      </w:r>
      <w:r>
        <w:t xml:space="preserve">, 2017; Curtis</w:t>
      </w:r>
      <w:r>
        <w:t xml:space="preserve"> </w:t>
      </w:r>
      <w:r>
        <w:rPr>
          <w:iCs/>
          <w:i/>
        </w:rPr>
        <w:t xml:space="preserve">et al.</w:t>
      </w:r>
      <w:r>
        <w:t xml:space="preserve">, 2019)</w:t>
      </w:r>
      <w:r>
        <w:t xml:space="preserve">.</w:t>
      </w:r>
      <w:r>
        <w:t xml:space="preserve"> </w:t>
      </w:r>
      <w:r>
        <w:t xml:space="preserve">These usually-modest gradients in</w:t>
      </w:r>
      <w:r>
        <w:t xml:space="preserve"> </w:t>
      </w:r>
      <m:oMath>
        <m:sSub>
          <m:e>
            <m:r>
              <m:t>T</m:t>
            </m:r>
          </m:e>
          <m:sub>
            <m:r>
              <m:t>a</m:t>
            </m:r>
            <m:r>
              <m:t>i</m:t>
            </m:r>
            <m:r>
              <m:t>r</m:t>
            </m:r>
          </m:sub>
        </m:sSub>
      </m:oMath>
      <w:r>
        <w:t xml:space="preserve"> </w:t>
      </w:r>
      <w:r>
        <w:t xml:space="preserve">combine with the above-described gradients in other biophysical conditions to shape</w:t>
      </w:r>
      <w:r>
        <w:t xml:space="preserve"> </w:t>
      </w:r>
      <m:oMath>
        <m:sSub>
          <m:e>
            <m:r>
              <m:t>T</m:t>
            </m:r>
          </m:e>
          <m:sub>
            <m:r>
              <m:t>l</m:t>
            </m:r>
            <m:r>
              <m:t>e</m:t>
            </m:r>
            <m:r>
              <m:t>a</m:t>
            </m:r>
            <m:r>
              <m:t>f</m:t>
            </m:r>
          </m:sub>
        </m:sSub>
      </m:oMath>
      <w:r>
        <w:t xml:space="preserve">.</w:t>
      </w:r>
    </w:p>
    <w:bookmarkEnd w:id="25"/>
    <w:bookmarkStart w:id="29" w:name="leaf-temperature"/>
    <w:p>
      <w:pPr>
        <w:pStyle w:val="Heading2"/>
      </w:pPr>
      <w:r>
        <w:t xml:space="preserve">Leaf temperature</w:t>
      </w:r>
    </w:p>
    <w:p>
      <w:pPr>
        <w:pStyle w:val="FirstParagraph"/>
      </w:pPr>
      <m:oMath>
        <m:sSub>
          <m:e>
            <m:r>
              <m:t>T</m:t>
            </m:r>
          </m:e>
          <m:sub>
            <m:r>
              <m:t>l</m:t>
            </m:r>
            <m:r>
              <m:t>e</m:t>
            </m:r>
            <m:r>
              <m:t>a</m:t>
            </m:r>
            <m:r>
              <m:t>f</m:t>
            </m:r>
          </m:sub>
        </m:sSub>
      </m:oMath>
      <w:r>
        <w:t xml:space="preserve"> </w:t>
      </w:r>
      <w:r>
        <w:t xml:space="preserve">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487297"/>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487297"/>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059448"/>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059448"/>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1637862"/>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1637862"/>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Zwieniecki et al. 2004; 48. Sack and Scoffoni, 2013; 49.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926791"/>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92679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013564"/>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013564"/>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765073"/>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6765073"/>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 42. Taylor et al. 2021; 43. Harley et al. 1997; 44. Niinemets and Sun, 2014; 45. Sharkey and Monson, 2014; 46. Saimpraga et al. 2013</w:t>
      </w:r>
    </w:p>
    <w:p>
      <w:pPr>
        <w:pStyle w:val="BodyText"/>
      </w:pPr>
      <w:r>
        <w:t xml:space="preserve">** (</w:t>
      </w:r>
      <w:r>
        <w:rPr>
          <w:bCs/>
          <w:b/>
        </w:rPr>
        <w:t xml:space="preserve">NIDHI, we previously had a footnote here. I believe it’s the savanna site. I can’t find that, though.</w:t>
      </w:r>
      <w:r>
        <w:t xml:space="preserve">)</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2"/>
    <w:bookmarkStart w:id="43"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2"/>
    <w:bookmarkStart w:id="6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3"/>
    <w:bookmarkStart w:id="6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4"/>
    <w:bookmarkStart w:id="65"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5"/>
    <w:bookmarkStart w:id="66"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6"/>
    <w:bookmarkStart w:id="67"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7"/>
    <w:bookmarkStart w:id="68"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8"/>
    <w:bookmarkStart w:id="69"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9"/>
    <w:bookmarkStart w:id="70"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0"/>
    <w:bookmarkStart w:id="71"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1"/>
    <w:bookmarkStart w:id="72"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2"/>
    <w:bookmarkStart w:id="73"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3"/>
    <w:bookmarkStart w:id="74"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4"/>
    <w:bookmarkStart w:id="75"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5"/>
    <w:bookmarkStart w:id="76"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6"/>
    <w:bookmarkStart w:id="77"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7"/>
    <w:bookmarkStart w:id="78"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8"/>
    <w:bookmarkStart w:id="79"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9"/>
    <w:bookmarkStart w:id="80"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0"/>
    <w:bookmarkStart w:id="81"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1"/>
    <w:bookmarkStart w:id="82"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2"/>
    <w:bookmarkStart w:id="83"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6"/>
    <w:bookmarkStart w:id="87"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7"/>
    <w:bookmarkStart w:id="88"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8"/>
    <w:bookmarkStart w:id="89"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9"/>
    <w:bookmarkStart w:id="90"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90"/>
    <w:bookmarkStart w:id="91"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1"/>
    <w:bookmarkStart w:id="92"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2"/>
    <w:bookmarkStart w:id="93"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3"/>
    <w:bookmarkStart w:id="94"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4"/>
    <w:bookmarkStart w:id="95"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5"/>
    <w:bookmarkStart w:id="96"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6"/>
    <w:bookmarkStart w:id="97"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7"/>
    <w:bookmarkStart w:id="98"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8"/>
    <w:bookmarkStart w:id="99"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9"/>
    <w:bookmarkStart w:id="100"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100"/>
    <w:bookmarkStart w:id="101"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1"/>
    <w:bookmarkStart w:id="10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2"/>
    <w:bookmarkStart w:id="10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3"/>
    <w:bookmarkStart w:id="10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50"/>
    <w:bookmarkStart w:id="151"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1"/>
    <w:bookmarkStart w:id="152"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2"/>
    <w:bookmarkStart w:id="153"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3"/>
    <w:bookmarkStart w:id="154"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4"/>
    <w:bookmarkStart w:id="155"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5"/>
    <w:bookmarkStart w:id="156"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6"/>
    <w:bookmarkStart w:id="157"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7"/>
    <w:bookmarkStart w:id="158"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8"/>
    <w:bookmarkStart w:id="159"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9"/>
    <w:bookmarkStart w:id="160"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60"/>
    <w:bookmarkStart w:id="161"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1"/>
    <w:bookmarkStart w:id="162"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2"/>
    <w:bookmarkStart w:id="163"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3"/>
    <w:bookmarkStart w:id="164"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4"/>
    <w:bookmarkStart w:id="165"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5"/>
    <w:bookmarkStart w:id="166"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6"/>
    <w:bookmarkStart w:id="167"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7"/>
    <w:bookmarkStart w:id="168"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8"/>
    <w:bookmarkStart w:id="169"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9"/>
    <w:bookmarkStart w:id="170"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70"/>
    <w:bookmarkStart w:id="171"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1"/>
    <w:bookmarkStart w:id="172"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2"/>
    <w:bookmarkStart w:id="173"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3"/>
    <w:bookmarkStart w:id="174"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4"/>
    <w:bookmarkStart w:id="175"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5"/>
    <w:bookmarkStart w:id="176"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7"/>
    <w:bookmarkStart w:id="178"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8"/>
    <w:bookmarkStart w:id="179"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9"/>
    <w:bookmarkStart w:id="180"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80"/>
    <w:bookmarkStart w:id="181"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1"/>
    <w:bookmarkStart w:id="182"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2"/>
    <w:bookmarkStart w:id="18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3"/>
    <w:bookmarkStart w:id="184"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4"/>
    <w:bookmarkStart w:id="18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5"/>
    <w:bookmarkStart w:id="18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6"/>
    <w:bookmarkStart w:id="187"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7"/>
    <w:bookmarkStart w:id="188"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8"/>
    <w:bookmarkStart w:id="189"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9"/>
    <w:bookmarkStart w:id="190"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90"/>
    <w:bookmarkStart w:id="191"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1"/>
    <w:bookmarkStart w:id="192"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2"/>
    <w:bookmarkStart w:id="193"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3"/>
    <w:bookmarkStart w:id="194"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4"/>
    <w:bookmarkStart w:id="195"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5"/>
    <w:bookmarkStart w:id="196"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6"/>
    <w:bookmarkStart w:id="197"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3"/>
    <w:bookmarkStart w:id="224"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4"/>
    <w:bookmarkStart w:id="225"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5"/>
    <w:bookmarkStart w:id="226"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6"/>
    <w:bookmarkStart w:id="227"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7"/>
    <w:bookmarkStart w:id="228"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8"/>
    <w:bookmarkStart w:id="229"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9"/>
    <w:bookmarkStart w:id="230"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30"/>
    <w:bookmarkStart w:id="231"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1"/>
    <w:bookmarkStart w:id="232"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2"/>
    <w:bookmarkStart w:id="233"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3"/>
    <w:bookmarkStart w:id="234"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4"/>
    <w:bookmarkStart w:id="235"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5"/>
    <w:bookmarkStart w:id="236"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6"/>
    <w:bookmarkStart w:id="237"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7"/>
    <w:bookmarkStart w:id="238"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8"/>
    <w:bookmarkStart w:id="239"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9"/>
    <w:bookmarkStart w:id="240"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40"/>
    <w:bookmarkStart w:id="241"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1"/>
    <w:bookmarkStart w:id="242"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2"/>
    <w:bookmarkStart w:id="243"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3"/>
    <w:bookmarkStart w:id="244"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4"/>
    <w:bookmarkStart w:id="245"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5"/>
    <w:bookmarkStart w:id="246"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6"/>
    <w:bookmarkStart w:id="247"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7"/>
    <w:bookmarkStart w:id="248"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8"/>
    <w:bookmarkStart w:id="249"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9"/>
    <w:bookmarkStart w:id="250"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50"/>
    <w:bookmarkStart w:id="251"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1"/>
    <w:bookmarkStart w:id="252"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2"/>
    <w:bookmarkStart w:id="25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3"/>
    <w:bookmarkStart w:id="254"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4"/>
    <w:bookmarkStart w:id="255"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6"/>
    <w:bookmarkStart w:id="257"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7"/>
    <w:bookmarkStart w:id="258"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8"/>
    <w:bookmarkStart w:id="259"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9"/>
    <w:bookmarkStart w:id="260"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60"/>
    <w:bookmarkStart w:id="261"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1"/>
    <w:bookmarkStart w:id="262"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2"/>
    <w:bookmarkStart w:id="263"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3"/>
    <w:bookmarkStart w:id="264"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4"/>
    <w:bookmarkStart w:id="265"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5"/>
    <w:bookmarkStart w:id="266"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6"/>
    <w:bookmarkStart w:id="267"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7"/>
    <w:bookmarkStart w:id="268"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2021-09-05T12:44:08Z</dcterms:created>
  <dcterms:modified xsi:type="dcterms:W3CDTF">2021-09-05T12:44:08Z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