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181"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Foliage density mediates light regime, where denser upper canopies exposed to greater PAR values limit light to canopy interiors, lower canopy layers, and the understory.</w:t>
      </w:r>
      <w:r>
        <w:t xml:space="preserve"> </w:t>
      </w:r>
      <w:r>
        <w:t xml:space="preserve">This light gradient is more pronounced under broadleaf forests than needleleaf forests</w:t>
      </w:r>
      <w:r>
        <w:t xml:space="preserve"> </w:t>
      </w:r>
      <w:r>
        <w:t xml:space="preserve">(Fig. 2; Lowman &amp; Rinker, 1995; Aussenac, 2000; von Arx</w:t>
      </w:r>
      <w:r>
        <w:t xml:space="preserve"> </w:t>
      </w:r>
      <w:r>
        <w:rPr>
          <w:i/>
        </w:rPr>
        <w:t xml:space="preserve">et al.</w:t>
      </w:r>
      <w:r>
        <w:t xml:space="preserve">, 2012; Poorter</w:t>
      </w:r>
      <w:r>
        <w:t xml:space="preserve"> </w:t>
      </w:r>
      <w:r>
        <w:rPr>
          <w:i/>
        </w:rPr>
        <w:t xml:space="preserve">et al.</w:t>
      </w:r>
      <w:r>
        <w:t xml:space="preserve">, 2019)</w:t>
      </w:r>
      <w:r>
        <w:t xml:space="preserve">.</w:t>
      </w:r>
    </w:p>
    <w:p>
      <w:pPr>
        <w:pStyle w:val="BodyText"/>
      </w:pPr>
      <w:r>
        <w:t xml:space="preserve">The amount of light reaching lower canopy, understories and forest floors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 Forest floors of tropical forests with densely packed overstory trees,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and needle-leaf forests receive 17-34% of incoming sunlight</w:t>
      </w:r>
      <w:r>
        <w:t xml:space="preserve"> </w:t>
      </w:r>
      <w:r>
        <w:t xml:space="preserve">(Baldocchi</w:t>
      </w:r>
      <w:r>
        <w:t xml:space="preserve"> </w:t>
      </w:r>
      <w:r>
        <w:rPr>
          <w:i/>
        </w:rPr>
        <w:t xml:space="preserve">et al.</w:t>
      </w:r>
      <w:r>
        <w:t xml:space="preserve">, 1997)</w:t>
      </w:r>
      <w:r>
        <w:t xml:space="preserve">. Small canopy gaps and wind-induced movement of canopy leaves and branches also contribute to the light environment of shaded forest regions, in the form of sunflecks. Shaded canopy layers depend on sunflecks, where they receive 10-80% of their photon flux density for photosynthesis in short bursts within minutes of light exposure</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p>
      <w:pPr>
        <w:pStyle w:val="BodyText"/>
      </w:pPr>
      <w:r>
        <w:t xml:space="preserve">These light regimes shape foliage at a vertical gradient, which in turn shapes the microenvironment. At a foliar level, resulting light-adaptation in the form of sun and shade leaf dichotomy also facilitates plant-adaptation to the light environment in the understory and the overstory, ultimately contributing to shaping the microenvironment, forest vertical-profile’s thermal sensitivity and their response to warming [</w:t>
      </w:r>
      <w:r>
        <w:t xml:space="preserve">Fauset</w:t>
      </w:r>
      <w:r>
        <w:t xml:space="preserve"> </w:t>
      </w:r>
      <w:r>
        <w:rPr>
          <w:i/>
        </w:rPr>
        <w:t xml:space="preserve">et al.</w:t>
      </w:r>
      <w:r>
        <w:t xml:space="preserve"> </w:t>
      </w:r>
      <w:r>
        <w:t xml:space="preserve">(2018)</w:t>
      </w:r>
      <w:r>
        <w:t xml:space="preserve">;</w:t>
      </w:r>
      <w:r>
        <w:t xml:space="preserve"> </w:t>
      </w:r>
      <w:r>
        <w:t xml:space="preserve">Miller</w:t>
      </w:r>
      <w:r>
        <w:t xml:space="preserve"> </w:t>
      </w:r>
      <w:r>
        <w:rPr>
          <w:i/>
        </w:rPr>
        <w:t xml:space="preserve">et al.</w:t>
      </w:r>
      <w:r>
        <w:t xml:space="preserve"> </w:t>
      </w:r>
      <w:r>
        <w:t xml:space="preserve">(2021)</w:t>
      </w:r>
      <w:r>
        <w:t xml:space="preserve">;</w:t>
      </w:r>
      <w:r>
        <w:t xml:space="preserve"> </w:t>
      </w:r>
      <w:r>
        <w:t xml:space="preserve">Michaletz</w:t>
      </w:r>
      <w:r>
        <w:t xml:space="preserve"> </w:t>
      </w:r>
      <w:r>
        <w:rPr>
          <w:i/>
        </w:rPr>
        <w:t xml:space="preserve">et al.</w:t>
      </w:r>
      <w:r>
        <w:t xml:space="preserve"> </w:t>
      </w:r>
      <w:r>
        <w:t xml:space="preserve">(2015)</w:t>
      </w:r>
      <w:r>
        <w:t xml:space="preserve">;</w:t>
      </w:r>
      <w:r>
        <w:t xml:space="preserve"> </w:t>
      </w:r>
      <w:r>
        <w:rPr>
          <w:i/>
        </w:rPr>
        <w:t xml:space="preserve">Defrenne et al. 2021</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Understory wind-speed is also substantially reduced with increased canopy height</w:t>
      </w:r>
      <w:r>
        <w:t xml:space="preserve"> </w:t>
      </w:r>
      <w:r>
        <w:t xml:space="preserve">(Jucker</w:t>
      </w:r>
      <w:r>
        <w:t xml:space="preserve"> </w:t>
      </w:r>
      <w:r>
        <w:rPr>
          <w:i/>
        </w:rPr>
        <w:t xml:space="preserve">et al.</w:t>
      </w:r>
      <w:r>
        <w:t xml:space="preserve">, 2018)</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varies across forests, and increases with canopy cover, leaf area index (</w:t>
      </w:r>
      <m:oMath>
        <m:r>
          <m:t>L</m:t>
        </m:r>
        <m:r>
          <m:t>A</m:t>
        </m:r>
        <m:r>
          <m:t>I</m:t>
        </m:r>
      </m:oMath>
      <w:r>
        <w:t xml:space="preserve">) and water availability</w:t>
      </w:r>
      <w:r>
        <w:t xml:space="preserve"> </w:t>
      </w:r>
      <w:r>
        <w:t xml:space="preserve">(Davis</w:t>
      </w:r>
      <w:r>
        <w:t xml:space="preserve"> </w:t>
      </w:r>
      <w:r>
        <w:rPr>
          <w:i/>
        </w:rPr>
        <w:t xml:space="preserve">et al.</w:t>
      </w:r>
      <w:r>
        <w:t xml:space="preserve">, 2019)</w:t>
      </w:r>
      <w:r>
        <w:t xml:space="preserve">. Diurnally, tropical, temperate broadleaf and non-pine conifer forests offset temperatures positively and negatively, by maintaining cooler, lower maximum temperature and vapor pressure deficit (</w:t>
      </w:r>
      <m:oMath>
        <m:r>
          <m:t>V</m:t>
        </m:r>
        <m:r>
          <m:t>P</m:t>
        </m:r>
        <m:r>
          <m:t>D</m:t>
        </m:r>
      </m:oMath>
      <w:r>
        <w:t xml:space="preserve">) in the daytime, and warmer higher minimum temperature during nighttime in the understory, relative to pine and boreal forests and compared to nearby clearings</w:t>
      </w:r>
      <w:r>
        <w:t xml:space="preserve"> </w:t>
      </w:r>
      <w:r>
        <w:t xml:space="preserve">(von Arx</w:t>
      </w:r>
      <w:r>
        <w:t xml:space="preserve"> </w:t>
      </w:r>
      <w:r>
        <w:rPr>
          <w:i/>
        </w:rPr>
        <w:t xml:space="preserve">et al.</w:t>
      </w:r>
      <w:r>
        <w:t xml:space="preserve">, 2012, Defrenne et al. 2021,</w:t>
      </w:r>
      <w:r>
        <w:t xml:space="preserve"> </w:t>
      </w:r>
      <w:r>
        <w:t xml:space="preserve">@davis_microclimatic_2019</w:t>
      </w:r>
      <w:r>
        <w:t xml:space="preserve">,</w:t>
      </w:r>
      <w:r>
        <w:t xml:space="preserve"> </w:t>
      </w:r>
      <w:r>
        <w:t xml:space="preserve">@zellweger_seasonal_2019</w:t>
      </w:r>
      <w:r>
        <w:t xml:space="preserve">)</w:t>
      </w:r>
      <w:r>
        <w:t xml:space="preserve">. In comparison to neighboring tree crop agricultural plantations, intact tropical forests also maintain lower peak daytime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attesting to increased buffering with canopy cover</w:t>
      </w:r>
      <w:r>
        <w:t xml:space="preserve"> </w:t>
      </w:r>
      <w:r>
        <w:t xml:space="preserve">(S. R. Hardwick et al. 2015; Jucker</w:t>
      </w:r>
      <w:r>
        <w:t xml:space="preserve"> </w:t>
      </w:r>
      <w:r>
        <w:rPr>
          <w:i/>
        </w:rPr>
        <w:t xml:space="preserve">et al.</w:t>
      </w:r>
      <w:r>
        <w:t xml:space="preserve">, 2018)</w:t>
      </w:r>
      <w:r>
        <w:t xml:space="preserve">. Pine forests, on the other hand, that are open-forests with lower</w:t>
      </w:r>
      <w:r>
        <w:t xml:space="preserve"> </w:t>
      </w:r>
      <m:oMath>
        <m:r>
          <m:t>L</m:t>
        </m:r>
        <m:r>
          <m:t>A</m:t>
        </m:r>
        <m:r>
          <m:t>I</m:t>
        </m:r>
      </m:oMath>
      <w:r>
        <w:t xml:space="preserve"> </w:t>
      </w:r>
      <w:r>
        <w:t xml:space="preserve">and sparse stands have lower buffering capacity and greater light permeability through canopies, thus maintain higher daytime maximum temperature and light availability in the understory, that are closer to nearby clearings</w:t>
      </w:r>
      <w:r>
        <w:t xml:space="preserve"> </w:t>
      </w:r>
      <w:r>
        <w:t xml:space="preserve">(Martin</w:t>
      </w:r>
      <w:r>
        <w:t xml:space="preserve"> </w:t>
      </w:r>
      <w:r>
        <w:rPr>
          <w:i/>
        </w:rPr>
        <w:t xml:space="preserve">et al.</w:t>
      </w:r>
      <w:r>
        <w:t xml:space="preserve">, 1999; von Arx</w:t>
      </w:r>
      <w:r>
        <w:t xml:space="preserve"> </w:t>
      </w:r>
      <w:r>
        <w:rPr>
          <w:i/>
        </w:rPr>
        <w:t xml:space="preserve">et al.</w:t>
      </w:r>
      <w:r>
        <w:t xml:space="preserve">, 2012; De Frenne</w:t>
      </w:r>
      <w:r>
        <w:t xml:space="preserve"> </w:t>
      </w:r>
      <w:r>
        <w:rPr>
          <w:i/>
        </w:rPr>
        <w:t xml:space="preserve">et al.</w:t>
      </w:r>
      <w:r>
        <w:t xml:space="preserve">, 2019)</w:t>
      </w:r>
      <w:r>
        <w:t xml:space="preserve">. During the night, these pine forests have been observed to maintain warmer understory temperatures than above canopy, due to radiative heat loss from the soil caused by daytime solar radiation</w:t>
      </w:r>
      <w:r>
        <w:t xml:space="preserve"> </w:t>
      </w:r>
      <w:r>
        <w:t xml:space="preserve">(von Arx</w:t>
      </w:r>
      <w:r>
        <w:t xml:space="preserve"> </w:t>
      </w:r>
      <w:r>
        <w:rPr>
          <w:i/>
        </w:rPr>
        <w:t xml:space="preserve">et al.</w:t>
      </w:r>
      <w:r>
        <w:t xml:space="preserve">, 2012)</w:t>
      </w:r>
      <w:r>
        <w:t xml:space="preserve">. Canopy roughness also affects buffering, turbulent air flow and the canopy boundary layer. As a result, taller trees up to 20m in an an old-growth Borneo forest (which coincided with forests of higher LAI) have shown to lower mean and max of VPD and temperature. However, beyond a certain height, temperature and VPD offset plateaus</w:t>
      </w:r>
      <w:r>
        <w:t xml:space="preserve"> </w:t>
      </w:r>
      <w:r>
        <w:t xml:space="preserve">(Jucker</w:t>
      </w:r>
      <w:r>
        <w:t xml:space="preserve"> </w:t>
      </w:r>
      <w:r>
        <w:rPr>
          <w:i/>
        </w:rPr>
        <w:t xml:space="preserve">et al.</w:t>
      </w:r>
      <w:r>
        <w:t xml:space="preserve">, 2018)</w:t>
      </w:r>
      <w:r>
        <w:t xml:space="preserve">. At a species level, broadleaf trees with higher shade casting ability also contribute to greater temperature buffering</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w:t>
      </w:r>
    </w:p>
    <w:p>
      <w:pPr>
        <w:pStyle w:val="BodyText"/>
      </w:pPr>
      <w:r>
        <w:t xml:space="preserve">Seasonally, the capacity to moderate buffering is greater with water availability. During the wet season,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have all shown to offset temperatures positively in the understory, with higher maximum air temperatures and relative humidity above forest canopies and gaps than in below canopies and understories. During the dry season of a semi-deciduous tropical forest in Panama, however, maximum temperatures were similar in the upper and lower canopy, partially because in the dry season some canopy trees are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Under colder conditions (?), minimum</w:t>
      </w:r>
      <w:r>
        <w:t xml:space="preserve"> </w:t>
      </w:r>
      <m:oMath>
        <m:sSub>
          <m:e>
            <m:r>
              <m:t>T</m:t>
            </m:r>
          </m:e>
          <m:sub>
            <m:r>
              <m:t>a</m:t>
            </m:r>
            <m:r>
              <m:t>i</m:t>
            </m:r>
            <m:r>
              <m:t>r</m:t>
            </m:r>
          </m:sub>
        </m:sSub>
      </m:oMath>
      <w:r>
        <w:t xml:space="preserve"> </w:t>
      </w:r>
      <w:r>
        <w:t xml:space="preserve">[</w:t>
      </w:r>
      <m:oMath>
        <m:sSub>
          <m:e>
            <m:r>
              <m:t>T</m:t>
            </m:r>
          </m:e>
          <m:sub>
            <m:r>
              <m:t>m</m:t>
            </m:r>
            <m:r>
              <m:t>i</m:t>
            </m:r>
            <m:r>
              <m:t>n</m:t>
            </m:r>
          </m:sub>
        </m:sSub>
      </m:oMath>
      <w:r>
        <w:t xml:space="preserve">] is also buffered by forest canopies, increasing negetive temperature offset in the understory. Across Europe [</w:t>
      </w:r>
      <w:r>
        <w:t xml:space="preserve">Zellweger</w:t>
      </w:r>
      <w:r>
        <w:t xml:space="preserve"> </w:t>
      </w:r>
      <w:r>
        <w:rPr>
          <w:i/>
        </w:rPr>
        <w:t xml:space="preserve">et al.</w:t>
      </w:r>
      <w:r>
        <w:t xml:space="preserve"> </w:t>
      </w:r>
      <w:r>
        <w:t xml:space="preserve">(2019)</w:t>
      </w:r>
      <w:r>
        <w:t xml:space="preserve">; Defrenne et al. 2021] and in the northwestern United States</w:t>
      </w:r>
      <w:r>
        <w:t xml:space="preserve"> </w:t>
      </w:r>
      <w:r>
        <w:t xml:space="preserve">(Davis</w:t>
      </w:r>
      <w:r>
        <w:t xml:space="preserve"> </w:t>
      </w:r>
      <w:r>
        <w:rPr>
          <w:i/>
        </w:rPr>
        <w:t xml:space="preserve">et al.</w:t>
      </w:r>
      <w:r>
        <w:t xml:space="preserve">, 2019)</w:t>
      </w:r>
      <w:r>
        <w:t xml:space="preserve"> </w:t>
      </w:r>
      <w:r>
        <w:t xml:space="preserve">higher minimum temperatures under forest canopies have been observed relative to nearby clearings. Greater radiative heat loss in exposed areas results in lower</w:t>
      </w:r>
      <w:r>
        <w:t xml:space="preserve"> </w:t>
      </w:r>
      <m:oMath>
        <m:sSub>
          <m:e>
            <m:r>
              <m:t>T</m:t>
            </m:r>
          </m:e>
          <m:sub>
            <m:r>
              <m:t>m</m:t>
            </m:r>
            <m:r>
              <m:t>i</m:t>
            </m:r>
            <m:r>
              <m:t>n</m:t>
            </m:r>
          </m:sub>
        </m:sSub>
      </m:oMath>
      <w:r>
        <w:t xml:space="preserve">. 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t xml:space="preserve">Thus, we see that buffering by canopy cover smooths the affect temperature extremes and fluctuation in the understory [</w:t>
      </w:r>
      <w:r>
        <w:t xml:space="preserve">Bertrand</w:t>
      </w:r>
      <w:r>
        <w:t xml:space="preserve"> </w:t>
      </w:r>
      <w:r>
        <w:rPr>
          <w:i/>
        </w:rPr>
        <w:t xml:space="preserve">et al.</w:t>
      </w:r>
      <w:r>
        <w:t xml:space="preserve"> </w:t>
      </w:r>
      <w:r>
        <w:t xml:space="preserve">(2020)</w:t>
      </w:r>
      <w:r>
        <w:t xml:space="preserve">;</w:t>
      </w:r>
      <w:r>
        <w:t xml:space="preserve"> </w:t>
      </w:r>
      <w:r>
        <w:t xml:space="preserve">Zellweger</w:t>
      </w:r>
      <w:r>
        <w:t xml:space="preserve"> </w:t>
      </w:r>
      <w:r>
        <w:rPr>
          <w:i/>
        </w:rPr>
        <w:t xml:space="preserve">et al.</w:t>
      </w:r>
      <w:r>
        <w:t xml:space="preserve"> </w:t>
      </w:r>
      <w:r>
        <w:t xml:space="preserve">(2020b)</w:t>
      </w:r>
      <w:r>
        <w:t xml:space="preserve">;</w:t>
      </w:r>
      <w:r>
        <w:t xml:space="preserve"> </w:t>
      </w:r>
      <w:r>
        <w:t xml:space="preserve">Rollinson</w:t>
      </w:r>
      <w:r>
        <w:t xml:space="preserve"> </w:t>
      </w:r>
      <w:r>
        <w:rPr>
          <w:i/>
        </w:rPr>
        <w:t xml:space="preserve">et al.</w:t>
      </w:r>
      <w:r>
        <w:t xml:space="preserve">; Defrenne et al. 2021], however, as a result of global rise in temperatures, inevitable increases in understory temperatures continue to be observed.</w:t>
      </w:r>
      <w:r>
        <w:t xml:space="preserve"> </w:t>
      </w:r>
      <w:r>
        <w:t xml:space="preserve">(Bertrand</w:t>
      </w:r>
      <w:r>
        <w:t xml:space="preserve"> </w:t>
      </w:r>
      <w:r>
        <w:rPr>
          <w:i/>
        </w:rPr>
        <w:t xml:space="preserve">et al.</w:t>
      </w:r>
      <w:r>
        <w:t xml:space="preserve">, 2020)</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which tends to decrease with increasing maximum temperature. In three European forests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higher altitude, forest light environment varies along with plant growth habits, therefore shapes microclimate conditions. In European forests, buffering capacity is stronger in low altitude forests than high altitude forests</w:t>
      </w:r>
      <w:r>
        <w:t xml:space="preserve"> </w:t>
      </w:r>
      <w:r>
        <w:t xml:space="preserve">(von Arx</w:t>
      </w:r>
      <w:r>
        <w:t xml:space="preserve"> </w:t>
      </w:r>
      <w:r>
        <w:rPr>
          <w:i/>
        </w:rPr>
        <w:t xml:space="preserve">et al.</w:t>
      </w:r>
      <w:r>
        <w:t xml:space="preserve">, 2012)</w:t>
      </w:r>
      <w:r>
        <w:t xml:space="preserve">. Trees in European high altitude forests have shown to maintain sparser stands</w:t>
      </w:r>
      <w:r>
        <w:t xml:space="preserve"> </w:t>
      </w:r>
      <w:r>
        <w:t xml:space="preserve">(von Arx</w:t>
      </w:r>
      <w:r>
        <w:t xml:space="preserve"> </w:t>
      </w:r>
      <w:r>
        <w:rPr>
          <w:i/>
        </w:rPr>
        <w:t xml:space="preserve">et al.</w:t>
      </w:r>
      <w:r>
        <w:t xml:space="preserve">, 2012)</w:t>
      </w:r>
      <w:r>
        <w:t xml:space="preserve"> </w:t>
      </w:r>
      <w:r>
        <w:t xml:space="preserve">and open canopies with greater light interception through canopy layers, and to the understory</w:t>
      </w:r>
      <w:r>
        <w:t xml:space="preserve"> </w:t>
      </w:r>
      <w:r>
        <w:t xml:space="preserve">(Rajsnerová</w:t>
      </w:r>
      <w:r>
        <w:t xml:space="preserve"> </w:t>
      </w:r>
      <w:r>
        <w:rPr>
          <w:i/>
        </w:rPr>
        <w:t xml:space="preserve">et al.</w:t>
      </w:r>
      <w:r>
        <w:t xml:space="preserve">, 2015)</w:t>
      </w:r>
      <w:r>
        <w:t xml:space="preserve">. While increase in tree height (in closed-forests) increases buffering in the understory</w:t>
      </w:r>
      <w:r>
        <w:t xml:space="preserve"> </w:t>
      </w:r>
      <w:r>
        <w:t xml:space="preserve">(Jucker</w:t>
      </w:r>
      <w:r>
        <w:t xml:space="preserve"> </w:t>
      </w:r>
      <w:r>
        <w:rPr>
          <w:i/>
        </w:rPr>
        <w:t xml:space="preserve">et al.</w:t>
      </w:r>
      <w:r>
        <w:t xml:space="preserve">, 2018)</w:t>
      </w:r>
      <w:r>
        <w:t xml:space="preserve">, in timberline and temperate humid-mountain forests in China, tree height decreased with</w:t>
      </w:r>
      <w:r>
        <w:t xml:space="preserve"> </w:t>
      </w:r>
      <w:r>
        <w:t xml:space="preserve">altitude, whereas tree growth sensitivity (based on tree-rings) to climate change increased</w:t>
      </w:r>
      <w:r>
        <w:t xml:space="preserve"> </w:t>
      </w:r>
      <w:r>
        <w:t xml:space="preserve">(Liang</w:t>
      </w:r>
      <w:r>
        <w:t xml:space="preserve"> </w:t>
      </w:r>
      <w:r>
        <w:rPr>
          <w:i/>
        </w:rPr>
        <w:t xml:space="preserve">et al.</w:t>
      </w:r>
      <w:r>
        <w:t xml:space="preserve">, 2019)</w:t>
      </w:r>
      <w:r>
        <w:t xml:space="preserve">. Less capacity to buffer climatic conditions in open, high altitude forests might thus have implications to forest regeneration</w:t>
      </w:r>
      <w:r>
        <w:t xml:space="preserve"> </w:t>
      </w:r>
      <w:r>
        <w:t xml:space="preserve">(von Arx</w:t>
      </w:r>
      <w:r>
        <w:t xml:space="preserve"> </w:t>
      </w:r>
      <w:r>
        <w:rPr>
          <w:i/>
        </w:rPr>
        <w:t xml:space="preserve">et al.</w:t>
      </w:r>
      <w:r>
        <w:t xml:space="preserve">, 2012, p. @fauset_differences_2018)</w:t>
      </w:r>
      <w:r>
        <w:t xml:space="preserve">.The strength of buffering also varies with respect to distance to the coast, topographic position, elevation</w:t>
      </w:r>
      <w:r>
        <w:t xml:space="preserve"> </w:t>
      </w:r>
      <w:r>
        <w:t xml:space="preserve">(Zellweger</w:t>
      </w:r>
      <w:r>
        <w:t xml:space="preserve"> </w:t>
      </w:r>
      <w:r>
        <w:rPr>
          <w:i/>
        </w:rPr>
        <w:t xml:space="preserve">et al.</w:t>
      </w:r>
      <w:r>
        <w:t xml:space="preserve">, 2019)</w:t>
      </w:r>
      <w:r>
        <w:t xml:space="preserve">. Riparian forests tend to sustain buffering, protecting understory temperatures even during increasing temperature extremes compared to open areas by a stream</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w:t>
      </w:r>
      <w:r>
        <w:rPr>
          <w:i/>
        </w:rPr>
        <w:t xml:space="preserve">REF</w:t>
      </w:r>
      <w:r>
        <w:t xml:space="preserve">]</w:t>
      </w:r>
    </w:p>
    <w:p>
      <w:pPr>
        <w:pStyle w:val="BodyText"/>
      </w:pPr>
      <w:r>
        <w:rPr>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have higher</w:t>
      </w:r>
      <w:r>
        <w:t xml:space="preserve"> </w:t>
      </w:r>
      <m:oMath>
        <m:sSub>
          <m:e>
            <m:r>
              <m:t>g</m:t>
            </m:r>
          </m:e>
          <m:sub>
            <m:r>
              <m:t>a</m:t>
            </m:r>
          </m:sub>
        </m:sSub>
      </m:oMath>
      <w:r>
        <w:t xml:space="preserve"> </w:t>
      </w:r>
      <w:r>
        <w:t xml:space="preserve">to heat transfer, allowing them to dissipate heat more efficiently than larger leaves</w:t>
      </w:r>
      <w:r>
        <w:t xml:space="preserve"> </w:t>
      </w:r>
      <w:r>
        <w:t xml:space="preserve">(Leigh</w:t>
      </w:r>
      <w:r>
        <w:t xml:space="preserve"> </w:t>
      </w:r>
      <w:r>
        <w:rPr>
          <w:i/>
        </w:rPr>
        <w:t xml:space="preserve">et al.</w:t>
      </w:r>
      <w:r>
        <w:t xml:space="preserve">, 2017; Bauerle &amp; Bowden, 2011)</w:t>
      </w:r>
      <w:r>
        <w:t xml:space="preserve">.</w:t>
      </w:r>
      <w:r>
        <w:br/>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In open-canopy needle-leaf forests, light permeating through canopy layers can influence understory leaf temperatures, such that even with understories maintaing</w:t>
      </w:r>
      <w:r>
        <w:t xml:space="preserve"> </w:t>
      </w:r>
      <m:oMath>
        <m:sSub>
          <m:e>
            <m:r>
              <m:t>T</m:t>
            </m:r>
          </m:e>
          <m:sub>
            <m:r>
              <m:t>a</m:t>
            </m:r>
            <m:r>
              <m:t>i</m:t>
            </m:r>
            <m:r>
              <m:t>r</m:t>
            </m:r>
          </m:sub>
        </m:sSub>
      </m:oMath>
      <w:r>
        <w:t xml:space="preserve"> </w:t>
      </w:r>
      <w:r>
        <w:t xml:space="preserve">lower than above canopy</w:t>
      </w:r>
      <w:r>
        <w:t xml:space="preserve"> </w:t>
      </w:r>
      <m:oMath>
        <m:sSub>
          <m:e>
            <m:r>
              <m:t>T</m:t>
            </m:r>
          </m:e>
          <m:sub>
            <m:r>
              <m:t>a</m:t>
            </m:r>
            <m:r>
              <m:t>i</m:t>
            </m:r>
            <m:r>
              <m:t>r</m:t>
            </m:r>
          </m:sub>
        </m:sSub>
      </m:oMath>
      <w:r>
        <w:t xml:space="preserve">, lower canopy</w:t>
      </w:r>
      <w:r>
        <w:t xml:space="preserve"> </w:t>
      </w:r>
      <m:oMath>
        <m:sSub>
          <m:e>
            <m:r>
              <m:t>T</m:t>
            </m:r>
          </m:e>
          <m:sub>
            <m:r>
              <m:t>l</m:t>
            </m:r>
            <m:r>
              <m:t>e</m:t>
            </m:r>
            <m:r>
              <m:t>a</m:t>
            </m:r>
            <m:r>
              <m:t>f</m:t>
            </m:r>
          </m:sub>
        </m:sSub>
      </m:oMath>
      <w:r>
        <w:t xml:space="preserve"> </w:t>
      </w:r>
      <w:r>
        <w:t xml:space="preserve">can be substantially higher than above canopy, even in moist conditions</w:t>
      </w:r>
      <w:r>
        <w:t xml:space="preserve"> </w:t>
      </w:r>
      <w:r>
        <w:t xml:space="preserve">(Muller</w:t>
      </w:r>
      <w:r>
        <w:t xml:space="preserve"> </w:t>
      </w:r>
      <w:r>
        <w:rPr>
          <w:i/>
        </w:rPr>
        <w:t xml:space="preserve">et al.</w:t>
      </w:r>
      <w:r>
        <w:t xml:space="preserve">, 2021, pp. @martin_boundary_1999, @zweifelMiddayStomatalClosure2002)</w:t>
      </w:r>
      <w:r>
        <w:br/>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semi-decidudous tropical moist forest in Panama</w:t>
      </w:r>
      <w:r>
        <w:t xml:space="preserve"> </w:t>
      </w:r>
      <w:r>
        <w:t xml:space="preserve">(Rey-Sánchez</w:t>
      </w:r>
      <w:r>
        <w:t xml:space="preserve"> </w:t>
      </w:r>
      <w:r>
        <w:rPr>
          <w:i/>
        </w:rPr>
        <w:t xml:space="preserve">et al.</w:t>
      </w:r>
      <w:r>
        <w:t xml:space="preserve">, 2016)</w:t>
      </w:r>
      <w:r>
        <w:t xml:space="preserve">. Sun leaves can also be cooled relative to</w:t>
      </w:r>
      <w:r>
        <w:t xml:space="preserve"> </w:t>
      </w:r>
      <m:oMath>
        <m:sSub>
          <m:e>
            <m:r>
              <m:t>T</m:t>
            </m:r>
          </m:e>
          <m:sub>
            <m:r>
              <m:t>a</m:t>
            </m:r>
            <m:r>
              <m:t>i</m:t>
            </m:r>
            <m:r>
              <m:t>r</m:t>
            </m:r>
          </m:sub>
        </m:sSub>
      </m:oMath>
      <w:r>
        <w:t xml:space="preserve"> </w:t>
      </w:r>
      <w:r>
        <w:t xml:space="preserve">more than shade leaves</w:t>
      </w:r>
      <w:r>
        <w:t xml:space="preserve"> </w:t>
      </w:r>
      <w:r>
        <w:t xml:space="preserve">(Rey-Sánchez</w:t>
      </w:r>
      <w:r>
        <w:t xml:space="preserve"> </w:t>
      </w:r>
      <w:r>
        <w:rPr>
          <w:i/>
        </w:rPr>
        <w:t xml:space="preserve">et al.</w:t>
      </w:r>
      <w:r>
        <w:t xml:space="preserve">, 2016)</w:t>
      </w:r>
      <w:r>
        <w:t xml:space="preserve">.</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2"/>
        </w:numPr>
      </w:pPr>
      <w:r>
        <w:t xml:space="preserve">(Slot et al. 2019) and refs therein</w:t>
      </w:r>
    </w:p>
    <w:p>
      <w:pPr>
        <w:numPr>
          <w:ilvl w:val="0"/>
          <w:numId w:val="1002"/>
        </w:numPr>
      </w:pPr>
      <w:r>
        <w:t xml:space="preserve">Elsa: I came across these two studies that could be relevent in the evapotranspiration/temperature feedback section hinted at above:</w:t>
      </w:r>
    </w:p>
    <w:p>
      <w:pPr>
        <w:numPr>
          <w:ilvl w:val="0"/>
          <w:numId w:val="1002"/>
        </w:numPr>
      </w:pPr>
      <w:r>
        <w:t xml:space="preserve">Staudt, K., Serafimovich, A., Siebicke, L., Pyles, R.D. and Falge, E., 2011. Vertical structure of evapotranspiration at a forest site (a case study). Agricultural and Forest Meteorology, 151(6), pp.709-729.</w:t>
      </w:r>
    </w:p>
    <w:p>
      <w:pPr>
        <w:numPr>
          <w:ilvl w:val="0"/>
          <w:numId w:val="1002"/>
        </w:numPr>
      </w:pPr>
      <w:r>
        <w:t xml:space="preserve">Sellin, A. and Lubenets, K., 2010. Variation of transpiration within a canopy of silver birch: effect of canopy position and daily versus nightly water loss. Ecohydrology, 3(4), pp.467-477.</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pStyle w:val="BodyText"/>
      </w:pPr>
      <w:r>
        <w:t xml:space="preserve">Light based acclimation in leaf traits is well established, while research on solely height-based leaf trait variation is sparse due to the difficulty of isolating increased tree height from changes in light availability. However, studies that have measured LMA in relation to height have found that in tropical forests LMA-height predicted stronger correlation between area-based respiration versus foliar nutrients, whereas Q10 and E10 remained constant with height [Cavaleri et al. 2008]. In a temperate Acer saccharum forest, LMA and</w:t>
      </w:r>
      <w:r>
        <w:t xml:space="preserve"> </w:t>
      </w:r>
      <m:oMath>
        <m:sSub>
          <m:e>
            <m:r>
              <m:t>N</m:t>
            </m:r>
          </m:e>
          <m:sub>
            <m:r>
              <m:t>a</m:t>
            </m:r>
            <m:r>
              <m:t>r</m:t>
            </m:r>
            <m:r>
              <m:t>e</m:t>
            </m:r>
            <m:r>
              <m:t>a</m:t>
            </m:r>
          </m:sub>
        </m:sSub>
      </m:oMath>
      <w:r>
        <w:t xml:space="preserve"> </w:t>
      </w:r>
      <w:r>
        <w:t xml:space="preserve">were greater with height early in the growing season as a result of hydrostatic constraints on leaf morphology. Later in the growing season, LMA and</w:t>
      </w:r>
      <w:r>
        <w:t xml:space="preserve"> </w:t>
      </w:r>
      <m:oMath>
        <m:sSub>
          <m:e>
            <m:r>
              <m:t>N</m:t>
            </m:r>
          </m:e>
          <m:sub>
            <m:r>
              <m:t>a</m:t>
            </m:r>
            <m:r>
              <m:t>r</m:t>
            </m:r>
            <m:r>
              <m:t>e</m:t>
            </m:r>
            <m:r>
              <m:t>a</m:t>
            </m:r>
          </m:sub>
        </m:sSub>
      </m:oMath>
      <w:r>
        <w:t xml:space="preserve"> </w:t>
      </w:r>
      <w:r>
        <w:t xml:space="preserve">continued to increase in the upper canopy, but due to light driven changes</w:t>
      </w:r>
      <w:r>
        <w:t xml:space="preserve"> </w:t>
      </w:r>
      <w:r>
        <w:t xml:space="preserve">(Coble &amp; Cavaleri, 2015, 2014; Coble</w:t>
      </w:r>
      <w:r>
        <w:t xml:space="preserve"> </w:t>
      </w:r>
      <w:r>
        <w:rPr>
          <w:i/>
        </w:rPr>
        <w:t xml:space="preserve">et al.</w:t>
      </w:r>
      <w:r>
        <w:t xml:space="preserve">, 2016)</w:t>
      </w:r>
      <w:r>
        <w:t xml:space="preserve">. In addition, carbon isotope composition has also been shown to increase with height, independent of light</w:t>
      </w:r>
      <w:r>
        <w:t xml:space="preserve"> </w:t>
      </w:r>
      <w:r>
        <w:t xml:space="preserve">(Coble &amp; Cavaleri, 2015)</w:t>
      </w:r>
    </w:p>
    <w:p>
      <w:pPr>
        <w:pStyle w:val="BodyText"/>
      </w:pPr>
      <w:r>
        <w:t xml:space="preserve">Height-based leaf trait variation in two tall temperate species,</w:t>
      </w:r>
      <w:r>
        <w:t xml:space="preserve"> </w:t>
      </w:r>
      <w:r>
        <w:rPr>
          <w:i/>
        </w:rPr>
        <w:t xml:space="preserve">Quercus alba</w:t>
      </w:r>
      <w:r>
        <w:t xml:space="preserve"> </w:t>
      </w:r>
      <w:r>
        <w:t xml:space="preserve">and</w:t>
      </w:r>
      <w:r>
        <w:t xml:space="preserve"> </w:t>
      </w:r>
      <w:r>
        <w:rPr>
          <w:i/>
        </w:rPr>
        <w:t xml:space="preserve">Quercus velutina</w:t>
      </w:r>
      <w:r>
        <w:t xml:space="preserve">, showed decreases in lobation with increased height,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species.</w:t>
      </w:r>
    </w:p>
    <w:p>
      <w:pPr>
        <w:numPr>
          <w:ilvl w:val="0"/>
          <w:numId w:val="1003"/>
        </w:numPr>
        <w:pStyle w:val="Compact"/>
      </w:pPr>
      <w:r>
        <w:t xml:space="preserve">Height is more important than light in determining leaf morphology in a tropical forests (Cavaleri et al. 2010)</w:t>
      </w:r>
    </w:p>
    <w:p>
      <w:pPr>
        <w:numPr>
          <w:ilvl w:val="0"/>
          <w:numId w:val="1003"/>
        </w:numPr>
        <w:pStyle w:val="Compact"/>
      </w:pPr>
      <w:r>
        <w:t xml:space="preserve">(Cavaleri et al. 2008)</w:t>
      </w:r>
    </w:p>
    <w:p>
      <w:pPr>
        <w:numPr>
          <w:ilvl w:val="0"/>
          <w:numId w:val="1003"/>
        </w:numPr>
        <w:pStyle w:val="Compact"/>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3"/>
        </w:numPr>
        <w:pStyle w:val="Compact"/>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numPr>
          <w:ilvl w:val="0"/>
          <w:numId w:val="1003"/>
        </w:numPr>
        <w:pStyle w:val="Compact"/>
      </w:pPr>
      <w:r>
        <w:t xml:space="preserve">Beyond a certain height, light becomes less important than height in determing traits [Ambrose, Sillet, Cavaleri]</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p>
      <w:pPr>
        <w:pStyle w:val="BodyText"/>
      </w:pPr>
      <w:r>
        <w:t xml:space="preserve">Several studies point towards differences in leaf trait plasticity within-species and at an intra-canopy gradient which influences leaf structural and biochemical traits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bookmarkEnd w:id="41"/>
    <w:bookmarkStart w:id="50"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 Chen</w:t>
      </w:r>
      <w:r>
        <w:t xml:space="preserve"> </w:t>
      </w:r>
      <w:r>
        <w:rPr>
          <w:i/>
        </w:rPr>
        <w:t xml:space="preserve">et al.</w:t>
      </w:r>
      <w:r>
        <w:t xml:space="preserve">, 2020)</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4"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 ranges [</w:t>
      </w:r>
      <m:oMath>
        <m:sSub>
          <m:e>
            <m:r>
              <m:t>T</m:t>
            </m:r>
          </m:e>
          <m:sub>
            <m:r>
              <m:t>r</m:t>
            </m:r>
            <m:r>
              <m:t>a</m:t>
            </m:r>
            <m:r>
              <m:t>n</m:t>
            </m:r>
            <m:r>
              <m:t>g</m:t>
            </m:r>
            <m:r>
              <m:t>e</m:t>
            </m:r>
          </m:sub>
        </m:sSub>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increases in effective leaf width, boundary layer thickness and resistance increase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 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models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are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and leaf elongation and serration are more pronounced in sun exposed canopies than in the shaded understory</w:t>
      </w:r>
      <w:r>
        <w:t xml:space="preserve"> </w:t>
      </w:r>
      <w:r>
        <w:t xml:space="preserve">(Schuepp, 1993; Sack</w:t>
      </w:r>
      <w:r>
        <w:t xml:space="preserve"> </w:t>
      </w:r>
      <w:r>
        <w:rPr>
          <w:i/>
        </w:rPr>
        <w:t xml:space="preserve">et al.</w:t>
      </w:r>
      <w:r>
        <w:t xml:space="preserve">, 2006; VOGEL, 1970)</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 Xanthophylls are photoprotective pigments comprised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gradients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forests, foliage exposed to higher irradiance in the canopy showed greater b-carotene and vioxanthin-cycle pools on an area or chlorophyll basis compared to low light leaves that showed greater mass-based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 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w:t>
      </w:r>
      <w:r>
        <w:rPr>
          <w:b/>
        </w:rPr>
        <w:t xml:space="preserve">???</w:t>
      </w:r>
      <w:r>
        <w:t xml:space="preserve">)</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1"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7"/>
        </w:numPr>
        <w:pStyle w:val="Compact"/>
      </w:pPr>
      <w:r>
        <w:t xml:space="preserve">Max stomatal conductance - increases with canopy height (Kenzo et al. 2015), however stomatal conductance limitation is also greater, and earlier with canopy height [Sanches et al. 2009]</w:t>
      </w:r>
      <w:r>
        <w:t xml:space="preserve"> </w:t>
      </w:r>
      <w:r>
        <w:t xml:space="preserve">Max transpiration rate - increases with canopy height (Kenzo et al. 2015).</w:t>
      </w:r>
      <w:r>
        <w:t xml:space="preserve"> </w:t>
      </w:r>
      <w:r>
        <w:t xml:space="preserve">-understory leaves open their stomata wider than upper canopy leaves [Kosugi et al. 2021]</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w:t>
      </w:r>
      <w:r>
        <w:t xml:space="preserve"> </w:t>
      </w:r>
      <w:r>
        <w:rPr>
          <w:i/>
        </w:rPr>
        <w:t xml:space="preserve">as observed by earlier studies, suggesting that the interaction between light gradient and temperature response along vertical canopy profile implied a spectrum of temperature responses of</w:t>
      </w:r>
      <w:r>
        <w:rPr>
          <w:i/>
        </w:rPr>
        <w:t xml:space="preserve"> </w:t>
      </w:r>
      <m:oMath>
        <m:sSub>
          <m:e>
            <m:r>
              <m:t>T</m:t>
            </m:r>
          </m:e>
          <m:sub>
            <m:r>
              <m:t>o</m:t>
            </m:r>
            <m:r>
              <m:t>p</m:t>
            </m:r>
            <m:r>
              <m:t>t</m:t>
            </m:r>
          </m:sub>
        </m:sSub>
      </m:oMath>
      <w:r>
        <w:rPr>
          <w:i/>
        </w:rPr>
        <w:t xml:space="preserve">,</w:t>
      </w:r>
      <m:oMath>
        <m:sSub>
          <m:e>
            <m:r>
              <m:t>V</m:t>
            </m:r>
          </m:e>
          <m:sub>
            <m:r>
              <m:t>m</m:t>
            </m:r>
            <m:r>
              <m:t>a</m:t>
            </m:r>
            <m:r>
              <m:t>x</m:t>
            </m:r>
          </m:sub>
        </m:sSub>
      </m:oMath>
      <w:r>
        <w:rPr>
          <w:i/>
        </w:rPr>
        <w:t xml:space="preserve"> </w:t>
      </w:r>
      <w:r>
        <w:rPr>
          <w:i/>
        </w:rPr>
        <w:t xml:space="preserve">and</w:t>
      </w:r>
      <w:r>
        <w:rPr>
          <w:i/>
        </w:rPr>
        <w:t xml:space="preserve"> </w:t>
      </w:r>
      <m:oMath>
        <m:sSub>
          <m:e>
            <m:r>
              <m:t>J</m:t>
            </m:r>
          </m:e>
          <m:sub>
            <m:r>
              <m:t>m</m:t>
            </m:r>
            <m:r>
              <m:t>a</m:t>
            </m:r>
            <m:r>
              <m:t>x</m:t>
            </m:r>
          </m:sub>
        </m:sSub>
      </m:oMath>
      <w:r>
        <w:rPr>
          <w:i/>
        </w:rPr>
        <w:t xml:space="preserve"> </w:t>
      </w:r>
      <w:r>
        <w:rPr>
          <w:i/>
        </w:rPr>
        <w:t xml:space="preserve">along the gradient [</w:t>
      </w:r>
      <w:r>
        <w:rPr>
          <w:i/>
        </w:rPr>
        <w:t xml:space="preserve">Niinemets</w:t>
      </w:r>
      <w:r>
        <w:rPr>
          <w:i/>
        </w:rPr>
        <w:t xml:space="preserve"> </w:t>
      </w:r>
      <w:r>
        <w:rPr>
          <w:i/>
          <w:i/>
        </w:rPr>
        <w:t xml:space="preserve">et al.</w:t>
      </w:r>
      <w:r>
        <w:rPr>
          <w:i/>
        </w:rPr>
        <w:t xml:space="preserve"> </w:t>
      </w:r>
      <w:r>
        <w:rPr>
          <w:i/>
        </w:rPr>
        <w:t xml:space="preserve">(2004)</w:t>
      </w:r>
      <w:r>
        <w:rPr>
          <w:i/>
        </w:rPr>
        <w:t xml:space="preserve">; Harley and Baldocchi 1995, Friend, 2001].</w:t>
      </w:r>
      <w:r>
        <w:t xml:space="preserve"> </w:t>
      </w:r>
      <w:r>
        <w:rPr>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
        </w:rPr>
        <w:t xml:space="preserve">???</w:t>
      </w:r>
      <w:r>
        <w:t xml:space="preserve"> </w:t>
      </w:r>
      <w:r>
        <w:t xml:space="preserve">; Hernández</w:t>
      </w:r>
      <w:r>
        <w:t xml:space="preserve"> </w:t>
      </w:r>
      <w:r>
        <w:rPr>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Leaf thermal tolerance (Tcrit/ T50)</w:t>
      </w:r>
      <w:r>
        <w:t xml:space="preserve"> </w:t>
      </w:r>
      <w:r>
        <w:rPr>
          <w:i/>
        </w:rPr>
        <w:t xml:space="preserve">(define)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w:t>
      </w:r>
      <w:r>
        <w:rPr>
          <w:b/>
        </w:rPr>
        <w:t xml:space="preserve">???</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w:t>
      </w:r>
      <w:r>
        <w:rPr>
          <w:b/>
        </w:rPr>
        <w:t xml:space="preserve">???</w:t>
      </w:r>
      <w:r>
        <w:t xml:space="preserve">)</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w:t>
      </w:r>
      <w:r>
        <w:rPr>
          <w:b/>
        </w:rPr>
        <w:t xml:space="preserve">???</w:t>
      </w:r>
      <w:r>
        <w:t xml:space="preserve">)</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 Leaf traits vary more on the basis on light environment than ontogenetically</w:t>
      </w:r>
      <w:r>
        <w:t xml:space="preserve"> </w:t>
      </w:r>
      <w:r>
        <w:t xml:space="preserve">(Liu</w:t>
      </w:r>
      <w:r>
        <w:t xml:space="preserve"> </w:t>
      </w:r>
      <w:r>
        <w:rPr>
          <w:i/>
        </w:rPr>
        <w:t xml:space="preserve">et al.</w:t>
      </w:r>
      <w:r>
        <w:t xml:space="preserve">, 2010)</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8" w:name="warming"/>
    <w:p>
      <w:pPr>
        <w:pStyle w:val="Heading3"/>
      </w:pPr>
      <w:r>
        <w:t xml:space="preserve">warming</w:t>
      </w:r>
    </w:p>
    <w:p>
      <w:pPr>
        <w:numPr>
          <w:ilvl w:val="0"/>
          <w:numId w:val="1008"/>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09"/>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9"/>
        </w:numPr>
        <w:pStyle w:val="Compact"/>
      </w:pPr>
      <w:r>
        <w:t xml:space="preserve">a number of studies confirm that this is the case.</w:t>
      </w:r>
    </w:p>
    <w:p>
      <w:pPr>
        <w:numPr>
          <w:ilvl w:val="0"/>
          <w:numId w:val="1009"/>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9"/>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9"/>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80" w:name="references"/>
    <w:p>
      <w:pPr>
        <w:pStyle w:val="Heading2"/>
      </w:pPr>
      <w:r>
        <w:t xml:space="preserve">References</w:t>
      </w:r>
    </w:p>
    <w:bookmarkStart w:id="179" w:name="refs"/>
    <w:bookmarkStart w:id="78"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8"/>
    <w:bookmarkStart w:id="79"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9"/>
    <w:bookmarkStart w:id="80"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0"/>
    <w:bookmarkStart w:id="8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81"/>
    <w:bookmarkStart w:id="8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2"/>
    <w:bookmarkStart w:id="8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3"/>
    <w:bookmarkStart w:id="8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4"/>
    <w:bookmarkStart w:id="8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5"/>
    <w:bookmarkStart w:id="8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6"/>
    <w:bookmarkStart w:id="87"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7"/>
    <w:bookmarkStart w:id="88"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8"/>
    <w:bookmarkStart w:id="89"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9"/>
    <w:bookmarkStart w:id="90"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0"/>
    <w:bookmarkStart w:id="9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1"/>
    <w:bookmarkStart w:id="92"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92"/>
    <w:bookmarkStart w:id="93"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93"/>
    <w:bookmarkStart w:id="9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4"/>
    <w:bookmarkStart w:id="95"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5"/>
    <w:bookmarkStart w:id="96"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6"/>
    <w:bookmarkStart w:id="97"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7"/>
    <w:bookmarkStart w:id="98"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8"/>
    <w:bookmarkStart w:id="99"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9"/>
    <w:bookmarkStart w:id="100"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0"/>
    <w:bookmarkStart w:id="101"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1"/>
    <w:bookmarkStart w:id="102"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102"/>
    <w:bookmarkStart w:id="103"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3"/>
    <w:bookmarkStart w:id="104"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4"/>
    <w:bookmarkStart w:id="105"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5"/>
    <w:bookmarkStart w:id="10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6"/>
    <w:bookmarkStart w:id="107"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7"/>
    <w:bookmarkStart w:id="108"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8"/>
    <w:bookmarkStart w:id="10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9"/>
    <w:bookmarkStart w:id="110"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10"/>
    <w:bookmarkStart w:id="111"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11"/>
    <w:bookmarkStart w:id="11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12"/>
    <w:bookmarkStart w:id="113"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13"/>
    <w:bookmarkStart w:id="114"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14"/>
    <w:bookmarkStart w:id="115"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5"/>
    <w:bookmarkStart w:id="116"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6"/>
    <w:bookmarkStart w:id="117"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17"/>
    <w:bookmarkStart w:id="118" w:name="ref-liuPlantSizeEffects2010"/>
    <w:p>
      <w:pPr>
        <w:pStyle w:val="Bibliography"/>
      </w:pPr>
      <w:r>
        <w:rPr>
          <w:b w:val="0"/>
          <w:b/>
        </w:rPr>
        <w:t xml:space="preserve">Liu F</w:t>
      </w:r>
      <w:r>
        <w:rPr>
          <w:b/>
        </w:rPr>
        <w:t xml:space="preserve">,</w:t>
      </w:r>
      <w:r>
        <w:rPr>
          <w:b/>
        </w:rPr>
        <w:t xml:space="preserve"> </w:t>
      </w:r>
      <w:r>
        <w:rPr>
          <w:b w:val="0"/>
          <w:b/>
        </w:rPr>
        <w:t xml:space="preserve">Yang W</w:t>
      </w:r>
      <w:r>
        <w:rPr>
          <w:b/>
        </w:rPr>
        <w:t xml:space="preserve">,</w:t>
      </w:r>
      <w:r>
        <w:rPr>
          <w:b/>
        </w:rPr>
        <w:t xml:space="preserve"> </w:t>
      </w:r>
      <w:r>
        <w:rPr>
          <w:b w:val="0"/>
          <w:b/>
        </w:rPr>
        <w:t xml:space="preserve">Wang Z</w:t>
      </w:r>
      <w:r>
        <w:rPr>
          <w:b/>
        </w:rPr>
        <w:t xml:space="preserve">,</w:t>
      </w:r>
      <w:r>
        <w:rPr>
          <w:b/>
        </w:rPr>
        <w:t xml:space="preserve"> </w:t>
      </w:r>
      <w:r>
        <w:rPr>
          <w:b w:val="0"/>
          <w:b/>
        </w:rPr>
        <w:t xml:space="preserve">Xu Z</w:t>
      </w:r>
      <w:r>
        <w:rPr>
          <w:b/>
        </w:rPr>
        <w:t xml:space="preserve">,</w:t>
      </w:r>
      <w:r>
        <w:rPr>
          <w:b/>
        </w:rPr>
        <w:t xml:space="preserve"> </w:t>
      </w:r>
      <w:r>
        <w:rPr>
          <w:b w:val="0"/>
          <w:b/>
        </w:rPr>
        <w:t xml:space="preserve">Liu H</w:t>
      </w:r>
      <w:r>
        <w:rPr>
          <w:b/>
        </w:rPr>
        <w:t xml:space="preserve">,</w:t>
      </w:r>
      <w:r>
        <w:rPr>
          <w:b/>
        </w:rPr>
        <w:t xml:space="preserve"> </w:t>
      </w:r>
      <w:r>
        <w:rPr>
          <w:b w:val="0"/>
          <w:b/>
        </w:rPr>
        <w:t xml:space="preserve">Zhang M</w:t>
      </w:r>
      <w:r>
        <w:rPr>
          <w:b/>
        </w:rPr>
        <w:t xml:space="preserve">,</w:t>
      </w:r>
      <w:r>
        <w:rPr>
          <w:b/>
        </w:rPr>
        <w:t xml:space="preserve"> </w:t>
      </w:r>
      <w:r>
        <w:rPr>
          <w:b w:val="0"/>
          <w:b/>
        </w:rPr>
        <w:t xml:space="preserve">Liu Y</w:t>
      </w:r>
      <w:r>
        <w:rPr>
          <w:b/>
        </w:rPr>
        <w:t xml:space="preserve">,</w:t>
      </w:r>
      <w:r>
        <w:rPr>
          <w:b/>
        </w:rPr>
        <w:t xml:space="preserve"> </w:t>
      </w:r>
      <w:r>
        <w:rPr>
          <w:b w:val="0"/>
          <w:b/>
        </w:rPr>
        <w:t xml:space="preserve">An S</w:t>
      </w:r>
      <w:r>
        <w:rPr>
          <w:b/>
        </w:rPr>
        <w:t xml:space="preserve">,</w:t>
      </w:r>
      <w:r>
        <w:rPr>
          <w:b/>
        </w:rPr>
        <w:t xml:space="preserve"> </w:t>
      </w:r>
      <w:r>
        <w:rPr>
          <w:b w:val="0"/>
          <w:b/>
        </w:rPr>
        <w:t xml:space="preserve">Sun S</w:t>
      </w:r>
      <w:r>
        <w:t xml:space="preserve">.</w:t>
      </w:r>
      <w:r>
        <w:t xml:space="preserve"> </w:t>
      </w:r>
      <w:r>
        <w:rPr>
          <w:b/>
        </w:rPr>
        <w:t xml:space="preserve">2010</w:t>
      </w:r>
      <w:r>
        <w:t xml:space="preserve">. Plant size effects on the relationships among specific leaf area, leaf nutrient content, and photosynthetic capacity in tropical woody species.</w:t>
      </w:r>
      <w:r>
        <w:t xml:space="preserve"> </w:t>
      </w:r>
      <w:r>
        <w:rPr>
          <w:i/>
        </w:rPr>
        <w:t xml:space="preserve">Acta Oecologica</w:t>
      </w:r>
      <w:r>
        <w:t xml:space="preserve"> </w:t>
      </w:r>
      <w:r>
        <w:rPr>
          <w:b/>
        </w:rPr>
        <w:t xml:space="preserve">36</w:t>
      </w:r>
      <w:r>
        <w:t xml:space="preserve">: 149–159.</w:t>
      </w:r>
    </w:p>
    <w:bookmarkEnd w:id="118"/>
    <w:bookmarkStart w:id="119"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9"/>
    <w:bookmarkStart w:id="120"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20"/>
    <w:bookmarkStart w:id="121"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21"/>
    <w:bookmarkStart w:id="122"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22"/>
    <w:bookmarkStart w:id="12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23"/>
    <w:bookmarkStart w:id="124"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24"/>
    <w:bookmarkStart w:id="125"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25"/>
    <w:bookmarkStart w:id="12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26"/>
    <w:bookmarkStart w:id="12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7"/>
    <w:bookmarkStart w:id="12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8"/>
    <w:bookmarkStart w:id="129"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9"/>
    <w:bookmarkStart w:id="130"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30"/>
    <w:bookmarkStart w:id="13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31"/>
    <w:bookmarkStart w:id="132"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32"/>
    <w:bookmarkStart w:id="13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33"/>
    <w:bookmarkStart w:id="134"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34"/>
    <w:bookmarkStart w:id="135"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35"/>
    <w:bookmarkStart w:id="136"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36"/>
    <w:bookmarkStart w:id="13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37"/>
    <w:bookmarkStart w:id="13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8"/>
    <w:bookmarkStart w:id="13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9"/>
    <w:bookmarkStart w:id="14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40"/>
    <w:bookmarkStart w:id="14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41"/>
    <w:bookmarkStart w:id="142"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42"/>
    <w:bookmarkStart w:id="143"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43"/>
    <w:bookmarkStart w:id="144"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44"/>
    <w:bookmarkStart w:id="145"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45"/>
    <w:bookmarkStart w:id="146"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46"/>
    <w:bookmarkStart w:id="147"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47"/>
    <w:bookmarkStart w:id="14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8"/>
    <w:bookmarkStart w:id="14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9"/>
    <w:bookmarkStart w:id="150"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50"/>
    <w:bookmarkStart w:id="151"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51"/>
    <w:bookmarkStart w:id="15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52"/>
    <w:bookmarkStart w:id="153"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53"/>
    <w:bookmarkStart w:id="154"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54"/>
    <w:bookmarkStart w:id="15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55"/>
    <w:bookmarkStart w:id="156"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56"/>
    <w:bookmarkStart w:id="157"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57"/>
    <w:bookmarkStart w:id="158"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58"/>
    <w:bookmarkStart w:id="159"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9"/>
    <w:bookmarkStart w:id="160"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60"/>
    <w:bookmarkStart w:id="161"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61"/>
    <w:bookmarkStart w:id="162"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62"/>
    <w:bookmarkStart w:id="163"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63"/>
    <w:bookmarkStart w:id="164"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64"/>
    <w:bookmarkStart w:id="165"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65"/>
    <w:bookmarkStart w:id="166"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66"/>
    <w:bookmarkStart w:id="167"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67"/>
    <w:bookmarkStart w:id="168"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68"/>
    <w:bookmarkStart w:id="169"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9"/>
    <w:bookmarkStart w:id="17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70"/>
    <w:bookmarkStart w:id="171"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71"/>
    <w:bookmarkStart w:id="17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72"/>
    <w:bookmarkStart w:id="17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73"/>
    <w:bookmarkStart w:id="174"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74"/>
    <w:bookmarkStart w:id="175"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75"/>
    <w:bookmarkStart w:id="17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76"/>
    <w:bookmarkStart w:id="177"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77"/>
    <w:bookmarkStart w:id="178"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178"/>
    <w:bookmarkEnd w:id="179"/>
    <w:bookmarkEnd w:id="180"/>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2021-04-12T11:09:10Z</dcterms:created>
  <dcterms:modified xsi:type="dcterms:W3CDTF">2021-04-12T11:09:10Z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