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22.png" ContentType="image/png"/>
  <Override PartName="/word/media/rId43.png" ContentType="image/png"/>
  <Override PartName="/word/media/rId55.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hydraulics and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modeling / climate change responses.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w:t>
      </w:r>
      <w:r>
        <w:t xml:space="preserve"> </w:t>
      </w:r>
      <w:r>
        <w:t xml:space="preserve">(Fig. 2; Lowman &amp; Rinker, 1995; Niinemets &amp; Anten, 2009; Aussenac, 2000; Poorter</w:t>
      </w:r>
      <w:r>
        <w:t xml:space="preserve"> </w:t>
      </w:r>
      <w:r>
        <w:rPr>
          <w:i/>
        </w:rPr>
        <w:t xml:space="preserve">et al.</w:t>
      </w:r>
      <w:r>
        <w:t xml:space="preserve">, 2019)</w:t>
      </w:r>
      <w:r>
        <w:t xml:space="preserve">.</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 [</w:t>
      </w:r>
      <w:r>
        <w:rPr>
          <w:b/>
          <w:b/>
        </w:rPr>
        <w:t xml:space="preserve">REFS</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40" w:name="leaf-hydraulics-and-temperature"/>
    <w:p>
      <w:pPr>
        <w:pStyle w:val="Heading2"/>
      </w:pPr>
      <w:r>
        <w:t xml:space="preserve">Leaf hydraulics and temperature</w:t>
      </w:r>
    </w:p>
    <w:bookmarkStart w:id="37"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(Fig. 2; Michaletz</w:t>
      </w:r>
      <w:r>
        <w:t xml:space="preserve"> </w:t>
      </w:r>
      <w:r>
        <w:rPr>
          <w:i/>
        </w:rPr>
        <w:t xml:space="preserve">et al.</w:t>
      </w:r>
      <w:r>
        <w:t xml:space="preserve">, 2015)</w:t>
      </w:r>
      <w:r>
        <w:t xml:space="preserv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3.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bookmarkEnd w:id="37"/>
    <w:bookmarkStart w:id="39"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3"/>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8">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4"/>
        </w:numPr>
        <w:pStyle w:val="Compact"/>
      </w:pPr>
      <w:r>
        <w:t xml:space="preserve">(Slot et al. 2019) and refs therein</w:t>
      </w:r>
    </w:p>
    <w:p>
      <w:pPr>
        <w:numPr>
          <w:ilvl w:val="0"/>
          <w:numId w:val="1004"/>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5"/>
        </w:numPr>
        <w:pStyle w:val="Compact"/>
      </w:pPr>
      <w:r>
        <w:t xml:space="preserve">Elsa: I came across these two studies that could be relevent in the evapotranspiration/temperature feedback section hinted at above:</w:t>
      </w:r>
    </w:p>
    <w:p>
      <w:pPr>
        <w:numPr>
          <w:ilvl w:val="0"/>
          <w:numId w:val="1005"/>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5"/>
        </w:numPr>
        <w:pStyle w:val="Compact"/>
      </w:pPr>
      <w:r>
        <w:t xml:space="preserve">Sellin, A. and Lubenets, K., 2010. Variation of transpiration within a canopy of silver birch: effect of canopy position and daily versus nightly water loss. Ecohydrology, 3(4), pp.467-477.</w:t>
      </w:r>
    </w:p>
    <w:bookmarkEnd w:id="39"/>
    <w:bookmarkEnd w:id="40"/>
    <w:bookmarkStart w:id="54"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Accordingly, there is substantive variation across the gradient in leaf traits (this section), which in turn shape leaf temperatures and metabolism (following sections).</w:t>
      </w:r>
    </w:p>
    <w:bookmarkStart w:id="41" w:name="clarify-light-vs-height---1-paragraph"/>
    <w:p>
      <w:pPr>
        <w:pStyle w:val="Heading4"/>
      </w:pPr>
      <w:r>
        <w:rPr>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 the world’s tallest trees (~100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numPr>
          <w:ilvl w:val="0"/>
          <w:numId w:val="1006"/>
        </w:numPr>
      </w:pPr>
      <w:r>
        <w:t xml:space="preserve">However, studies that have measured LMA in relation to height have found that in tropical forests LMA-height predicted stronger correlation between area- based respiration versus foliar nutrients, whereas Q10 and E10 remained constant with height [Cavaleri et al. 2008].</w:t>
      </w:r>
    </w:p>
    <w:p>
      <w:pPr>
        <w:numPr>
          <w:ilvl w:val="0"/>
          <w:numId w:val="1006"/>
        </w:numPr>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numPr>
          <w:ilvl w:val="0"/>
          <w:numId w:val="1006"/>
        </w:numPr>
      </w:pPr>
      <w:r>
        <w:t xml:space="preserve">Height is more important than light in determining leaf morphology in a tropical forests (Cavaleri et al. 2010)</w:t>
      </w:r>
    </w:p>
    <w:p>
      <w:pPr>
        <w:numPr>
          <w:ilvl w:val="0"/>
          <w:numId w:val="1006"/>
        </w:numPr>
      </w:pPr>
      <w:r>
        <w:t xml:space="preserve">(Cavaleri et al. 2008)</w:t>
      </w:r>
    </w:p>
    <w:p>
      <w:pPr>
        <w:numPr>
          <w:ilvl w:val="0"/>
          <w:numId w:val="1006"/>
        </w:numPr>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6"/>
        </w:numPr>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1"/>
    <w:bookmarkStart w:id="42"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2"/>
    <w:bookmarkStart w:id="51"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3"/>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5" w:name="morphological-traits"/>
    <w:p>
      <w:pPr>
        <w:pStyle w:val="Heading4"/>
      </w:pPr>
      <w:r>
        <w:t xml:space="preserve">Morphological traits</w:t>
      </w:r>
    </w:p>
    <w:p>
      <w:pPr>
        <w:numPr>
          <w:ilvl w:val="0"/>
          <w:numId w:val="1007"/>
        </w:numPr>
        <w:pStyle w:val="Compact"/>
      </w:pPr>
      <w:r>
        <w:t xml:space="preserve">Recent paper on influence on leaf size/shape in PCE – certain aspects of leaf shape were not as relevant as expected (Leigh et al. 2017?</w:t>
      </w:r>
      <w:r>
        <w:t xml:space="preserve"> </w:t>
      </w:r>
      <w:hyperlink r:id="rId44">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5"/>
    <w:bookmarkStart w:id="47"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6"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8"/>
        </w:numPr>
        <w:pStyle w:val="Compact"/>
      </w:pPr>
      <w:r>
        <w:t xml:space="preserve">antioxidant scavenging function- protect against cellular damage</w:t>
      </w:r>
    </w:p>
    <w:p>
      <w:pPr>
        <w:numPr>
          <w:ilvl w:val="0"/>
          <w:numId w:val="1008"/>
        </w:numPr>
        <w:pStyle w:val="Compact"/>
      </w:pPr>
      <w:r>
        <w:t xml:space="preserve">Koniger et. al. 1995, and Matsubara et al. 2009</w:t>
      </w:r>
    </w:p>
    <w:bookmarkEnd w:id="46"/>
    <w:bookmarkEnd w:id="47"/>
    <w:bookmarkStart w:id="50"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8" w:name="lifespan"/>
    <w:p>
      <w:pPr>
        <w:pStyle w:val="Heading5"/>
      </w:pPr>
      <w:r>
        <w:rPr>
          <w:i/>
        </w:rPr>
        <w:t xml:space="preserve">(lifespan)</w:t>
      </w:r>
    </w:p>
    <w:p>
      <w:pPr>
        <w:pStyle w:val="FirstParagraph"/>
      </w:pPr>
      <w:r>
        <w:rPr>
          <w:i/>
        </w:rPr>
        <w:t xml:space="preserve">Leaf turnover tends to be greater in the sun, so of your standing stock of leaves (at least in evergreen species) sun leaves should be younger than shade leaves. This is bound to affect metabolism, and may affect other aspects of their performance.</w:t>
      </w:r>
    </w:p>
    <w:bookmarkEnd w:id="48"/>
    <w:bookmarkStart w:id="49"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9"/>
    <w:bookmarkEnd w:id="50"/>
    <w:bookmarkEnd w:id="51"/>
    <w:bookmarkStart w:id="53"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52" w:name="isoprene-production"/>
    <w:p>
      <w:pPr>
        <w:pStyle w:val="Heading5"/>
      </w:pPr>
      <w:r>
        <w:t xml:space="preserve">Isoprene production</w:t>
      </w:r>
    </w:p>
    <w:p>
      <w:pPr>
        <w:numPr>
          <w:ilvl w:val="0"/>
          <w:numId w:val="1009"/>
        </w:numPr>
        <w:pStyle w:val="Compact"/>
      </w:pPr>
      <w:r>
        <w:t xml:space="preserve">Isoprene production</w:t>
      </w:r>
      <w:r>
        <w:t xml:space="preserve"> </w:t>
      </w:r>
      <w:r>
        <w:rPr>
          <w:i/>
        </w:rPr>
        <w:t xml:space="preserve">capability</w:t>
      </w:r>
      <w:r>
        <w:t xml:space="preserve"> </w:t>
      </w:r>
      <w:r>
        <w:t xml:space="preserve">as a trait</w:t>
      </w:r>
    </w:p>
    <w:bookmarkEnd w:id="52"/>
    <w:bookmarkEnd w:id="53"/>
    <w:bookmarkEnd w:id="54"/>
    <w:bookmarkStart w:id="6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5"/>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6"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6"/>
    <w:bookmarkStart w:id="57"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7"/>
    <w:bookmarkStart w:id="59"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9"/>
    <w:bookmarkStart w:id="61"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60">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1"/>
    <w:bookmarkEnd w:id="62"/>
    <w:bookmarkStart w:id="67"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5"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t xml:space="preserve">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3"/>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4">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5"/>
    <w:bookmarkStart w:id="66"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bookmarkEnd w:id="66"/>
    <w:bookmarkEnd w:id="67"/>
    <w:bookmarkStart w:id="70" w:name="projecting-in-time-and-space"/>
    <w:p>
      <w:pPr>
        <w:pStyle w:val="Heading2"/>
      </w:pPr>
      <w:r>
        <w:t xml:space="preserve">Projecting in time and space</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8" w:name="remote-sensing"/>
    <w:p>
      <w:pPr>
        <w:pStyle w:val="Heading3"/>
      </w:pPr>
      <w:r>
        <w:t xml:space="preserve">Remote sensing</w:t>
      </w:r>
    </w:p>
    <w:p>
      <w:pPr>
        <w:pStyle w:val="FirstParagraph"/>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8"/>
    <w:bookmarkStart w:id="69"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9"/>
    <w:bookmarkEnd w:id="70"/>
    <w:bookmarkStart w:id="73" w:name="global-change-responses"/>
    <w:p>
      <w:pPr>
        <w:pStyle w:val="Heading2"/>
      </w:pPr>
      <w:r>
        <w:t xml:space="preserve">Global change responses</w:t>
      </w:r>
    </w:p>
    <w:bookmarkStart w:id="71" w:name="warming"/>
    <w:p>
      <w:pPr>
        <w:pStyle w:val="Heading3"/>
      </w:pPr>
      <w:r>
        <w:t xml:space="preserve">warming</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bookmarkEnd w:id="71"/>
    <w:bookmarkStart w:id="72" w:name="canopy-disturbance"/>
    <w:p>
      <w:pPr>
        <w:pStyle w:val="Heading3"/>
      </w:pPr>
      <w:r>
        <w:t xml:space="preserve">canopy disturbance</w:t>
      </w:r>
    </w:p>
    <w:p>
      <w:pPr>
        <w:pStyle w:val="FirstParagraph"/>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72"/>
    <w:bookmarkEnd w:id="73"/>
    <w:bookmarkStart w:id="74"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4"/>
    <w:bookmarkStart w:id="75"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5"/>
    <w:bookmarkStart w:id="170" w:name="references"/>
    <w:p>
      <w:pPr>
        <w:pStyle w:val="Heading2"/>
      </w:pPr>
      <w:r>
        <w:t xml:space="preserve">References</w:t>
      </w:r>
    </w:p>
    <w:bookmarkStart w:id="169" w:name="refs"/>
    <w:bookmarkStart w:id="76"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6"/>
    <w:bookmarkStart w:id="77"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7"/>
    <w:bookmarkStart w:id="78"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8"/>
    <w:bookmarkStart w:id="79"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9"/>
    <w:bookmarkStart w:id="80"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0"/>
    <w:bookmarkStart w:id="81"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1"/>
    <w:bookmarkStart w:id="82"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2"/>
    <w:bookmarkStart w:id="83"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3"/>
    <w:bookmarkStart w:id="84"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4"/>
    <w:bookmarkStart w:id="8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5"/>
    <w:bookmarkStart w:id="8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6"/>
    <w:bookmarkStart w:id="8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7"/>
    <w:bookmarkStart w:id="88"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8"/>
    <w:bookmarkStart w:id="89"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9"/>
    <w:bookmarkStart w:id="90"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0"/>
    <w:bookmarkStart w:id="91"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1"/>
    <w:bookmarkStart w:id="92"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2"/>
    <w:bookmarkStart w:id="93"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3"/>
    <w:bookmarkStart w:id="94"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4"/>
    <w:bookmarkStart w:id="9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5"/>
    <w:bookmarkStart w:id="9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6"/>
    <w:bookmarkStart w:id="9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7"/>
    <w:bookmarkStart w:id="9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8"/>
    <w:bookmarkStart w:id="9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9"/>
    <w:bookmarkStart w:id="100"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00"/>
    <w:bookmarkStart w:id="10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01"/>
    <w:bookmarkStart w:id="10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2"/>
    <w:bookmarkStart w:id="103"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3"/>
    <w:bookmarkStart w:id="104"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4"/>
    <w:bookmarkStart w:id="105"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5"/>
    <w:bookmarkStart w:id="106"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6"/>
    <w:bookmarkStart w:id="107"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7"/>
    <w:bookmarkStart w:id="108"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8"/>
    <w:bookmarkStart w:id="109"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9"/>
    <w:bookmarkStart w:id="110"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10"/>
    <w:bookmarkStart w:id="111"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11"/>
    <w:bookmarkStart w:id="112"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2"/>
    <w:bookmarkStart w:id="113"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3"/>
    <w:bookmarkStart w:id="11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4"/>
    <w:bookmarkStart w:id="115"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5"/>
    <w:bookmarkStart w:id="116"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6"/>
    <w:bookmarkStart w:id="117"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7"/>
    <w:bookmarkStart w:id="118"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8"/>
    <w:bookmarkStart w:id="11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9"/>
    <w:bookmarkStart w:id="12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20"/>
    <w:bookmarkStart w:id="121"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21"/>
    <w:bookmarkStart w:id="122"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2"/>
    <w:bookmarkStart w:id="123"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3"/>
    <w:bookmarkStart w:id="124"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4"/>
    <w:bookmarkStart w:id="125"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5"/>
    <w:bookmarkStart w:id="126"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6"/>
    <w:bookmarkStart w:id="127"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7"/>
    <w:bookmarkStart w:id="128"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8"/>
    <w:bookmarkStart w:id="129"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9"/>
    <w:bookmarkStart w:id="130"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30"/>
    <w:bookmarkStart w:id="131"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31"/>
    <w:bookmarkStart w:id="132"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2"/>
    <w:bookmarkStart w:id="133"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3"/>
    <w:bookmarkStart w:id="134"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4"/>
    <w:bookmarkStart w:id="135"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5"/>
    <w:bookmarkStart w:id="136"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6"/>
    <w:bookmarkStart w:id="137"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7"/>
    <w:bookmarkStart w:id="138"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8"/>
    <w:bookmarkStart w:id="139"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9"/>
    <w:bookmarkStart w:id="140"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40"/>
    <w:bookmarkStart w:id="141"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41"/>
    <w:bookmarkStart w:id="142"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2"/>
    <w:bookmarkStart w:id="143"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3"/>
    <w:bookmarkStart w:id="144"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4"/>
    <w:bookmarkStart w:id="145"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5"/>
    <w:bookmarkStart w:id="146"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6"/>
    <w:bookmarkStart w:id="147"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7"/>
    <w:bookmarkStart w:id="148"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8"/>
    <w:bookmarkStart w:id="149"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9"/>
    <w:bookmarkStart w:id="150"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50"/>
    <w:bookmarkStart w:id="151"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51"/>
    <w:bookmarkStart w:id="152"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2"/>
    <w:bookmarkStart w:id="153"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3"/>
    <w:bookmarkStart w:id="154"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4"/>
    <w:bookmarkStart w:id="155"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5"/>
    <w:bookmarkStart w:id="156"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6"/>
    <w:bookmarkStart w:id="157"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7"/>
    <w:bookmarkStart w:id="158"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8"/>
    <w:bookmarkStart w:id="15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9"/>
    <w:bookmarkStart w:id="160"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60"/>
    <w:bookmarkStart w:id="161"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61"/>
    <w:bookmarkStart w:id="162"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2"/>
    <w:bookmarkStart w:id="16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3"/>
    <w:bookmarkStart w:id="16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4"/>
    <w:bookmarkStart w:id="16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5"/>
    <w:bookmarkStart w:id="166"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6"/>
    <w:bookmarkStart w:id="167"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7"/>
    <w:bookmarkStart w:id="168"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hyperlink" Id="rId36" Target="2020_12_draft" TargetMode="External" /><Relationship Type="http://schemas.openxmlformats.org/officeDocument/2006/relationships/hyperlink" Id="rId38"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6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4" Target="https://github.com/EcoClimLab/vertical-thermal-review/issues/29" TargetMode="External" /><Relationship Type="http://schemas.openxmlformats.org/officeDocument/2006/relationships/hyperlink" Id="rId58" Target="https://github.com/EcoClimLab/vertical-thermal-review/issues/8" TargetMode="External" /><Relationship Type="http://schemas.openxmlformats.org/officeDocument/2006/relationships/hyperlink" Id="rId44"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8"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6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4" Target="https://github.com/EcoClimLab/vertical-thermal-review/issues/29" TargetMode="External" /><Relationship Type="http://schemas.openxmlformats.org/officeDocument/2006/relationships/hyperlink" Id="rId58" Target="https://github.com/EcoClimLab/vertical-thermal-review/issues/8" TargetMode="External" /><Relationship Type="http://schemas.openxmlformats.org/officeDocument/2006/relationships/hyperlink" Id="rId44"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2021-02-03T02:34:29Z</dcterms:created>
  <dcterms:modified xsi:type="dcterms:W3CDTF">2021-02-03T02:34:29Z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