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67"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w:t>
      </w:r>
      <w:r>
        <w:t xml:space="preserve"> </w:t>
      </w:r>
      <w:r>
        <w:t xml:space="preserve">(Fig. 2; Lowman &amp; Rinker, 1995; Niinemets &amp; Anten, 2009; Aussenac, 2000; Poorter</w:t>
      </w:r>
      <w:r>
        <w:t xml:space="preserve"> </w:t>
      </w:r>
      <w:r>
        <w:rPr>
          <w:i/>
        </w:rPr>
        <w:t xml:space="preserve">et al.</w:t>
      </w:r>
      <w:r>
        <w:t xml:space="preserve">, 2019)</w:t>
      </w:r>
      <w:r>
        <w:t xml:space="preserve">.</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396287"/>
            <wp:effectExtent b="0" l="0" r="0" t="0"/>
            <wp:docPr descr="Figure 3. Theoretical expectations for variation in the elevation of T_{leaf} above T_{air} in response to (a) shortwave radiation, (b) wind speed, (c) stomatal conductance (g_s), and (d) leaf width.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stomatal conductance (</w:t>
      </w:r>
      <m:oMath>
        <m:sSub>
          <m:e>
            <m:r>
              <m:t>g</m:t>
            </m:r>
          </m:e>
          <m:sub>
            <m:r>
              <m:t>s</m:t>
            </m:r>
          </m:sub>
        </m:sSub>
      </m:oMath>
      <w:r>
        <w:rPr>
          <w:b/>
        </w:rPr>
        <w:t xml:space="preserve">), and (d) leaf width.</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rPr>
          <w:i/>
        </w:rPr>
        <w:t xml:space="preserve">Smaller leaves have higher</w:t>
      </w:r>
      <w:r>
        <w:rPr>
          <w:i/>
        </w:rPr>
        <w:t xml:space="preserve"> </w:t>
      </w:r>
      <m:oMath>
        <m:sSub>
          <m:e>
            <m:r>
              <m:t>g</m:t>
            </m:r>
          </m:e>
          <m:sub>
            <m:r>
              <m:t>a</m:t>
            </m:r>
          </m:sub>
        </m:sSub>
      </m:oMath>
      <w:r>
        <w:rPr>
          <w:i/>
        </w:rPr>
        <w:t xml:space="preserve"> </w:t>
      </w:r>
      <w:r>
        <w:rPr>
          <w:i/>
        </w:rPr>
        <w:t xml:space="preserve">to heat transfer, allowing them to dissipate heat more efficiently than larger leaves</w:t>
      </w:r>
      <w:r>
        <w:rPr>
          <w:i/>
        </w:rPr>
        <w:t xml:space="preserve"> </w:t>
      </w:r>
      <w:r>
        <w:rPr>
          <w:i/>
        </w:rPr>
        <w:t xml:space="preserve">(Bauerle &amp; Bowden, 2011)</w:t>
      </w:r>
      <w:r>
        <w:rPr>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tropical moist forest in Panama… (Rey-Sánchez et al. 2016). Sun leaves can also be cooled relative to</w:t>
      </w:r>
      <w:r>
        <w:t xml:space="preserve"> </w:t>
      </w:r>
      <m:oMath>
        <m:sSub>
          <m:e>
            <m:r>
              <m:t>T</m:t>
            </m:r>
          </m:e>
          <m:sub>
            <m:r>
              <m:t>a</m:t>
            </m:r>
            <m:r>
              <m:t>i</m:t>
            </m:r>
            <m:r>
              <m:t>r</m:t>
            </m:r>
          </m:sub>
        </m:sSub>
      </m:oMath>
      <w:r>
        <w:t xml:space="preserve"> </w:t>
      </w:r>
      <w:r>
        <w:t xml:space="preserve">more than shade leaves (Rey-Sánchez et al. 2016).</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3"/>
        </w:numPr>
      </w:pPr>
      <w:r>
        <w:t xml:space="preserve">(Slot et al. 2019) and refs therein</w:t>
      </w:r>
    </w:p>
    <w:p>
      <w:pPr>
        <w:numPr>
          <w:ilvl w:val="0"/>
          <w:numId w:val="1003"/>
        </w:numPr>
      </w:pPr>
      <w:r>
        <w:t xml:space="preserve">Elsa: I came across these two studies that could be relevent in the evapotranspiration/temperature feedback section hinted at above:</w:t>
      </w:r>
    </w:p>
    <w:p>
      <w:pPr>
        <w:numPr>
          <w:ilvl w:val="0"/>
          <w:numId w:val="1003"/>
        </w:numPr>
      </w:pPr>
      <w:r>
        <w:t xml:space="preserve">Staudt, K., Serafimovich, A., Siebicke, L., Pyles, R.D. and Falge, E., 2011. Vertical structure of evapotranspiration at a forest site (a case study). Agricultural and Forest Meteorology, 151(6), pp.709-729.</w:t>
      </w:r>
    </w:p>
    <w:p>
      <w:pPr>
        <w:numPr>
          <w:ilvl w:val="0"/>
          <w:numId w:val="1003"/>
        </w:numPr>
      </w:pPr>
      <w:r>
        <w:t xml:space="preserve">Sellin, A. and Lubenets, K., 2010. Variation of transpiration within a canopy of silver birch: effect of canopy position and daily versus nightly water loss. Ecohydrology, 3(4), pp.467-477.</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numPr>
          <w:ilvl w:val="0"/>
          <w:numId w:val="1004"/>
        </w:numPr>
      </w:pPr>
      <w:r>
        <w:t xml:space="preserve">However, studies that have measured LMA in relation to height have found that in tropical forests LMA-height predicted stronger correlation between area- based respiration versus foliar nutrients, whereas Q10 and E10 remained constant with height [Cavaleri et al. 2008].</w:t>
      </w:r>
    </w:p>
    <w:p>
      <w:pPr>
        <w:numPr>
          <w:ilvl w:val="0"/>
          <w:numId w:val="1004"/>
        </w:numPr>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numPr>
          <w:ilvl w:val="0"/>
          <w:numId w:val="1004"/>
        </w:numPr>
      </w:pPr>
      <w:r>
        <w:t xml:space="preserve">Height is more important than light in determining leaf morphology in a tropical forests (Cavaleri et al. 2010)</w:t>
      </w:r>
    </w:p>
    <w:p>
      <w:pPr>
        <w:numPr>
          <w:ilvl w:val="0"/>
          <w:numId w:val="1004"/>
        </w:numPr>
      </w:pPr>
      <w:r>
        <w:t xml:space="preserve">(Cavaleri et al. 2008)</w:t>
      </w:r>
    </w:p>
    <w:p>
      <w:pPr>
        <w:numPr>
          <w:ilvl w:val="0"/>
          <w:numId w:val="1004"/>
        </w:numPr>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4"/>
        </w:numPr>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1"/>
    <w:bookmarkStart w:id="50"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4" w:name="morphological-traits"/>
    <w:p>
      <w:pPr>
        <w:pStyle w:val="Heading4"/>
      </w:pPr>
      <w:r>
        <w:t xml:space="preserve">Morphological traits</w:t>
      </w:r>
    </w:p>
    <w:p>
      <w:pPr>
        <w:numPr>
          <w:ilvl w:val="0"/>
          <w:numId w:val="1005"/>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lifespan"/>
    <w:p>
      <w:pPr>
        <w:pStyle w:val="Heading5"/>
      </w:pPr>
      <w:r>
        <w:rPr>
          <w:i/>
        </w:rPr>
        <w:t xml:space="preserve">(lifespan)</w:t>
      </w:r>
    </w:p>
    <w:p>
      <w:pPr>
        <w:pStyle w:val="FirstParagraph"/>
      </w:pPr>
      <w:r>
        <w:rPr>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51" w:name="isoprene-production"/>
    <w:p>
      <w:pPr>
        <w:pStyle w:val="Heading5"/>
      </w:pPr>
      <w:r>
        <w:t xml:space="preserve">Isoprene production</w:t>
      </w:r>
    </w:p>
    <w:p>
      <w:pPr>
        <w:numPr>
          <w:ilvl w:val="0"/>
          <w:numId w:val="1007"/>
        </w:numPr>
        <w:pStyle w:val="Compact"/>
      </w:pPr>
      <w:r>
        <w:t xml:space="preserve">Isoprene production</w:t>
      </w:r>
      <w:r>
        <w:t xml:space="preserve"> </w:t>
      </w:r>
      <w:r>
        <w:rPr>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8"/>
        </w:numPr>
        <w:pStyle w:val="Compact"/>
      </w:pPr>
      <w:r>
        <w:t xml:space="preserve">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w:t>
      </w:r>
      <w:r>
        <w:t xml:space="preserve"> </w:t>
      </w:r>
      <w:r>
        <w:rPr>
          <w:i/>
        </w:rPr>
        <w:t xml:space="preserve">as observed by earlier studies, suggesting that the interaction between light gradient and temperature response along vertical canopy profile implied a spectrum of temperature responses of</w:t>
      </w:r>
      <w:r>
        <w:rPr>
          <w:i/>
        </w:rPr>
        <w:t xml:space="preserve"> </w:t>
      </w:r>
      <m:oMath>
        <m:sSub>
          <m:e>
            <m:r>
              <m:t>T</m:t>
            </m:r>
          </m:e>
          <m:sub>
            <m:r>
              <m:t>o</m:t>
            </m:r>
            <m:r>
              <m:t>p</m:t>
            </m:r>
            <m:r>
              <m:t>t</m:t>
            </m:r>
          </m:sub>
        </m:sSub>
      </m:oMath>
      <w:r>
        <w:rPr>
          <w:i/>
        </w:rPr>
        <w:t xml:space="preserve">,</w:t>
      </w:r>
      <m:oMath>
        <m:sSub>
          <m:e>
            <m:r>
              <m:t>V</m:t>
            </m:r>
          </m:e>
          <m:sub>
            <m:r>
              <m:t>m</m:t>
            </m:r>
            <m:r>
              <m:t>a</m:t>
            </m:r>
            <m:r>
              <m:t>x</m:t>
            </m:r>
          </m:sub>
        </m:sSub>
      </m:oMath>
      <w:r>
        <w:rPr>
          <w:i/>
        </w:rPr>
        <w:t xml:space="preserve"> </w:t>
      </w:r>
      <w:r>
        <w:rPr>
          <w:i/>
        </w:rPr>
        <w:t xml:space="preserve">and</w:t>
      </w:r>
      <w:r>
        <w:rPr>
          <w:i/>
        </w:rPr>
        <w:t xml:space="preserve"> </w:t>
      </w:r>
      <m:oMath>
        <m:sSub>
          <m:e>
            <m:r>
              <m:t>J</m:t>
            </m:r>
          </m:e>
          <m:sub>
            <m:r>
              <m:t>m</m:t>
            </m:r>
            <m:r>
              <m:t>a</m:t>
            </m:r>
            <m:r>
              <m:t>x</m:t>
            </m:r>
          </m:sub>
        </m:sSub>
      </m:oMath>
      <w:r>
        <w:rPr>
          <w:i/>
        </w:rPr>
        <w:t xml:space="preserve"> </w:t>
      </w:r>
      <w:r>
        <w:rPr>
          <w:i/>
        </w:rPr>
        <w:t xml:space="preserve">along the gradient [</w:t>
      </w:r>
      <w:r>
        <w:rPr>
          <w:i/>
        </w:rPr>
        <w:t xml:space="preserve">Niinemets</w:t>
      </w:r>
      <w:r>
        <w:rPr>
          <w:i/>
        </w:rPr>
        <w:t xml:space="preserve"> </w:t>
      </w:r>
      <w:r>
        <w:rPr>
          <w:i/>
          <w:i/>
        </w:rPr>
        <w:t xml:space="preserve">et al.</w:t>
      </w:r>
      <w:r>
        <w:rPr>
          <w:i/>
        </w:rPr>
        <w:t xml:space="preserve"> </w:t>
      </w:r>
      <w:r>
        <w:rPr>
          <w:i/>
        </w:rPr>
        <w:t xml:space="preserve">(2004)</w:t>
      </w:r>
      <w:r>
        <w:rPr>
          <w:i/>
        </w:rPr>
        <w:t xml:space="preserve">; Harley and Baldocchi 1995, Friend, 2001].</w:t>
      </w:r>
      <w:r>
        <w:t xml:space="preserve"> </w:t>
      </w:r>
      <w:r>
        <w:rPr>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
        </w:rPr>
        <w:t xml:space="preserve">???</w:t>
      </w:r>
      <w:r>
        <w:t xml:space="preserve"> </w:t>
      </w:r>
      <w:r>
        <w:t xml:space="preserve">; Hernández</w:t>
      </w:r>
      <w:r>
        <w:t xml:space="preserve"> </w:t>
      </w:r>
      <w:r>
        <w:rPr>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Leaf thermal tolerance (Tcrit/ T50)</w:t>
      </w:r>
      <w:r>
        <w:t xml:space="preserve"> </w:t>
      </w:r>
      <w:r>
        <w:rPr>
          <w:i/>
        </w:rPr>
        <w:t xml:space="preserve">(define)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6"/>
    <w:bookmarkStart w:id="58"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bookmarkEnd w:id="65"/>
    <w:bookmarkEnd w:id="66"/>
    <w:bookmarkEnd w:id="67"/>
    <w:bookmarkStart w:id="173" w:name="implications"/>
    <w:p>
      <w:pPr>
        <w:pStyle w:val="Heading1"/>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Start w:id="70" w:name="global-change-responses"/>
    <w:p>
      <w:pPr>
        <w:pStyle w:val="Heading2"/>
      </w:pPr>
      <w:r>
        <w:t xml:space="preserve">Global change responses</w:t>
      </w:r>
    </w:p>
    <w:bookmarkStart w:id="68" w:name="warming"/>
    <w:p>
      <w:pPr>
        <w:pStyle w:val="Heading3"/>
      </w:pPr>
      <w:r>
        <w:t xml:space="preserve">warming</w:t>
      </w:r>
    </w:p>
    <w:p>
      <w:pPr>
        <w:numPr>
          <w:ilvl w:val="0"/>
          <w:numId w:val="1009"/>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72" w:name="references"/>
    <w:p>
      <w:pPr>
        <w:pStyle w:val="Heading2"/>
      </w:pPr>
      <w:r>
        <w:t xml:space="preserve">References</w:t>
      </w:r>
    </w:p>
    <w:bookmarkStart w:id="171" w:name="refs"/>
    <w:bookmarkStart w:id="78"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8"/>
    <w:bookmarkStart w:id="79"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9"/>
    <w:bookmarkStart w:id="80"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80"/>
    <w:bookmarkStart w:id="81"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1"/>
    <w:bookmarkStart w:id="82"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2"/>
    <w:bookmarkStart w:id="83"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3"/>
    <w:bookmarkStart w:id="8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4"/>
    <w:bookmarkStart w:id="85"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5"/>
    <w:bookmarkStart w:id="86"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6"/>
    <w:bookmarkStart w:id="8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7"/>
    <w:bookmarkStart w:id="8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8"/>
    <w:bookmarkStart w:id="89"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9"/>
    <w:bookmarkStart w:id="90"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90"/>
    <w:bookmarkStart w:id="91"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91"/>
    <w:bookmarkStart w:id="92"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2"/>
    <w:bookmarkStart w:id="93"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3"/>
    <w:bookmarkStart w:id="94"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4"/>
    <w:bookmarkStart w:id="95"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5"/>
    <w:bookmarkStart w:id="96"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6"/>
    <w:bookmarkStart w:id="97"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7"/>
    <w:bookmarkStart w:id="98"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8"/>
    <w:bookmarkStart w:id="99"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9"/>
    <w:bookmarkStart w:id="100"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100"/>
    <w:bookmarkStart w:id="101"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1"/>
    <w:bookmarkStart w:id="102"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02"/>
    <w:bookmarkStart w:id="103"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03"/>
    <w:bookmarkStart w:id="104"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4"/>
    <w:bookmarkStart w:id="10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5"/>
    <w:bookmarkStart w:id="106"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6"/>
    <w:bookmarkStart w:id="107"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7"/>
    <w:bookmarkStart w:id="108"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8"/>
    <w:bookmarkStart w:id="109"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9"/>
    <w:bookmarkStart w:id="110"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10"/>
    <w:bookmarkStart w:id="111"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11"/>
    <w:bookmarkStart w:id="112"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12"/>
    <w:bookmarkStart w:id="113"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13"/>
    <w:bookmarkStart w:id="114"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4"/>
    <w:bookmarkStart w:id="115"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5"/>
    <w:bookmarkStart w:id="11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6"/>
    <w:bookmarkStart w:id="117"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7"/>
    <w:bookmarkStart w:id="118"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8"/>
    <w:bookmarkStart w:id="119"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9"/>
    <w:bookmarkStart w:id="120"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20"/>
    <w:bookmarkStart w:id="121"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21"/>
    <w:bookmarkStart w:id="122"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22"/>
    <w:bookmarkStart w:id="123"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23"/>
    <w:bookmarkStart w:id="124"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4"/>
    <w:bookmarkStart w:id="12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5"/>
    <w:bookmarkStart w:id="126"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6"/>
    <w:bookmarkStart w:id="127"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7"/>
    <w:bookmarkStart w:id="128"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8"/>
    <w:bookmarkStart w:id="129"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9"/>
    <w:bookmarkStart w:id="13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30"/>
    <w:bookmarkStart w:id="131"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31"/>
    <w:bookmarkStart w:id="13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32"/>
    <w:bookmarkStart w:id="13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33"/>
    <w:bookmarkStart w:id="134"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4"/>
    <w:bookmarkStart w:id="135"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5"/>
    <w:bookmarkStart w:id="13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6"/>
    <w:bookmarkStart w:id="137"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7"/>
    <w:bookmarkStart w:id="138"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8"/>
    <w:bookmarkStart w:id="139"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9"/>
    <w:bookmarkStart w:id="140"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40"/>
    <w:bookmarkStart w:id="141"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41"/>
    <w:bookmarkStart w:id="142"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42"/>
    <w:bookmarkStart w:id="143"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43"/>
    <w:bookmarkStart w:id="144"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4"/>
    <w:bookmarkStart w:id="145"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5"/>
    <w:bookmarkStart w:id="146"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6"/>
    <w:bookmarkStart w:id="147"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7"/>
    <w:bookmarkStart w:id="14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8"/>
    <w:bookmarkStart w:id="149"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9"/>
    <w:bookmarkStart w:id="150"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50"/>
    <w:bookmarkStart w:id="15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51"/>
    <w:bookmarkStart w:id="15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52"/>
    <w:bookmarkStart w:id="15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53"/>
    <w:bookmarkStart w:id="15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4"/>
    <w:bookmarkStart w:id="15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5"/>
    <w:bookmarkStart w:id="15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6"/>
    <w:bookmarkStart w:id="15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7"/>
    <w:bookmarkStart w:id="158"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8"/>
    <w:bookmarkStart w:id="15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9"/>
    <w:bookmarkStart w:id="160"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60"/>
    <w:bookmarkStart w:id="161"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61"/>
    <w:bookmarkStart w:id="162"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62"/>
    <w:bookmarkStart w:id="163"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63"/>
    <w:bookmarkStart w:id="164"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4"/>
    <w:bookmarkStart w:id="16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5"/>
    <w:bookmarkStart w:id="16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6"/>
    <w:bookmarkStart w:id="16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7"/>
    <w:bookmarkStart w:id="168"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8"/>
    <w:bookmarkStart w:id="169"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9"/>
    <w:bookmarkStart w:id="170"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70"/>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2021-02-03T17:07:33Z</dcterms:created>
  <dcterms:modified xsi:type="dcterms:W3CDTF">2021-02-03T17:07:33Z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