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37.png" ContentType="image/png"/>
  <Override PartName="/word/media/rId29.png" ContentType="image/png"/>
  <Override PartName="/word/media/rId22.png" ContentType="image/png"/>
  <Override PartName="/word/media/rId27.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Ordway,</w:t>
      </w:r>
      <w:r>
        <w:t xml:space="preserve"> </w:t>
      </w:r>
      <w:r>
        <w:t xml:space="preserve">Marielle N. Smith</w:t>
      </w:r>
      <w:r>
        <w:rPr>
          <w:vertAlign w:val="superscript"/>
        </w:rPr>
        <w:t xml:space="preserve">3</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growth and mortality.</w:t>
      </w:r>
      <w:r>
        <w:t xml:space="preserve"> </w:t>
      </w:r>
      <w:r>
        <w:t xml:space="preserve">Strong vertical microclimatic gradients imply that canopy leaves are exposed to more solar radiation and higher evaporative demand than understory leaves.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generally track air temperature (</w:t>
      </w:r>
      <m:oMath>
        <m:sSub>
          <m:e>
            <m:r>
              <m:t>T</m:t>
            </m:r>
          </m:e>
          <m:sub>
            <m:r>
              <m:t>a</m:t>
            </m:r>
            <m:r>
              <m:t>i</m:t>
            </m:r>
            <m:r>
              <m:t>r</m:t>
            </m:r>
          </m:sub>
        </m:sSub>
      </m:oMath>
      <w:r>
        <w:t xml:space="preserve">) and do not vary dramatically across the vertical gradient, except when hydraulic limitations impede evaporative cooling such that</w:t>
      </w:r>
      <w:r>
        <w:t xml:space="preserve"> </w:t>
      </w:r>
      <m:oMath>
        <m:sSub>
          <m:e>
            <m:r>
              <m:t>T</m:t>
            </m:r>
          </m:e>
          <m:sub>
            <m:r>
              <m:t>l</m:t>
            </m:r>
            <m:r>
              <m:t>e</m:t>
            </m:r>
            <m:r>
              <m:t>a</m:t>
            </m:r>
            <m:r>
              <m:t>f</m:t>
            </m:r>
          </m:sub>
        </m:sSub>
      </m:oMath>
      <w:r>
        <w:t xml:space="preserve">’s of sun-exposed canopy leaves become significantly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Correspondingly, 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3" w:name="introduction"/>
    <w:p>
      <w:pPr>
        <w:pStyle w:val="Heading2"/>
      </w:pPr>
      <w:r>
        <w:t xml:space="preserve">Introduction</w:t>
      </w:r>
    </w:p>
    <w:p>
      <w:pPr>
        <w:pStyle w:val="FirstParagraph"/>
      </w:pP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w:t>
      </w:r>
      <w:r>
        <w:t xml:space="preserve"> </w:t>
      </w:r>
      <w:r>
        <w:t xml:space="preserve">There is also increasing severity and frequency of heat waves</w:t>
      </w:r>
      <w:r>
        <w:t xml:space="preserve"> </w:t>
      </w:r>
      <w:r>
        <w:t xml:space="preserve">(Perkins</w:t>
      </w:r>
      <w:r>
        <w:t xml:space="preserve"> </w:t>
      </w:r>
      <w:r>
        <w:rPr>
          <w:i/>
        </w:rPr>
        <w:t xml:space="preserve">et al.</w:t>
      </w:r>
      <w:r>
        <w:t xml:space="preserve">, 2012)</w:t>
      </w:r>
      <w:r>
        <w:t xml:space="preserve">.</w:t>
      </w:r>
      <w:r>
        <w:t xml:space="preserve"> </w:t>
      </w:r>
      <w:r>
        <w:t xml:space="preserve">This is expected to have profound effects on forest biodiversity and ecosystem function (REFS), and the resulting feedbacks to the climate system (e.g., decreased C storage, altered albedo and hydrology) will have a critical influence on the future of trajectory of climate change</w:t>
      </w:r>
      <w:r>
        <w:t xml:space="preserve"> </w:t>
      </w:r>
      <w:r>
        <w:t xml:space="preserve">(Bonan, 2016, Bonan 2008)</w:t>
      </w:r>
      <w:r>
        <w:t xml:space="preserve">.</w:t>
      </w:r>
      <w:r>
        <w:t xml:space="preserve"> </w:t>
      </w:r>
      <w:r>
        <w:t xml:space="preserve">These changes, alongside climate change-driven disturbances such as drought, deforestation and fire, may contribute to increasing tree mortality in forests around the world</w:t>
      </w:r>
      <w:r>
        <w:t xml:space="preserve"> </w:t>
      </w:r>
      <w:r>
        <w:t xml:space="preserve">(McDowell</w:t>
      </w:r>
      <w:r>
        <w:t xml:space="preserve"> </w:t>
      </w:r>
      <w:r>
        <w:rPr>
          <w:i/>
        </w:rPr>
        <w:t xml:space="preserve">et al.</w:t>
      </w:r>
      <w:r>
        <w:t xml:space="preserve">, 2008, p. @allenUnderestimationGlobalVulnerability2015, Brienen et al. 2015)</w:t>
      </w:r>
      <w:r>
        <w:t xml:space="preserve">.</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r>
        <w:t xml:space="preserve"> </w:t>
      </w:r>
      <w:r>
        <w:t xml:space="preserve">Taller trees form canopies that maintain vertically-stratified forest ecosystems, and play a crucial role in regulating macro-microclimate. (Nakamura et al. 2017, Ozanne et al. 2003)</w:t>
      </w:r>
      <w:r>
        <w:br/>
      </w:r>
      <w:r>
        <w:t xml:space="preserve">With increase in temperatures globally, we’re seeing that larger trees suffer more during drought</w:t>
      </w:r>
      <w:r>
        <w:t xml:space="preserve"> </w:t>
      </w:r>
      <w:r>
        <w:t xml:space="preserve">(Bennett</w:t>
      </w:r>
      <w:r>
        <w:t xml:space="preserve"> </w:t>
      </w:r>
      <w:r>
        <w:rPr>
          <w:i/>
        </w:rPr>
        <w:t xml:space="preserve">et al.</w:t>
      </w:r>
      <w:r>
        <w:t xml:space="preserve">, 2015, p. @stovallTreeHeightExplains2019)</w:t>
      </w:r>
      <w:r>
        <w:t xml:space="preserve"> </w:t>
      </w:r>
      <w:r>
        <w:t xml:space="preserve">Increasing mortality of large trees, sometimes coupled with reduced tree growth rates, is driving a global trend towards more disturbed forests with younger trees (McDowell et al.2020).</w:t>
      </w:r>
    </w:p>
    <w:p>
      <w:pPr>
        <w:pStyle w:val="BodyText"/>
      </w:pPr>
      <w:r>
        <w:rPr>
          <w:b/>
        </w:rPr>
        <w:t xml:space="preserve">The structure and microclimates of global forests are changing due to unprecedented disturbance rates.</w:t>
      </w:r>
      <w:r>
        <w:t xml:space="preserve"> </w:t>
      </w:r>
      <w:r>
        <w:t xml:space="preserve">Temperate and tropical forest canopies are already or will be soon functioning beyond their optimal photosynthetic threshold</w:t>
      </w:r>
      <w:r>
        <w:t xml:space="preserve"> </w:t>
      </w:r>
      <w:r>
        <w:t xml:space="preserve">(Mau</w:t>
      </w:r>
      <w:r>
        <w:t xml:space="preserve"> </w:t>
      </w:r>
      <w:r>
        <w:rPr>
          <w:i/>
        </w:rPr>
        <w:t xml:space="preserve">et al.</w:t>
      </w:r>
      <w:r>
        <w:t xml:space="preserve">, 2018, p. @huangAirTemperatureOptima2019)</w:t>
      </w:r>
      <w:r>
        <w:t xml:space="preserve">.Loss of canopy cover as a result of increasing temperature and related forest disturbances</w:t>
      </w:r>
      <w:r>
        <w:t xml:space="preserve"> </w:t>
      </w:r>
      <w:r>
        <w:t xml:space="preserve">(Senf</w:t>
      </w:r>
      <w:r>
        <w:t xml:space="preserve"> </w:t>
      </w:r>
      <w:r>
        <w:rPr>
          <w:i/>
        </w:rPr>
        <w:t xml:space="preserve">et al.</w:t>
      </w:r>
      <w:r>
        <w:t xml:space="preserve">, 2018)</w:t>
      </w:r>
      <w:r>
        <w:t xml:space="preserve"> </w:t>
      </w:r>
      <w:r>
        <w:t xml:space="preserve">is associated with reductions in canopy structural complexity, and altered microclimates and surface energy balance components (Zellweger et al. 2020; Stark et al. 2020 ), this has shown to increase understory temperatures which raises concern for understory species and forest biodiversity</w:t>
      </w:r>
      <w:r>
        <w:t xml:space="preserve"> </w:t>
      </w:r>
      <w:r>
        <w:t xml:space="preserve">(Zellweger</w:t>
      </w:r>
      <w:r>
        <w:t xml:space="preserve"> </w:t>
      </w:r>
      <w:r>
        <w:rPr>
          <w:i/>
        </w:rPr>
        <w:t xml:space="preserve">et al.</w:t>
      </w:r>
      <w:r>
        <w:t xml:space="preserve">, 2019, p. @defrenneMicroclimateModeratesPlant2013)</w:t>
      </w:r>
    </w:p>
    <w:p>
      <w:pPr>
        <w:pStyle w:val="BodyText"/>
      </w:pPr>
      <w:r>
        <w:t xml:space="preserve">(Marielle–</w:t>
      </w:r>
      <w:r>
        <w:t xml:space="preserve">“</w:t>
      </w:r>
      <w:r>
        <w:t xml:space="preserve">Reductions in canopy cover can lead to non-linear threshold responses, causing dramatic shifts from one forest state to another (e.g., transition from forest to savanna-like vegetation in tropical forest regions through</w:t>
      </w:r>
      <w:r>
        <w:t xml:space="preserve">”</w:t>
      </w:r>
      <w:r>
        <w:t xml:space="preserve">savannization</w:t>
      </w:r>
      <w:r>
        <w:t xml:space="preserve">“</w:t>
      </w:r>
      <w:r>
        <w:t xml:space="preserve">), with energy balance impacts and implications for forest-atmosphere interactions (Stark et al. 2020)</w:t>
      </w:r>
      <w:r>
        <w:t xml:space="preserve">”</w:t>
      </w:r>
      <w:r>
        <w:t xml:space="preserve">.)</w:t>
      </w:r>
    </w:p>
    <w:p>
      <w:pPr>
        <w:pStyle w:val="BodyText"/>
      </w:pPr>
      <w:r>
        <w:t xml:space="preserve">We’re seeing increasing evidence that this impacts the ecology, with potential feedbacks to climate change, especially in protecting cool-acclimated species</w:t>
      </w:r>
      <w:r>
        <w:t xml:space="preserve"> </w:t>
      </w:r>
      <w:r>
        <w:t xml:space="preserve">(Zellweger</w:t>
      </w:r>
      <w:r>
        <w:t xml:space="preserve"> </w:t>
      </w:r>
      <w:r>
        <w:rPr>
          <w:i/>
        </w:rPr>
        <w:t xml:space="preserve">et al.</w:t>
      </w:r>
      <w:r>
        <w:t xml:space="preserve">, 2020, pp. @suggittExtinctionRiskClimate2018, @scheffersMicrohabitatsReduceAnimal2013, @defrenneMicroclimateModeratesPlant2013)</w:t>
      </w:r>
    </w:p>
    <w:p>
      <w:pPr>
        <w:pStyle w:val="BodyText"/>
      </w:pPr>
      <w:r>
        <w:t xml:space="preserve">With shifting forest dynamics, it is becoming more important than ever to understand thermal sensitivity along the vertical canopy profile, from the understory to the top of the canopy, this will provide crucial insights for how rising temperature affects forest ecology and biodiversity, energy balance, ecosystem function, and biosphere-atmosphere interactions [with additional feedbacks to forest structure and microclimates].</w:t>
      </w:r>
    </w:p>
    <w:p>
      <w:pPr>
        <w:pStyle w:val="BodyText"/>
      </w:pPr>
      <w:r>
        <w:rPr>
          <w:b/>
        </w:rPr>
        <w:t xml:space="preserve">However, we lack a systematic understanding of biophysical and biological patterns across this gradient, how these affect leaf-level processes, and in turn how it affects ecology (Fig. 1).</w:t>
      </w:r>
    </w:p>
    <w:p>
      <w:pPr>
        <w:pStyle w:val="BodyText"/>
      </w:pPr>
      <w:r>
        <w:rPr>
          <w:b/>
        </w:rPr>
        <w:t xml:space="preserve">This review addresses the following questions:</w:t>
      </w:r>
    </w:p>
    <w:p>
      <w:pPr>
        <w:numPr>
          <w:ilvl w:val="0"/>
          <w:numId w:val="1002"/>
        </w:numPr>
      </w:pPr>
      <w:r>
        <w:t xml:space="preserve">How does the biophysical environment vary with height in forests?</w:t>
      </w:r>
    </w:p>
    <w:p>
      <w:pPr>
        <w:numPr>
          <w:ilvl w:val="0"/>
          <w:numId w:val="1002"/>
        </w:numPr>
      </w:pPr>
      <w:r>
        <w:t xml:space="preserve">How do leaf traits vary with height (or between sun and shade leaves) in forests?</w:t>
      </w:r>
    </w:p>
    <w:p>
      <w:pPr>
        <w:numPr>
          <w:ilvl w:val="0"/>
          <w:numId w:val="1002"/>
        </w:numPr>
      </w:pPr>
      <w:r>
        <w:t xml:space="preserve">How do biophysical environment and traits combine to affect leaf temperature?</w:t>
      </w:r>
    </w:p>
    <w:p>
      <w:pPr>
        <w:numPr>
          <w:ilvl w:val="0"/>
          <w:numId w:val="1002"/>
        </w:numPr>
      </w:pPr>
      <w:r>
        <w:t xml:space="preserve">How does leaf metabolism respond to temperature in canopy and understory settings?</w:t>
      </w:r>
    </w:p>
    <w:p>
      <w:pPr>
        <w:numPr>
          <w:ilvl w:val="0"/>
          <w:numId w:val="1002"/>
        </w:numPr>
      </w:pPr>
      <w:r>
        <w:t xml:space="preserve">What are the implications of these patterns for the ecology and climate change responses of canopy versus understory trees?</w:t>
      </w:r>
    </w:p>
    <w:p>
      <w:pPr>
        <w:numPr>
          <w:ilvl w:val="0"/>
          <w:numId w:val="1002"/>
        </w:numPr>
      </w:pPr>
      <w:r>
        <w:t xml:space="preserve">What are the implications for modeling/ scaling?</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and the implications [or utility] for ecosystem models we also review studies focused on exposure gradients.</w:t>
      </w:r>
    </w:p>
    <w:p>
      <w:pPr>
        <w:pStyle w:val="CaptionedFigure"/>
      </w:pPr>
      <w:r>
        <w:drawing>
          <wp:inline>
            <wp:extent cx="3798276" cy="4233096"/>
            <wp:effectExtent b="0" l="0" r="0" t="0"/>
            <wp:docPr descr="Figure 1. (schematic of a forest summarizing most important gradients. 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 title="" id="1" name="Picture"/>
            <a:graphic>
              <a:graphicData uri="http://schemas.openxmlformats.org/drawingml/2006/picture">
                <pic:pic>
                  <pic:nvPicPr>
                    <pic:cNvPr descr="schematic/schematic.png" id="0" name="Picture"/>
                    <pic:cNvPicPr>
                      <a:picLocks noChangeArrowheads="1" noChangeAspect="1"/>
                    </pic:cNvPicPr>
                  </pic:nvPicPr>
                  <pic:blipFill>
                    <a:blip r:embed="rId22"/>
                    <a:stretch>
                      <a:fillRect/>
                    </a:stretch>
                  </pic:blipFill>
                  <pic:spPr bwMode="auto">
                    <a:xfrm>
                      <a:off x="0" y="0"/>
                      <a:ext cx="3798276" cy="4233096"/>
                    </a:xfrm>
                    <a:prstGeom prst="rect">
                      <a:avLst/>
                    </a:prstGeom>
                    <a:noFill/>
                    <a:ln w="9525">
                      <a:noFill/>
                      <a:headEnd/>
                      <a:tailEnd/>
                    </a:ln>
                  </pic:spPr>
                </pic:pic>
              </a:graphicData>
            </a:graphic>
          </wp:inline>
        </w:drawing>
      </w:r>
    </w:p>
    <w:p>
      <w:pPr>
        <w:pStyle w:val="ImageCaption"/>
      </w:pPr>
      <w:r>
        <w:rPr>
          <w:b/>
        </w:rPr>
        <w:t xml:space="preserve">Figure 1. (schematic of a forest summarizing most important gradients.</w:t>
      </w:r>
      <w:r>
        <w:t xml:space="preserve"> </w:t>
      </w:r>
      <w:r>
        <w:t xml:space="preserve">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w:t>
      </w:r>
    </w:p>
    <w:bookmarkEnd w:id="23"/>
    <w:bookmarkStart w:id="26" w:name="the-biophysical-environment"/>
    <w:p>
      <w:pPr>
        <w:pStyle w:val="Heading2"/>
      </w:pPr>
      <w:r>
        <w:t xml:space="preserve">The biophysical environment</w:t>
      </w:r>
    </w:p>
    <w:p>
      <w:pPr>
        <w:pStyle w:val="FirstParagraph"/>
      </w:pPr>
      <w:r>
        <w:t xml:space="preserve">Maybe we should start this section with a brief definition of what we mean by</w:t>
      </w:r>
      <w:r>
        <w:t xml:space="preserve"> </w:t>
      </w:r>
      <w:r>
        <w:t xml:space="preserve">“</w:t>
      </w:r>
      <w:r>
        <w:t xml:space="preserve">biophysical</w:t>
      </w:r>
      <w:r>
        <w:t xml:space="preserve">”</w:t>
      </w:r>
      <w:r>
        <w:t xml:space="preserve">? E.g. the physical structure of the forest canopy (from understory to the canopy top) and associated microclimates, which are in large part determined by the structure of the forest itself. ]</w:t>
      </w:r>
    </w:p>
    <w:p>
      <w:pPr>
        <w:pStyle w:val="BodyText"/>
      </w:pPr>
      <w:r>
        <w:rPr>
          <w:b/>
        </w:rPr>
        <w:t xml:space="preserve">Forest canopies have a buffering effect on multiple aspects of the understory climate (Fig.</w:t>
      </w:r>
      <w:r>
        <w:rPr>
          <w:b/>
        </w:rPr>
        <w:t xml:space="preserve"> </w:t>
      </w:r>
      <w:r>
        <w:t xml:space="preserve">2</w:t>
      </w:r>
      <w:r>
        <w:rPr>
          <w:b/>
        </w:rPr>
        <w:t xml:space="preserve">).</w:t>
      </w:r>
    </w:p>
    <w:p>
      <w:pPr>
        <w:pStyle w:val="BodyText"/>
      </w:pPr>
      <w:r>
        <w:t xml:space="preserve">Most notably, light conditions vary with canopy height due to cumulative layers of vegetation that limits light to lower canopy layers</w:t>
      </w:r>
      <w:r>
        <w:t xml:space="preserve"> </w:t>
      </w:r>
      <w:r>
        <w:t xml:space="preserve">(Fauset</w:t>
      </w:r>
      <w:r>
        <w:t xml:space="preserve"> </w:t>
      </w:r>
      <w:r>
        <w:rPr>
          <w:i/>
        </w:rPr>
        <w:t xml:space="preserve">et al.</w:t>
      </w:r>
      <w:r>
        <w:t xml:space="preserve">, 2018a, p. @niinemetsPackingPhotosyntheticMachinery2009, Parker 1995,</w:t>
      </w:r>
      <w:r>
        <w:t xml:space="preserve"> </w:t>
      </w:r>
      <w:r>
        <w:t xml:space="preserve">@poorterMetaanalysisPlantResponses2019b</w:t>
      </w:r>
      <w:r>
        <w:t xml:space="preserve">)</w:t>
      </w:r>
      <w:r>
        <w:t xml:space="preserve"> </w:t>
      </w:r>
      <w:r>
        <w:t xml:space="preserve">(Fig.</w:t>
      </w:r>
      <w:r>
        <w:t xml:space="preserve"> </w:t>
      </w:r>
      <w:r>
        <w:rPr>
          <w:b/>
        </w:rPr>
        <w:t xml:space="preserve">2x</w:t>
      </w:r>
      <w:r>
        <w:t xml:space="preserve">)such that the forest floor of understory regions receive 1-2% of the light incident to the top of the canopy [</w:t>
      </w:r>
      <w:r>
        <w:t xml:space="preserve">Roberts</w:t>
      </w:r>
      <w:r>
        <w:t xml:space="preserve"> </w:t>
      </w:r>
      <w:r>
        <w:rPr>
          <w:i/>
        </w:rPr>
        <w:t xml:space="preserve">et al.</w:t>
      </w:r>
      <w:r>
        <w:t xml:space="preserve"> </w:t>
      </w:r>
      <w:r>
        <w:t xml:space="preserve">(1990)</w:t>
      </w:r>
      <w:r>
        <w:t xml:space="preserve">, Chazdon &amp; Fetcher 1984; Parker et al. 2019]</w:t>
      </w:r>
      <w:r>
        <w:t xml:space="preserve"> </w:t>
      </w:r>
      <w:r>
        <w:t xml:space="preserve">In heterogeneous canopies [with high gap fractions], distance from the outer canopy is a better proxy for light environment than height (Parker 1995) and lower canopy light environments are highly variable, ranging from high light gap to deeply shaded understory regions (Chazdon &amp; Fetcher 1984; Tymen et al. 2017 ; Smith et al. 2019).</w:t>
      </w:r>
      <w:r>
        <w:t xml:space="preserve"> </w:t>
      </w:r>
      <w:r>
        <w:t xml:space="preserve">This difference in light regime is an important variable in determining leaf traits along the gradient and consequently their responses to temperature.</w:t>
      </w:r>
      <w:r>
        <w:t xml:space="preserve">(Fauset</w:t>
      </w:r>
      <w:r>
        <w:t xml:space="preserve"> </w:t>
      </w:r>
      <w:r>
        <w:rPr>
          <w:i/>
        </w:rPr>
        <w:t xml:space="preserve">et al.</w:t>
      </w:r>
      <w:r>
        <w:t xml:space="preserve">, 2018b, pp. @niinemetsResponsesForestTrees2010, @sackHowStrongIntracanopy2006, Doughty and Gouden 2008)</w:t>
      </w:r>
    </w:p>
    <w:p>
      <w:pPr>
        <w:pStyle w:val="BodyText"/>
      </w:pPr>
      <w:r>
        <w:t xml:space="preserve">In addition, the vertical structure and hence, microenvironments of forest canopies vary seasonally (Parker &amp; Tibbs 2004; Smith et al. 2019 ; Parker et al. 2019) and following disturbance (e.g., Parker et al. 2002 ; Almeida et al. 2016 ; Stark et al. 2020 in press).</w:t>
      </w:r>
      <w:r>
        <w:t xml:space="preserve"> </w:t>
      </w:r>
      <w:r>
        <w:t xml:space="preserve">- (</w:t>
      </w:r>
      <w:r>
        <w:rPr>
          <w:i/>
        </w:rPr>
        <w:t xml:space="preserve">Bonan (2016)</w:t>
      </w:r>
      <w:r>
        <w:rPr>
          <w:i/>
        </w:rPr>
        <w:t xml:space="preserve"> </w:t>
      </w:r>
      <w:r>
        <w:rPr>
          <w:i/>
        </w:rPr>
        <w:t xml:space="preserve">reviews this and points to appropriate references</w:t>
      </w:r>
      <w:r>
        <w:t xml:space="preserve">)</w:t>
      </w:r>
      <w:r>
        <w:t xml:space="preserve"> </w:t>
      </w:r>
      <w:r>
        <w:t xml:space="preserve">- 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p>
      <w:pPr>
        <w:pStyle w:val="BodyText"/>
      </w:pPr>
      <w:r>
        <w:rPr>
          <w:b/>
        </w:rPr>
        <w:t xml:space="preserve">Wind speeds are also higher at the top of the canopy (Fig.</w:t>
      </w:r>
      <w:r>
        <w:rPr>
          <w:b/>
        </w:rPr>
        <w:t xml:space="preserve"> </w:t>
      </w:r>
      <w:r>
        <w:t xml:space="preserve">2x</w:t>
      </w:r>
      <w:r>
        <w:rPr>
          <w:b/>
        </w:rPr>
        <w:t xml:space="preserve">).</w:t>
      </w:r>
      <w:r>
        <w:t xml:space="preserve"> </w:t>
      </w:r>
      <w:r>
        <w:rPr>
          <w:i/>
        </w:rPr>
        <w:t xml:space="preserve">(fill in some specifics from the NEON analysis)</w:t>
      </w:r>
      <w:r>
        <w:t xml:space="preserve"> </w:t>
      </w:r>
      <w:r>
        <w:t xml:space="preserve">Consistent with the results from NEON sites, higher wind speed at greater heights within a forest have previously been observed in both closed canopy forests</w:t>
      </w:r>
      <w:r>
        <w:t xml:space="preserve"> </w:t>
      </w:r>
      <w:r>
        <w:t xml:space="preserve">(e.g., REFS; McGregor</w:t>
      </w:r>
      <w:r>
        <w:t xml:space="preserve"> </w:t>
      </w:r>
      <w:r>
        <w:rPr>
          <w:i/>
        </w:rPr>
        <w:t xml:space="preserve">et al.</w:t>
      </w:r>
      <w:r>
        <w:t xml:space="preserve">)</w:t>
      </w:r>
      <w:r>
        <w:t xml:space="preserve"> </w:t>
      </w:r>
      <w:r>
        <w:t xml:space="preserve">and open savannas (Curtis et al. 2018).</w:t>
      </w:r>
      <w:r>
        <w:t xml:space="preserve"> </w:t>
      </w:r>
      <w:r>
        <w:t xml:space="preserve">This results in higher boundary layer conductance,</w:t>
      </w:r>
      <w:r>
        <w:t xml:space="preserve"> </w:t>
      </w:r>
      <w:r>
        <w:rPr>
          <w:i/>
        </w:rPr>
        <w:t xml:space="preserve">DEFINE</w:t>
      </w:r>
      <w:r>
        <w:t xml:space="preserve">, for canopy leaves</w:t>
      </w:r>
      <w:r>
        <w:t xml:space="preserve"> </w:t>
      </w:r>
      <w:r>
        <w:t xml:space="preserve">(</w:t>
      </w:r>
      <w:r>
        <w:rPr>
          <w:b/>
        </w:rPr>
        <w:t xml:space="preserve">???</w:t>
      </w:r>
      <w:r>
        <w:t xml:space="preserve">; Martin</w:t>
      </w:r>
      <w:r>
        <w:t xml:space="preserve"> </w:t>
      </w:r>
      <w:r>
        <w:rPr>
          <w:i/>
        </w:rPr>
        <w:t xml:space="preserve">et al.</w:t>
      </w:r>
      <w:r>
        <w:t xml:space="preserve">, 1999)</w:t>
      </w:r>
      <w:r>
        <w:t xml:space="preserve">.</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w:t>
      </w:r>
      <w:r>
        <w:rPr>
          <w:b/>
        </w:rPr>
        <w:t xml:space="preserve"> </w:t>
      </w:r>
      <w:r>
        <w:t xml:space="preserve">2x</w:t>
      </w:r>
      <w:r>
        <w:rPr>
          <w:b/>
        </w:rPr>
        <w:t xml:space="preserve">).</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Similarly, maximum air temperatures were higher above than below tropical forest canopies during wet seasons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2018a, Tymen et al. 2017)</w:t>
      </w:r>
      <w:r>
        <w:t xml:space="preserve"> </w:t>
      </w:r>
      <w:r>
        <w:t xml:space="preserve">“</w:t>
      </w:r>
      <w:r>
        <w:t xml:space="preserve">max temps were higher and humidity lower in gaps vs understory regions (both at 1.5 m above the ground), see Fig. 4 - again illustrating buffering effect of the canopy</w:t>
      </w:r>
      <w:r>
        <w:t xml:space="preserve">”</w:t>
      </w:r>
      <w:r>
        <w:t xml:space="preserve"> </w:t>
      </w:r>
      <w:r>
        <w:t xml:space="preserve">However, similar maximum temperatures have been observed during the dry season in Panama</w:t>
      </w:r>
      <w:r>
        <w:t xml:space="preserve"> </w:t>
      </w:r>
      <w:r>
        <w:t xml:space="preserve">(Rey-Sánchez</w:t>
      </w:r>
      <w:r>
        <w:t xml:space="preserve"> </w:t>
      </w:r>
      <w:r>
        <w:rPr>
          <w:i/>
        </w:rPr>
        <w:t xml:space="preserve">et al.</w:t>
      </w:r>
      <w:r>
        <w:t xml:space="preserve">, 2016)</w:t>
      </w:r>
      <w:r>
        <w:t xml:space="preserve"> </w:t>
      </w:r>
      <w:r>
        <w:t xml:space="preserve">and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2018a)</w:t>
      </w:r>
      <w:r>
        <w:t xml:space="preserve">, as well as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rPr>
          <w:i/>
        </w:rPr>
        <w:t xml:space="preserve">(Add something about risk of freeze.)</w:t>
      </w:r>
    </w:p>
    <w:p>
      <w:pPr>
        <w:pStyle w:val="BodyText"/>
      </w:pPr>
      <w:r>
        <w:rPr>
          <w:b/>
        </w:rPr>
        <w:t xml:space="preserve">Humidity also varies across the forest vertical profile, being generally higher in the understory (Fig.</w:t>
      </w:r>
      <w:r>
        <w:rPr>
          <w:b/>
        </w:rPr>
        <w:t xml:space="preserve"> </w:t>
      </w:r>
      <w:r>
        <w:t xml:space="preserve">2x</w:t>
      </w:r>
      <w:r>
        <w:rPr>
          <w:b/>
        </w:rPr>
        <w:t xml:space="preserve">).</w:t>
      </w:r>
      <w:r>
        <w:t xml:space="preserve"> </w:t>
      </w:r>
      <w:r>
        <w:t xml:space="preserve">- DETAILS - REFS</w:t>
      </w:r>
      <w:r>
        <w:t xml:space="preserve"> </w:t>
      </w:r>
      <w:r>
        <w:t xml:space="preserve">-</w:t>
      </w:r>
      <w:r>
        <w:t xml:space="preserve"> </w:t>
      </w:r>
      <w:r>
        <w:t xml:space="preserve">McGregor</w:t>
      </w:r>
      <w:r>
        <w:t xml:space="preserve"> </w:t>
      </w:r>
      <w:r>
        <w:rPr>
          <w:i/>
        </w:rPr>
        <w:t xml:space="preserve">et al.</w:t>
      </w:r>
      <w:r>
        <w:t xml:space="preserve"> </w:t>
      </w:r>
      <w:r>
        <w:t xml:space="preserve">RH, in combination with temperature, determines vapor pressure deficit,</w:t>
      </w:r>
      <w:r>
        <w:t xml:space="preserve"> </w:t>
      </w:r>
      <m:oMath>
        <m:r>
          <m:t>V</m:t>
        </m:r>
        <m:r>
          <m:t>P</m:t>
        </m:r>
        <m:r>
          <m:t>D</m:t>
        </m:r>
      </m:oMath>
      <w:r>
        <w:t xml:space="preserve"> </w:t>
      </w:r>
      <w:r>
        <w:t xml:space="preserve">-</w:t>
      </w:r>
      <w:r>
        <w:t xml:space="preserve"> </w:t>
      </w:r>
      <m:oMath>
        <m:r>
          <m:t>V</m:t>
        </m:r>
        <m:r>
          <m:t>P</m:t>
        </m:r>
        <m:r>
          <m:t>D</m:t>
        </m:r>
      </m:oMath>
      <w:r>
        <w:t xml:space="preserve"> </w:t>
      </w:r>
      <w:r>
        <w:t xml:space="preserve">is lower in understory of Atlantic forest during wet season</w:t>
      </w:r>
      <w:r>
        <w:t xml:space="preserve"> </w:t>
      </w:r>
      <w:r>
        <w:t xml:space="preserve">(Fauset</w:t>
      </w:r>
      <w:r>
        <w:t xml:space="preserve"> </w:t>
      </w:r>
      <w:r>
        <w:rPr>
          <w:i/>
        </w:rPr>
        <w:t xml:space="preserve">et al.</w:t>
      </w:r>
      <w:r>
        <w:t xml:space="preserve">, 2018a, Tymen et al. 2017)</w:t>
      </w:r>
      <w:r>
        <w:t xml:space="preserve"> </w:t>
      </w:r>
      <w:r>
        <w:t xml:space="preserve">This means that canopy leaves tend to be exposed to higher</w:t>
      </w:r>
      <w:r>
        <w:t xml:space="preserve"> </w:t>
      </w:r>
      <w:r>
        <w:rPr>
          <w:i/>
        </w:rPr>
        <w:t xml:space="preserve">evaporative demand</w:t>
      </w:r>
      <w:r>
        <w:t xml:space="preserve">.</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 Higher in understory, particularly at dusk (Koike et al. 2001).</w:t>
      </w:r>
      <w:r>
        <w:t xml:space="preserve"> </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w:t>
      </w:r>
      <w:r>
        <w:t xml:space="preserve"> </w:t>
      </w:r>
      <w:r>
        <w:t xml:space="preserve">Differences in concentration are by far most pronounced near ground level.</w:t>
      </w:r>
      <w:r>
        <w:t xml:space="preserve"> </w:t>
      </w:r>
      <w:r>
        <w:t xml:space="preserve">Given that differences are small during the day when photosynthesis is active, and that even nighttime differences are modest at the height of understory tree crowns, CO</w:t>
      </w:r>
      <w:r>
        <w:rPr>
          <w:vertAlign w:val="subscript"/>
        </w:rPr>
        <w:t xml:space="preserve">2</w:t>
      </w:r>
      <w:r>
        <w:t xml:space="preserve"> </w:t>
      </w:r>
      <w:r>
        <w:t xml:space="preserve">concentration is unlikely to have much effect on the energy balance and metabolism of leaves across the forest vertical gradient.</w:t>
      </w:r>
    </w:p>
    <w:p>
      <w:pPr>
        <w:pStyle w:val="CaptionedFigure"/>
      </w:pPr>
      <w:r>
        <w:drawing>
          <wp:inline>
            <wp:extent cx="5334000" cy="2598615"/>
            <wp:effectExtent b="0" l="0" r="0" t="0"/>
            <wp:docPr descr="Figure 2. Vertical gradients in the biophysical environment, from NEON data. Current placeholder figure is old version from Ian McGregor’s in-review paper, showing NEON data from SCBI. See issue 2: https://github.com/EcoClimLab/vertical-thermal-review/issues/2." title="" id="1" name="Picture"/>
            <a:graphic>
              <a:graphicData uri="http://schemas.openxmlformats.org/drawingml/2006/picture">
                <pic:pic>
                  <pic:nvPicPr>
                    <pic:cNvPr descr="NEON_height_profiles/NEON_height_profile_temp.png" id="0" name="Picture"/>
                    <pic:cNvPicPr>
                      <a:picLocks noChangeArrowheads="1" noChangeAspect="1"/>
                    </pic:cNvPicPr>
                  </pic:nvPicPr>
                  <pic:blipFill>
                    <a:blip r:embed="rId24"/>
                    <a:stretch>
                      <a:fillRect/>
                    </a:stretch>
                  </pic:blipFill>
                  <pic:spPr bwMode="auto">
                    <a:xfrm>
                      <a:off x="0" y="0"/>
                      <a:ext cx="5334000" cy="2598615"/>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from NEON data.</w:t>
      </w:r>
      <w:r>
        <w:t xml:space="preserve"> </w:t>
      </w:r>
      <w:r>
        <w:t xml:space="preserve">Current placeholder figure is old version from Ian McGregor’s in-review paper, showing NEON data from SCBI. See issue 2:</w:t>
      </w:r>
      <w:r>
        <w:t xml:space="preserve"> </w:t>
      </w:r>
      <w:hyperlink r:id="rId25">
        <w:r>
          <w:rPr>
            <w:rStyle w:val="Hyperlink"/>
          </w:rPr>
          <w:t xml:space="preserve">https://github.com/EcoClimLab/vertical-thermal-review/issues/2</w:t>
        </w:r>
      </w:hyperlink>
      <w:r>
        <w:t xml:space="preserve">.</w:t>
      </w:r>
    </w:p>
    <w:p>
      <w:pPr>
        <w:pStyle w:val="BodyText"/>
      </w:pPr>
      <w:r>
        <w:rPr>
          <w:b/>
        </w:rPr>
        <w:t xml:space="preserve">The strength of this buffering varies across forests, being influenced by both forest characteristics and the biophysical environment.</w:t>
      </w:r>
      <w:r>
        <w:t xml:space="preserve"> </w:t>
      </w:r>
      <w:r>
        <w:t xml:space="preserve">First, buffering increases with canopy cover.</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Species that have higher shade casting ability increase T buffering (Zelllweger et al. 2019)</w:t>
      </w:r>
      <w:r>
        <w:t xml:space="preserve"> </w:t>
      </w:r>
      <w:r>
        <w:t xml:space="preserve">(Zellweger</w:t>
      </w:r>
      <w:r>
        <w:t xml:space="preserve"> </w:t>
      </w:r>
      <w:r>
        <w:rPr>
          <w:i/>
        </w:rPr>
        <w:t xml:space="preserve">et al.</w:t>
      </w:r>
      <w:r>
        <w:t xml:space="preserve">, 2019)</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p>
    <w:bookmarkEnd w:id="26"/>
    <w:bookmarkStart w:id="28" w:name="trait-variation"/>
    <w:p>
      <w:pPr>
        <w:pStyle w:val="Heading2"/>
      </w:pPr>
      <w:r>
        <w:t xml:space="preserve">Trait variation</w:t>
      </w:r>
    </w:p>
    <w:p>
      <w:pPr>
        <w:pStyle w:val="FirstParagraph"/>
      </w:pPr>
      <w:r>
        <w:t xml:space="preserve">Leaf traits vary along the vertical canopy profile following the pattern of light availability across the gradient</w:t>
      </w:r>
      <w:r>
        <w:t xml:space="preserve"> </w:t>
      </w:r>
      <w:r>
        <w:t xml:space="preserve">(Poorter</w:t>
      </w:r>
      <w:r>
        <w:t xml:space="preserve"> </w:t>
      </w:r>
      <w:r>
        <w:rPr>
          <w:i/>
        </w:rPr>
        <w:t xml:space="preserve">et al.</w:t>
      </w:r>
      <w:r>
        <w:t xml:space="preserve">, 2019)</w:t>
      </w:r>
      <w:r>
        <w:t xml:space="preserve">. Leaves in the upper canopy that are exposed to more light differ in their traits compared to shaded leaves exposed to less light. Increasing number of studies point towards the importance of incorporating vertical canopy leaf trait variation in modelling for leaf economic spectrum (LES) [Chen et al. 2020], leaf thermoregular and thermal sensitivty which will provide a more accurate representation of within-canopy gradient response to increasing temperatures.[</w:t>
      </w:r>
      <w:r>
        <w:t xml:space="preserve">Fauset</w:t>
      </w:r>
      <w:r>
        <w:t xml:space="preserve"> </w:t>
      </w:r>
      <w:r>
        <w:rPr>
          <w:i/>
        </w:rPr>
        <w:t xml:space="preserve">et al.</w:t>
      </w:r>
      <w:r>
        <w:t xml:space="preserve"> </w:t>
      </w:r>
      <w:r>
        <w:t xml:space="preserve">(2018a)</w:t>
      </w:r>
      <w:r>
        <w:t xml:space="preserve">,</w:t>
      </w:r>
      <w:r>
        <w:t xml:space="preserve"> </w:t>
      </w:r>
      <w:r>
        <w:t xml:space="preserve">Michaletz</w:t>
      </w:r>
      <w:r>
        <w:t xml:space="preserve"> </w:t>
      </w:r>
      <w:r>
        <w:rPr>
          <w:i/>
        </w:rPr>
        <w:t xml:space="preserve">et al.</w:t>
      </w:r>
      <w:r>
        <w:t xml:space="preserve"> </w:t>
      </w:r>
      <w:r>
        <w:t xml:space="preserve">(2016)</w:t>
      </w:r>
      <w:r>
        <w:t xml:space="preserve">,</w:t>
      </w:r>
      <w:r>
        <w:t xml:space="preserve"> </w:t>
      </w:r>
      <w:r>
        <w:t xml:space="preserve">Niinemets</w:t>
      </w:r>
      <w:r>
        <w:t xml:space="preserve"> </w:t>
      </w:r>
      <w:r>
        <w:rPr>
          <w:i/>
        </w:rPr>
        <w:t xml:space="preserve">et al.</w:t>
      </w:r>
      <w:r>
        <w:t xml:space="preserve"> </w:t>
      </w:r>
      <w:r>
        <w:t xml:space="preserve">(2015)</w:t>
      </w:r>
      <w:r>
        <w:t xml:space="preserve">, Chen et al. 2020, REFS)</w:t>
      </w:r>
    </w:p>
    <w:p>
      <w:pPr>
        <w:pStyle w:val="BodyText"/>
      </w:pPr>
      <w: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t xml:space="preserve"> </w:t>
      </w:r>
      <w:r>
        <w:t xml:space="preserve">‘</w:t>
      </w:r>
      <w:r>
        <w:t xml:space="preserve">built</w:t>
      </w:r>
      <w:r>
        <w:t xml:space="preserve">’</w:t>
      </w:r>
      <w:r>
        <w:t xml:space="preserve"> </w:t>
      </w:r>
      <w: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rPr>
          <w:b/>
        </w:rPr>
        <w:t xml:space="preserve">Many traits vary with height and/or between sun and shade leaves on the same species (Table 1).</w:t>
      </w:r>
      <w:r>
        <w:t xml:space="preserve"> </w:t>
      </w:r>
      <w:r>
        <w:t xml:space="preserve">Here, we focus on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6004807"/>
            <wp:effectExtent b="0" l="0" r="0" t="0"/>
            <wp:docPr descr="(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27"/>
                    <a:stretch>
                      <a:fillRect/>
                    </a:stretch>
                  </pic:blipFill>
                  <pic:spPr bwMode="auto">
                    <a:xfrm>
                      <a:off x="0" y="0"/>
                      <a:ext cx="5334000" cy="6004807"/>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t xml:space="preserve">Are traits shaped more by height or light?</w:t>
      </w:r>
      <w:r>
        <w:t xml:space="preserve"> </w:t>
      </w:r>
      <w:r>
        <w:t xml:space="preserve">-</w:t>
      </w:r>
      <w:r>
        <w:t xml:space="preserve"> </w:t>
      </w:r>
      <w:r>
        <w:t xml:space="preserve">“</w:t>
      </w:r>
      <w:r>
        <w:t xml:space="preserve">Height is more important than light in determining leaf morphology in a tropical forest</w:t>
      </w:r>
      <w:r>
        <w:t xml:space="preserve">”</w:t>
      </w:r>
      <w:r>
        <w:t xml:space="preserve"> </w:t>
      </w:r>
      <w:r>
        <w:t xml:space="preserve">(Cavaleri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w:t>
      </w:r>
      <w:r>
        <w:t xml:space="preserve"> </w:t>
      </w:r>
      <w:r>
        <w:t xml:space="preserve">- Max stomatal conductance - increases with canopy height (Kenzo et al. 2015).</w:t>
      </w:r>
      <w:r>
        <w:t xml:space="preserve"> </w:t>
      </w:r>
      <w:r>
        <w:t xml:space="preserve">Max transpiration rate - increases with canopy height (Kenzo et al. 2015).</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p>
    <w:p>
      <w:pPr>
        <w:pStyle w:val="BodyText"/>
      </w:pPr>
      <w:r>
        <w:rPr>
          <w:i/>
        </w:rPr>
        <w:t xml:space="preserve">Carotinoids</w:t>
      </w:r>
      <w:r>
        <w:t xml:space="preserve"> </w:t>
      </w:r>
      <w:r>
        <w:t xml:space="preserve">- photoprotective- disseminate heat, acclimate to high T. THese are proportional to irradiance</w:t>
      </w:r>
      <w:r>
        <w:t xml:space="preserve"> </w:t>
      </w:r>
      <w:r>
        <w:t xml:space="preserve">- antioxidant scavenging function- protect against cellular damage</w:t>
      </w:r>
      <w:r>
        <w:t xml:space="preserve"> </w:t>
      </w:r>
      <w:r>
        <w:t xml:space="preserve">- Koniger et. al. 1995, and Matsubara et al. 2009?</w:t>
      </w:r>
    </w:p>
    <w:p>
      <w:pPr>
        <w:pStyle w:val="BodyText"/>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p>
    <w:bookmarkEnd w:id="28"/>
    <w:bookmarkStart w:id="32" w:name="leaf-temperature"/>
    <w:p>
      <w:pPr>
        <w:pStyle w:val="Heading2"/>
      </w:pPr>
      <w:r>
        <w:t xml:space="preserve">Leaf temperature</w:t>
      </w:r>
    </w:p>
    <w:p>
      <w:pPr>
        <w:pStyle w:val="FirstParagraph"/>
      </w:pPr>
      <w:r>
        <w:rPr>
          <w:b/>
        </w:rPr>
        <w:t xml:space="preserve">Many of the biophysical and trait variable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Muir, 2019)</w:t>
      </w:r>
      <w:r>
        <w:t xml:space="preserve"> </w:t>
      </w:r>
      <w:r>
        <w:t xml:space="preserve">(Fig. 3).</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(Fauset</w:t>
      </w:r>
      <w:r>
        <w:t xml:space="preserve"> </w:t>
      </w:r>
      <w:r>
        <w:rPr>
          <w:i/>
        </w:rPr>
        <w:t xml:space="preserve">et al.</w:t>
      </w:r>
      <w:r>
        <w:t xml:space="preserve">, 2018a)</w:t>
      </w:r>
      <w:r>
        <w:t xml:space="preserve"> </w:t>
      </w:r>
      <w:r>
        <w:t xml:space="preserve">Large leaves can be significantly cooler than</w:t>
      </w:r>
      <w:r>
        <w:t xml:space="preserve"> </w:t>
      </w:r>
      <m:oMath>
        <m:sSub>
          <m:e>
            <m:r>
              <m:t>T</m:t>
            </m:r>
          </m:e>
          <m:sub>
            <m:r>
              <m:t>a</m:t>
            </m:r>
            <m:r>
              <m:t>i</m:t>
            </m:r>
            <m:r>
              <m:t>r</m:t>
            </m:r>
          </m:sub>
        </m:sSub>
      </m:oMath>
      <w:r>
        <w:t xml:space="preserve"> </w:t>
      </w:r>
      <w:r>
        <w:t xml:space="preserve">under low radiation with stomata open, and significantly hotter under high radiation with stomata closed.</w:t>
      </w:r>
      <w:r>
        <w:br/>
      </w: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w:t>
      </w:r>
      <w:r>
        <w:t xml:space="preserve"> </w:t>
      </w:r>
      <w:r>
        <w:t xml:space="preserve">Shaded understory leaves should tend to maintain cooler daytime leaf temperatures for any given level of stomatal conductance.</w:t>
      </w:r>
      <w:r>
        <w:t xml:space="preserve"> </w:t>
      </w:r>
      <w:r>
        <w:t xml:space="preserve">However, counteracting this, lower wind speed in understory would reduce latent heat loss.</w:t>
      </w:r>
      <w:r>
        <w:t xml:space="preserve"> </w:t>
      </w:r>
      <w:r>
        <w:t xml:space="preserve">Thus, under hot conditions, canopy leaves exposed to higher wind speeds would be most effective at cooling when sufficient water is available to maintain high stomatal conductance; however,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2294092"/>
            <wp:effectExtent b="0" l="0" r="0" t="0"/>
            <wp:docPr descr="Figure 3. Leaf temperature in response to (a) XXX, (b) XXX (key trait or environmental variables). Examples to be produced based on energy balance model using the tealeaves R package of Muir (2019): https://github.com/EcoClimLab/vertical-thermal-review/issues/6. Current placeholder shows figures from Campbell&amp;Norman." title="" id="1" name="Picture"/>
            <a:graphic>
              <a:graphicData uri="http://schemas.openxmlformats.org/drawingml/2006/picture">
                <pic:pic>
                  <pic:nvPicPr>
                    <pic:cNvPr descr="leaf_energy_balance/C&amp;N_figures.png" id="0" name="Picture"/>
                    <pic:cNvPicPr>
                      <a:picLocks noChangeArrowheads="1" noChangeAspect="1"/>
                    </pic:cNvPicPr>
                  </pic:nvPicPr>
                  <pic:blipFill>
                    <a:blip r:embed="rId29"/>
                    <a:stretch>
                      <a:fillRect/>
                    </a:stretch>
                  </pic:blipFill>
                  <pic:spPr bwMode="auto">
                    <a:xfrm>
                      <a:off x="0" y="0"/>
                      <a:ext cx="5334000" cy="2294092"/>
                    </a:xfrm>
                    <a:prstGeom prst="rect">
                      <a:avLst/>
                    </a:prstGeom>
                    <a:noFill/>
                    <a:ln w="9525">
                      <a:noFill/>
                      <a:headEnd/>
                      <a:tailEnd/>
                    </a:ln>
                  </pic:spPr>
                </pic:pic>
              </a:graphicData>
            </a:graphic>
          </wp:inline>
        </w:drawing>
      </w:r>
    </w:p>
    <w:p>
      <w:pPr>
        <w:pStyle w:val="ImageCaption"/>
      </w:pPr>
      <w:r>
        <w:rPr>
          <w:b/>
        </w:rPr>
        <w:t xml:space="preserve">Figure 3. Leaf temperature in response to (a) XXX, (b) XXX (key trait or environmental variables).</w:t>
      </w:r>
      <w:r>
        <w:t xml:space="preserve"> </w:t>
      </w:r>
      <w:r>
        <w:t xml:space="preserve">Examples to be produced based on energy balance model using the tealeaves R package of</w:t>
      </w:r>
      <w:r>
        <w:t xml:space="preserve"> </w:t>
      </w:r>
      <w:r>
        <w:t xml:space="preserve">Muir (2019)</w:t>
      </w:r>
      <w:r>
        <w:t xml:space="preserve">:</w:t>
      </w:r>
      <w:r>
        <w:t xml:space="preserve"> </w:t>
      </w:r>
      <w:hyperlink r:id="rId30">
        <w:r>
          <w:rPr>
            <w:rStyle w:val="Hyperlink"/>
          </w:rPr>
          <w:t xml:space="preserve">https://github.com/EcoClimLab/vertical-thermal-review/issues/6</w:t>
        </w:r>
      </w:hyperlink>
      <w:r>
        <w:t xml:space="preserve">. Current placeholder shows figures from Campbell&amp;Norman.</w:t>
      </w:r>
    </w:p>
    <w:p>
      <w:pPr>
        <w:pStyle w:val="BodyText"/>
      </w:pPr>
      <w:r>
        <w:rPr>
          <w:b/>
        </w:rPr>
        <w:t xml:space="preserve">Aligning with biophysical expectations, field observations have show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r>
        <w:t xml:space="preserve"> </w:t>
      </w:r>
      <w:r>
        <w:t xml:space="preserve">- 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1">
        <w:r>
          <w:rPr>
            <w:rStyle w:val="Hyperlink"/>
          </w:rPr>
          <w:t xml:space="preserve">http://dx.doi.org/10.1016/j.tree.2015.09.006</w:t>
        </w:r>
      </w:hyperlink>
    </w:p>
    <w:p>
      <w:pPr>
        <w:pStyle w:val="BodyText"/>
      </w:pPr>
      <w:r>
        <w:rPr>
          <w:b/>
        </w:rPr>
        <w:t xml:space="preserve">When vertical gradients in the biophysical environment and leaf traits combine to shape leaf energy budgets,</w:t>
      </w:r>
      <w:r>
        <w:rPr>
          <w:b/>
        </w:rPr>
        <w:t xml:space="preserve"> </w:t>
      </w:r>
      <m:oMath>
        <m:sSub>
          <m:e>
            <m:r>
              <m:t>T</m:t>
            </m:r>
          </m:e>
          <m:sub>
            <m:r>
              <m:t>l</m:t>
            </m:r>
            <m:r>
              <m:t>e</m:t>
            </m:r>
            <m:r>
              <m:t>a</m:t>
            </m:r>
            <m:r>
              <m:t>f</m:t>
            </m:r>
          </m:sub>
        </m:sSub>
      </m:oMath>
      <w:r>
        <w:rPr>
          <w:b/>
        </w:rPr>
        <w:t xml:space="preserve"> </w:t>
      </w:r>
      <w:r>
        <w:rPr>
          <w:b/>
        </w:rPr>
        <w:t xml:space="preserve">often differs little from</w:t>
      </w:r>
      <w:r>
        <w:rPr>
          <w:b/>
        </w:rPr>
        <w:t xml:space="preserve"> </w:t>
      </w:r>
      <m:oMath>
        <m:sSub>
          <m:e>
            <m:r>
              <m:t>T</m:t>
            </m:r>
          </m:e>
          <m:sub>
            <m:r>
              <m:t>a</m:t>
            </m:r>
            <m:r>
              <m:t>i</m:t>
            </m:r>
            <m:r>
              <m:t>r</m:t>
            </m:r>
          </m:sub>
        </m:sSub>
      </m:oMath>
      <w:r>
        <w:rPr>
          <w:b/>
        </w:rPr>
        <w:t xml:space="preserve"> </w:t>
      </w:r>
      <w:r>
        <w:rPr>
          <w:b/>
        </w:rPr>
        <w:t xml:space="preserve">and between understory and canopy (Fig.</w:t>
      </w:r>
      <w:r>
        <w:rPr>
          <w:b/>
        </w:rPr>
        <w:t xml:space="preserve"> </w:t>
      </w:r>
      <w:r>
        <w:t xml:space="preserve">2?</w:t>
      </w:r>
      <w:r>
        <w:rPr>
          <w:b/>
        </w:rPr>
        <w:t xml:space="preserve">).</w:t>
      </w:r>
      <w:r>
        <w:t xml:space="preserve"> </w:t>
      </w:r>
      <w:r>
        <w:t xml:space="preserve">For instance… (Bolstad et al. 1999).</w:t>
      </w:r>
      <w:r>
        <w:t xml:space="preserve"> </w:t>
      </w:r>
      <w:r>
        <w:t xml:space="preserve">Similarly, during the dry season in a tropical moist forest in Panama… (Rey-Sánchez et al. 2016).</w:t>
      </w:r>
      <w:r>
        <w:t xml:space="preserve"> </w:t>
      </w: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 (Slot et al. 2019) and refs therein</w:t>
      </w:r>
      <w:r>
        <w:t xml:space="preserve"> </w:t>
      </w:r>
      <w:r>
        <w:t xml:space="preserve">- (Fauset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w:t>
      </w:r>
    </w:p>
    <w:bookmarkEnd w:id="32"/>
    <w:bookmarkStart w:id="36"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833398"/>
            <wp:effectExtent b="0" l="0" r="0" t="0"/>
            <wp:docPr descr="(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3"/>
                    <a:stretch>
                      <a:fillRect/>
                    </a:stretch>
                  </pic:blipFill>
                  <pic:spPr bwMode="auto">
                    <a:xfrm>
                      <a:off x="0" y="0"/>
                      <a:ext cx="5334000" cy="5833398"/>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rPr>
          <w:i/>
        </w:rPr>
        <w:t xml:space="preserve">Stomatal conductance</w:t>
      </w:r>
    </w:p>
    <w:p>
      <w:pPr>
        <w:pStyle w:val="BodyText"/>
      </w:pPr>
      <w:r>
        <w:rPr>
          <w:i/>
        </w:rPr>
        <w:t xml:space="preserve">Photosynthesis</w:t>
      </w:r>
    </w:p>
    <w:p>
      <w:pPr>
        <w:pStyle w:val="BodyText"/>
      </w:pPr>
      <w:r>
        <w:rPr>
          <w:b/>
        </w:rPr>
        <w:t xml:space="preserve">Photosynthesis is generally higher in sun leaves– a fact that is well-established (Niinemets 2007 ; Kenzo et al. 2015 ; Slot et al. 2019; Chen et al. 2020) and observed in numerous field studies.</w:t>
      </w:r>
      <w:r>
        <w:t xml:space="preserve"> </w:t>
      </w:r>
      <w:r>
        <w:t xml:space="preserve">This is primarily driven by the greater light available to sun leaves.</w:t>
      </w:r>
      <w:r>
        <w:t xml:space="preserve"> </w:t>
      </w:r>
      <w:r>
        <w:t xml:space="preserve">In response to the greater light availability, sun leaves have traits allowing greater photosynthetic rates at high light, including ….</w:t>
      </w:r>
      <w:r>
        <w:t xml:space="preserve"> </w:t>
      </w:r>
      <w:r>
        <w:t xml:space="preserve">The vertical gradient in photosythetic rates is also influenced by…</w:t>
      </w:r>
      <w:r>
        <w:t xml:space="preserve"> </w:t>
      </w:r>
      <w: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w:t>
      </w:r>
      <w:r>
        <w:t xml:space="preserve"> </w:t>
      </w:r>
      <w:r>
        <w:t xml:space="preserve">However, this does not appear to be the case based on the limited number of field studies that have compared temperature sensitivity of photoshythesis in sun and shade leaves.</w:t>
      </w:r>
      <w:r>
        <w:t xml:space="preserve"> </w:t>
      </w:r>
      <w:r>
        <w:t xml:space="preserve">For 3 species in Panama, (Slot et al. 2019) found that the optimum temperature for sun leaves tended to be slightly higher than that of shade leaves, but differences were not significant.</w:t>
      </w:r>
      <w:r>
        <w:t xml:space="preserve"> </w:t>
      </w:r>
      <w:r>
        <w:t xml:space="preserve">Mau et al. found no trend along a height gradient in Puerto Rico, and no significant trend in temperate trees (Mau et al. 2018).</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p>
    <w:p>
      <w:pPr>
        <w:pStyle w:val="BodyText"/>
      </w:pPr>
      <w:r>
        <w:rPr>
          <w:i/>
        </w:rPr>
        <w:t xml:space="preserve">Respiration</w:t>
      </w:r>
    </w:p>
    <w:p>
      <w:pPr>
        <w:pStyle w:val="BodyText"/>
      </w:pPr>
      <w:r>
        <w:rPr>
          <w:b/>
        </w:rPr>
        <w:t xml:space="preserve">Similar to photosynthesis, respiration tends to be higher in sun leaves (Chen et al. 2020),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34">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34">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p>
    <w:p>
      <w:pPr>
        <w:pStyle w:val="BodyText"/>
      </w:pPr>
      <w:r>
        <w:rPr>
          <w:i/>
        </w:rPr>
        <w:t xml:space="preserve">VOC production</w:t>
      </w:r>
    </w:p>
    <w:p>
      <w:pPr>
        <w:pStyle w:val="BodyText"/>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35">
        <w:r>
          <w:rPr>
            <w:rStyle w:val="Hyperlink"/>
          </w:rPr>
          <w:t xml:space="preserve">https://doi.org/10.1111/pce.13564</w:t>
        </w:r>
      </w:hyperlink>
      <w:r>
        <w:t xml:space="preserve">).</w:t>
      </w:r>
      <w:r>
        <w:t xml:space="preserve"> </w:t>
      </w:r>
      <w:r>
        <w:t xml:space="preserve">- Within species, isporene production scales with light/ T</w:t>
      </w:r>
    </w:p>
    <w:bookmarkEnd w:id="36"/>
    <w:bookmarkStart w:id="38" w:name="ecology"/>
    <w:p>
      <w:pPr>
        <w:pStyle w:val="Heading2"/>
      </w:pPr>
      <w:r>
        <w:t xml:space="preserve">Ecology</w:t>
      </w:r>
    </w:p>
    <w:p>
      <w:pPr>
        <w:pStyle w:val="FirstParagraph"/>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r>
        <w:t xml:space="preserve"> </w:t>
      </w:r>
      <w:r>
        <w:t xml:space="preserve">- something on isoprene production?</w:t>
      </w:r>
    </w:p>
    <w:p>
      <w:pPr>
        <w:pStyle w:val="BodyText"/>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(Rollinson et al., in review).</w:t>
      </w:r>
      <w:r>
        <w:t xml:space="preserve"> </w:t>
      </w:r>
      <w:r>
        <w:t xml:space="preserve">Similarly, our previously unpublished analysis shows that in a broadleaf deciduous forest in Virginia, understory trees in a Mid-Atlantic forest responded more negatively to warmer</w:t>
      </w:r>
      <w:r>
        <w:t xml:space="preserve"> </w:t>
      </w:r>
      <m:oMath>
        <m:sSub>
          <m:e>
            <m:r>
              <m:t>T</m:t>
            </m:r>
          </m:e>
          <m:sub>
            <m:r>
              <m:t>a</m:t>
            </m:r>
            <m:r>
              <m:t>i</m:t>
            </m:r>
            <m:r>
              <m:t>r</m:t>
            </m:r>
          </m:sub>
        </m:sSub>
      </m:oMath>
      <w:r>
        <w:t xml:space="preserve"> </w:t>
      </w:r>
      <w:r>
        <w:t xml:space="preserve">than did canopy trees (Fig.</w:t>
      </w:r>
      <w:r>
        <w:t xml:space="preserve"> </w:t>
      </w:r>
      <w:r>
        <w:rPr>
          <w:b/>
        </w:rPr>
        <w:t xml:space="preserve">4</w:t>
      </w:r>
      <w:r>
        <w:t xml:space="preserve">; Appendix</w:t>
      </w:r>
      <w:r>
        <w:t xml:space="preserve"> </w:t>
      </w:r>
      <w:r>
        <w:rPr>
          <w:b/>
        </w:rPr>
        <w:t xml:space="preserve">S3</w:t>
      </w:r>
      <w:r>
        <w:t xml:space="preserve">).</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w:t>
      </w:r>
      <w:r>
        <w:t xml:space="preserve"> </w:t>
      </w:r>
      <w:r>
        <w:rPr>
          <w:b/>
        </w:rPr>
        <w:t xml:space="preserve">3?</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w:t>
      </w:r>
      <w:r>
        <w:t xml:space="preserve"> </w:t>
      </w:r>
      <w:r>
        <w:rPr>
          <w:b/>
        </w:rPr>
        <w:t xml:space="preserve">3</w:t>
      </w:r>
      <w:r>
        <w:t xml:space="preserve">).</w:t>
      </w:r>
      <w:r>
        <w:t xml:space="preserve"> </w:t>
      </w:r>
      <w:r>
        <w:t xml:space="preserve">It is also possible that competition is accelerated under warmer temperatures.</w:t>
      </w:r>
    </w:p>
    <w:p>
      <w:pPr>
        <w:pStyle w:val="BodyText"/>
      </w:pPr>
      <w:r>
        <w:rPr>
          <w:b/>
        </w:rPr>
        <w:t xml:space="preserve">Appears to affect community change under warming (Zellweger et al. 2020).</w:t>
      </w:r>
    </w:p>
    <w:p>
      <w:pPr>
        <w:pStyle w:val="CaptionedFigure"/>
      </w:pPr>
      <w:r>
        <w:drawing>
          <wp:inline>
            <wp:extent cx="5334000" cy="4000500"/>
            <wp:effectExtent b="0" l="0" r="0" t="0"/>
            <wp:docPr descr="Figure 4. Temperature sensitivity of tree growth for understory versus canopy trees. Analysis methods described in Appendix S3. Data from Helcoski et al. 2019." title="" id="1" name="Picture"/>
            <a:graphic>
              <a:graphicData uri="http://schemas.openxmlformats.org/drawingml/2006/picture">
                <pic:pic>
                  <pic:nvPicPr>
                    <pic:cNvPr descr="SCBI_tree_rings/SCBIfig.png" id="0" name="Picture"/>
                    <pic:cNvPicPr>
                      <a:picLocks noChangeArrowheads="1" noChangeAspect="1"/>
                    </pic:cNvPicPr>
                  </pic:nvPicPr>
                  <pic:blipFill>
                    <a:blip r:embed="rId3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rPr>
          <w:b/>
        </w:rPr>
        <w:t xml:space="preserve">Figure 4. Temperature sensitivity of tree growth for understory versus canopy trees.</w:t>
      </w:r>
      <w:r>
        <w:t xml:space="preserve"> </w:t>
      </w:r>
      <w:r>
        <w:t xml:space="preserve">Analysis methods described in Appendix S3. Data from Helcoski et al. 2019.</w:t>
      </w:r>
    </w:p>
    <w:bookmarkEnd w:id="38"/>
    <w:bookmarkStart w:id="39" w:name="implications-for-modeling-scaling"/>
    <w:p>
      <w:pPr>
        <w:pStyle w:val="Heading2"/>
      </w:pPr>
      <w:r>
        <w:t xml:space="preserve">Implications for Modeling / Scaling</w:t>
      </w:r>
    </w:p>
    <w:p>
      <w:pPr>
        <w:pStyle w:val="FirstParagraph"/>
      </w:pPr>
      <w:r>
        <w:t xml:space="preserve">E.g. see de Pury &amp; Farquhar, 1997 : though likely an improvement over</w:t>
      </w:r>
      <w:r>
        <w:t xml:space="preserve"> </w:t>
      </w:r>
      <w:r>
        <w:t xml:space="preserve">‘</w:t>
      </w:r>
      <w:r>
        <w:t xml:space="preserve">big-leaf</w:t>
      </w:r>
      <w:r>
        <w:t xml:space="preserve">’</w:t>
      </w:r>
      <w:r>
        <w:t xml:space="preserve"> </w:t>
      </w:r>
      <w:r>
        <w:t xml:space="preserve">models, models that separate the canopy into sunlit and shaded portions (sun/shade models)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w:t>
      </w:r>
    </w:p>
    <w:bookmarkEnd w:id="39"/>
    <w:bookmarkStart w:id="40" w:name="future-questions"/>
    <w:p>
      <w:pPr>
        <w:pStyle w:val="Heading2"/>
      </w:pPr>
      <w:r>
        <w:t xml:space="preserve">Future Questions</w:t>
      </w:r>
    </w:p>
    <w:p>
      <w:pPr>
        <w:numPr>
          <w:ilvl w:val="0"/>
          <w:numId w:val="1003"/>
        </w:numPr>
      </w:pPr>
      <w:r>
        <w:t xml:space="preserve">Are patterns (in traits, metabolism, ecology) driven by tree height or exposure?</w:t>
      </w:r>
    </w:p>
    <w:p>
      <w:pPr>
        <w:numPr>
          <w:ilvl w:val="0"/>
          <w:numId w:val="1003"/>
        </w:numPr>
      </w:pPr>
      <w:r>
        <w:t xml:space="preserve">CO2 may lead to denser understory (Martijn)</w:t>
      </w:r>
    </w:p>
    <w:p>
      <w:pPr>
        <w:numPr>
          <w:ilvl w:val="0"/>
          <w:numId w:val="1003"/>
        </w:numPr>
      </w:pPr>
      <w:r>
        <w:t xml:space="preserve">Influence of increasing temperatures on species compositions and feedbacks to future forest microclimates and function?</w:t>
      </w:r>
    </w:p>
    <w:bookmarkEnd w:id="40"/>
    <w:bookmarkStart w:id="41" w:name="conclusions"/>
    <w:p>
      <w:pPr>
        <w:pStyle w:val="Heading2"/>
      </w:pPr>
      <w:r>
        <w:t xml:space="preserve">Conclusions</w:t>
      </w:r>
    </w:p>
    <w:bookmarkEnd w:id="41"/>
    <w:bookmarkStart w:id="42"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literature review</w:t>
      </w:r>
    </w:p>
    <w:p>
      <w:pPr>
        <w:pStyle w:val="BodyText"/>
      </w:pPr>
      <w:r>
        <w:t xml:space="preserve">Appendix S3. Methods for SCBI tree-ring analysis</w:t>
      </w:r>
    </w:p>
    <w:p>
      <w:r>
        <w:br w:type="page"/>
      </w:r>
    </w:p>
    <w:bookmarkEnd w:id="42"/>
    <w:bookmarkStart w:id="78" w:name="references"/>
    <w:p>
      <w:pPr>
        <w:pStyle w:val="Heading2"/>
      </w:pPr>
      <w:r>
        <w:t xml:space="preserve">References</w:t>
      </w:r>
    </w:p>
    <w:bookmarkStart w:id="77" w:name="refs"/>
    <w:bookmarkStart w:id="43" w:name="X305cba381754fa1b83ddb1e49b3d0f931a16182"/>
    <w:p>
      <w:pPr>
        <w:pStyle w:val="Bibliography"/>
      </w:pP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McDowell NG</w:t>
      </w:r>
      <w:r>
        <w:t xml:space="preserve">.</w:t>
      </w:r>
      <w:r>
        <w:t xml:space="preserve"> </w:t>
      </w:r>
      <w:r>
        <w:rPr>
          <w:b/>
        </w:rPr>
        <w:t xml:space="preserve">2015</w:t>
      </w:r>
      <w:r>
        <w:t xml:space="preserve">. On underestimation of global vulnerability to tree mortality and forest die-off from hotter drought in the Anthropocene.</w:t>
      </w:r>
      <w:r>
        <w:t xml:space="preserve"> </w:t>
      </w:r>
      <w:r>
        <w:rPr>
          <w:i/>
        </w:rPr>
        <w:t xml:space="preserve">Ecosphere</w:t>
      </w:r>
      <w:r>
        <w:t xml:space="preserve"> </w:t>
      </w:r>
      <w:r>
        <w:rPr>
          <w:b/>
        </w:rPr>
        <w:t xml:space="preserve">6</w:t>
      </w:r>
      <w:r>
        <w:t xml:space="preserve">: art129.</w:t>
      </w:r>
    </w:p>
    <w:bookmarkEnd w:id="43"/>
    <w:bookmarkStart w:id="44"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44"/>
    <w:bookmarkStart w:id="45"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45"/>
    <w:bookmarkStart w:id="46"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46"/>
    <w:bookmarkStart w:id="47"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47"/>
    <w:bookmarkStart w:id="48"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48"/>
    <w:bookmarkStart w:id="49"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49"/>
    <w:bookmarkStart w:id="50"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2018a</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50"/>
    <w:bookmarkStart w:id="51" w:name="X476d4bcfe09244e5e4c420f8fd5834611fa9caa"/>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2018b</w:t>
      </w:r>
      <w:r>
        <w:t xml:space="preserve">. Differences in leaf thermoregulation and water use strategies between three co-occurring Atlantic forest tree species: Leaf energy balance of Atlantic forest trees.</w:t>
      </w:r>
      <w:r>
        <w:t xml:space="preserve"> </w:t>
      </w:r>
      <w:r>
        <w:rPr>
          <w:i/>
        </w:rPr>
        <w:t xml:space="preserve">Plant Cell Environ</w:t>
      </w:r>
      <w:r>
        <w:t xml:space="preserve"> </w:t>
      </w:r>
      <w:r>
        <w:rPr>
          <w:b/>
        </w:rPr>
        <w:t xml:space="preserve">41</w:t>
      </w:r>
      <w:r>
        <w:t xml:space="preserve">: 1618–1631.</w:t>
      </w:r>
    </w:p>
    <w:bookmarkEnd w:id="51"/>
    <w:bookmarkStart w:id="52"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52"/>
    <w:bookmarkStart w:id="53"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53"/>
    <w:bookmarkStart w:id="54"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54"/>
    <w:bookmarkStart w:id="55"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55"/>
    <w:bookmarkStart w:id="56"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56"/>
    <w:bookmarkStart w:id="57"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57"/>
    <w:bookmarkStart w:id="58"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58"/>
    <w:bookmarkStart w:id="59"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59"/>
    <w:bookmarkStart w:id="60" w:name="ref-niinemetsResponsesForestTrees2010"/>
    <w:p>
      <w:pPr>
        <w:pStyle w:val="Bibliography"/>
      </w:pPr>
      <w:r>
        <w:rPr>
          <w:b w:val="0"/>
          <w:b/>
        </w:rPr>
        <w:t xml:space="preserve">Niinemets Ü</w:t>
      </w:r>
      <w:r>
        <w:t xml:space="preserve">.</w:t>
      </w:r>
      <w:r>
        <w:t xml:space="preserve"> </w:t>
      </w:r>
      <w:r>
        <w:rPr>
          <w:b/>
        </w:rPr>
        <w:t xml:space="preserve">2010</w:t>
      </w:r>
      <w:r>
        <w:t xml:space="preserve">. Responses of forest trees to single and multiple environmental stresses from seedlings to mature plants: Past stress history, stress interactions, tolerance and acclimation.</w:t>
      </w:r>
      <w:r>
        <w:t xml:space="preserve"> </w:t>
      </w:r>
      <w:r>
        <w:rPr>
          <w:i/>
        </w:rPr>
        <w:t xml:space="preserve">Forest Ecology and Management</w:t>
      </w:r>
      <w:r>
        <w:t xml:space="preserve"> </w:t>
      </w:r>
      <w:r>
        <w:rPr>
          <w:b/>
        </w:rPr>
        <w:t xml:space="preserve">260</w:t>
      </w:r>
      <w:r>
        <w:t xml:space="preserve">: 1623–1639.</w:t>
      </w:r>
    </w:p>
    <w:bookmarkEnd w:id="60"/>
    <w:bookmarkStart w:id="61"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61"/>
    <w:bookmarkStart w:id="62"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62"/>
    <w:bookmarkStart w:id="63"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63"/>
    <w:bookmarkStart w:id="64"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64"/>
    <w:bookmarkStart w:id="65"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65"/>
    <w:bookmarkStart w:id="66"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66"/>
    <w:bookmarkStart w:id="67"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67"/>
    <w:bookmarkStart w:id="68" w:name="X061215d47d955ee52290079797e51cf19e4092a"/>
    <w:p>
      <w:pPr>
        <w:pStyle w:val="Bibliography"/>
      </w:pPr>
      <w:r>
        <w:rPr>
          <w:b w:val="0"/>
          <w:b/>
        </w:rPr>
        <w:t xml:space="preserve">Scheffers B</w:t>
      </w:r>
      <w:r>
        <w:rPr>
          <w:b/>
        </w:rPr>
        <w:t xml:space="preserve">,</w:t>
      </w:r>
      <w:r>
        <w:rPr>
          <w:b/>
        </w:rPr>
        <w:t xml:space="preserve"> </w:t>
      </w:r>
      <w:r>
        <w:rPr>
          <w:b w:val="0"/>
          <w:b/>
        </w:rPr>
        <w:t xml:space="preserve">Edwards D</w:t>
      </w:r>
      <w:r>
        <w:rPr>
          <w:b/>
        </w:rPr>
        <w:t xml:space="preserve">,</w:t>
      </w:r>
      <w:r>
        <w:rPr>
          <w:b/>
        </w:rPr>
        <w:t xml:space="preserve"> </w:t>
      </w:r>
      <w:r>
        <w:rPr>
          <w:b w:val="0"/>
          <w:b/>
        </w:rPr>
        <w:t xml:space="preserve">Diesmos A</w:t>
      </w:r>
      <w:r>
        <w:rPr>
          <w:b/>
        </w:rPr>
        <w:t xml:space="preserve">,</w:t>
      </w:r>
      <w:r>
        <w:rPr>
          <w:b/>
        </w:rPr>
        <w:t xml:space="preserve"> </w:t>
      </w:r>
      <w:r>
        <w:rPr>
          <w:b w:val="0"/>
          <w:b/>
        </w:rPr>
        <w:t xml:space="preserve">Williams S</w:t>
      </w:r>
      <w:r>
        <w:rPr>
          <w:b/>
        </w:rPr>
        <w:t xml:space="preserve">,</w:t>
      </w:r>
      <w:r>
        <w:rPr>
          <w:b/>
        </w:rPr>
        <w:t xml:space="preserve"> </w:t>
      </w:r>
      <w:r>
        <w:rPr>
          <w:b w:val="0"/>
          <w:b/>
        </w:rPr>
        <w:t xml:space="preserve">Evans T</w:t>
      </w:r>
      <w:r>
        <w:t xml:space="preserve">.</w:t>
      </w:r>
      <w:r>
        <w:t xml:space="preserve"> </w:t>
      </w:r>
      <w:r>
        <w:rPr>
          <w:b/>
        </w:rPr>
        <w:t xml:space="preserve">2013</w:t>
      </w:r>
      <w:r>
        <w:t xml:space="preserve">. Microhabitats reduce animal’s exposure to climate extremes.</w:t>
      </w:r>
      <w:r>
        <w:t xml:space="preserve"> </w:t>
      </w:r>
      <w:r>
        <w:rPr>
          <w:i/>
        </w:rPr>
        <w:t xml:space="preserve">Global change biology</w:t>
      </w:r>
      <w:r>
        <w:t xml:space="preserve"> </w:t>
      </w:r>
      <w:r>
        <w:rPr>
          <w:b/>
        </w:rPr>
        <w:t xml:space="preserve">20</w:t>
      </w:r>
      <w:r>
        <w:t xml:space="preserve">.</w:t>
      </w:r>
    </w:p>
    <w:bookmarkEnd w:id="68"/>
    <w:bookmarkStart w:id="69"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69"/>
    <w:bookmarkStart w:id="70" w:name="ref-stovallTreeHeightExplains2019"/>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70"/>
    <w:bookmarkStart w:id="71" w:name="ref-suggittExtinctionRiskClimate2018"/>
    <w:p>
      <w:pPr>
        <w:pStyle w:val="Bibliography"/>
      </w:pPr>
      <w:r>
        <w:rPr>
          <w:b w:val="0"/>
          <w:b/>
        </w:rPr>
        <w:t xml:space="preserve">Suggitt A</w:t>
      </w:r>
      <w:r>
        <w:rPr>
          <w:b/>
        </w:rPr>
        <w:t xml:space="preserve">,</w:t>
      </w:r>
      <w:r>
        <w:rPr>
          <w:b/>
        </w:rPr>
        <w:t xml:space="preserve"> </w:t>
      </w:r>
      <w:r>
        <w:rPr>
          <w:b w:val="0"/>
          <w:b/>
        </w:rPr>
        <w:t xml:space="preserve">Wilson R</w:t>
      </w:r>
      <w:r>
        <w:rPr>
          <w:b/>
        </w:rPr>
        <w:t xml:space="preserve">,</w:t>
      </w:r>
      <w:r>
        <w:rPr>
          <w:b/>
        </w:rPr>
        <w:t xml:space="preserve"> </w:t>
      </w:r>
      <w:r>
        <w:rPr>
          <w:b w:val="0"/>
          <w:b/>
        </w:rPr>
        <w:t xml:space="preserve">Isaac N</w:t>
      </w:r>
      <w:r>
        <w:rPr>
          <w:b/>
        </w:rPr>
        <w:t xml:space="preserve">,</w:t>
      </w:r>
      <w:r>
        <w:rPr>
          <w:b/>
        </w:rPr>
        <w:t xml:space="preserve"> </w:t>
      </w:r>
      <w:r>
        <w:rPr>
          <w:b w:val="0"/>
          <w:b/>
        </w:rPr>
        <w:t xml:space="preserve">Beale C</w:t>
      </w:r>
      <w:r>
        <w:rPr>
          <w:b/>
        </w:rPr>
        <w:t xml:space="preserve">,</w:t>
      </w:r>
      <w:r>
        <w:rPr>
          <w:b/>
        </w:rPr>
        <w:t xml:space="preserve"> </w:t>
      </w:r>
      <w:r>
        <w:rPr>
          <w:b w:val="0"/>
          <w:b/>
        </w:rPr>
        <w:t xml:space="preserve">Auffret A</w:t>
      </w:r>
      <w:r>
        <w:rPr>
          <w:b/>
        </w:rPr>
        <w:t xml:space="preserve">,</w:t>
      </w:r>
      <w:r>
        <w:rPr>
          <w:b/>
        </w:rPr>
        <w:t xml:space="preserve"> </w:t>
      </w:r>
      <w:r>
        <w:rPr>
          <w:b w:val="0"/>
          <w:b/>
        </w:rPr>
        <w:t xml:space="preserve">August T</w:t>
      </w:r>
      <w:r>
        <w:rPr>
          <w:b/>
        </w:rPr>
        <w:t xml:space="preserve">,</w:t>
      </w:r>
      <w:r>
        <w:rPr>
          <w:b/>
        </w:rPr>
        <w:t xml:space="preserve"> </w:t>
      </w:r>
      <w:r>
        <w:rPr>
          <w:b w:val="0"/>
          <w:b/>
        </w:rPr>
        <w:t xml:space="preserve">Bennie J</w:t>
      </w:r>
      <w:r>
        <w:rPr>
          <w:b/>
        </w:rPr>
        <w:t xml:space="preserve">,</w:t>
      </w:r>
      <w:r>
        <w:rPr>
          <w:b/>
        </w:rPr>
        <w:t xml:space="preserve"> </w:t>
      </w:r>
      <w:r>
        <w:rPr>
          <w:b w:val="0"/>
          <w:b/>
        </w:rPr>
        <w:t xml:space="preserve">Crick H</w:t>
      </w:r>
      <w:r>
        <w:rPr>
          <w:b/>
        </w:rPr>
        <w:t xml:space="preserve">,</w:t>
      </w:r>
      <w:r>
        <w:rPr>
          <w:b/>
        </w:rPr>
        <w:t xml:space="preserve"> </w:t>
      </w:r>
      <w:r>
        <w:rPr>
          <w:b w:val="0"/>
          <w:b/>
        </w:rPr>
        <w:t xml:space="preserve">Duffield S</w:t>
      </w:r>
      <w:r>
        <w:rPr>
          <w:b/>
        </w:rPr>
        <w:t xml:space="preserve">,</w:t>
      </w:r>
      <w:r>
        <w:rPr>
          <w:b/>
        </w:rPr>
        <w:t xml:space="preserve"> </w:t>
      </w:r>
      <w:r>
        <w:rPr>
          <w:b w:val="0"/>
          <w:b/>
        </w:rPr>
        <w:t xml:space="preserve">Fox R</w:t>
      </w:r>
      <w:r>
        <w:rPr>
          <w:b/>
        </w:rPr>
        <w:t xml:space="preserve"> </w:t>
      </w:r>
      <w:r>
        <w:rPr>
          <w:i/>
          <w:b/>
        </w:rPr>
        <w:t xml:space="preserve">et al.</w:t>
      </w:r>
      <w:r>
        <w:t xml:space="preserve"> </w:t>
      </w:r>
      <w:r>
        <w:rPr>
          <w:b/>
        </w:rPr>
        <w:t xml:space="preserve">2018</w:t>
      </w:r>
      <w:r>
        <w:t xml:space="preserve">. Extinction risk from climate change is reduced by microclimatic buffering.</w:t>
      </w:r>
      <w:r>
        <w:t xml:space="preserve"> </w:t>
      </w:r>
      <w:r>
        <w:rPr>
          <w:i/>
        </w:rPr>
        <w:t xml:space="preserve">Nature Climate Change</w:t>
      </w:r>
      <w:r>
        <w:t xml:space="preserve"> </w:t>
      </w:r>
      <w:r>
        <w:rPr>
          <w:b/>
        </w:rPr>
        <w:t xml:space="preserve">8</w:t>
      </w:r>
      <w:r>
        <w:t xml:space="preserve">.</w:t>
      </w:r>
    </w:p>
    <w:bookmarkEnd w:id="71"/>
    <w:bookmarkStart w:id="72"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72"/>
    <w:bookmarkStart w:id="73"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73"/>
    <w:bookmarkStart w:id="74"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74"/>
    <w:bookmarkStart w:id="75"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75"/>
    <w:bookmarkStart w:id="76"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76"/>
    <w:bookmarkEnd w:id="77"/>
    <w:bookmarkEnd w:id="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37" Target="media/rId37.png" /><Relationship Type="http://schemas.openxmlformats.org/officeDocument/2006/relationships/image" Id="rId29" Target="media/rId29.png" /><Relationship Type="http://schemas.openxmlformats.org/officeDocument/2006/relationships/image" Id="rId22" Target="media/rId22.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hyperlink" Id="rId31" Target="http://dx.doi.org/10.1016/j.tree.2015.09.006" TargetMode="External" /><Relationship Type="http://schemas.openxmlformats.org/officeDocument/2006/relationships/hyperlink" Id="rId35" Target="https://doi.org/10.1111/pce.13564" TargetMode="External" /><Relationship Type="http://schemas.openxmlformats.org/officeDocument/2006/relationships/hyperlink" Id="rId25" Target="https://github.com/EcoClimLab/vertical-thermal-review/issues/2" TargetMode="External" /><Relationship Type="http://schemas.openxmlformats.org/officeDocument/2006/relationships/hyperlink" Id="rId30" Target="https://github.com/EcoClimLab/vertical-thermal-review/issues/6" TargetMode="External" /><Relationship Type="http://schemas.openxmlformats.org/officeDocument/2006/relationships/hyperlink" Id="rId34" Target="https://github.com/EcoClimLab/vertical-thermal-review/issues/8"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1" Target="http://dx.doi.org/10.1016/j.tree.2015.09.006" TargetMode="External" /><Relationship Type="http://schemas.openxmlformats.org/officeDocument/2006/relationships/hyperlink" Id="rId35" Target="https://doi.org/10.1111/pce.13564" TargetMode="External" /><Relationship Type="http://schemas.openxmlformats.org/officeDocument/2006/relationships/hyperlink" Id="rId25" Target="https://github.com/EcoClimLab/vertical-thermal-review/issues/2" TargetMode="External" /><Relationship Type="http://schemas.openxmlformats.org/officeDocument/2006/relationships/hyperlink" Id="rId30" Target="https://github.com/EcoClimLab/vertical-thermal-review/issues/6" TargetMode="External" /><Relationship Type="http://schemas.openxmlformats.org/officeDocument/2006/relationships/hyperlink" Id="rId34" Target="https://github.com/EcoClimLab/vertical-thermal-review/issues/8"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2020-09-28T15:31:37Z</dcterms:created>
  <dcterms:modified xsi:type="dcterms:W3CDTF">2020-09-28T15:31:37Z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vt:lpwstr>
  </property>
  <property fmtid="{D5CDD505-2E9C-101B-9397-08002B2CF9AE}" pid="5" name="output">
    <vt:lpwstr>word_document</vt:lpwstr>
  </property>
</Properties>
</file>