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40.png" ContentType="image/png"/>
  <Override PartName="/word/media/rId31.png" ContentType="image/png"/>
  <Override PartName="/word/media/rId22.png" ContentType="image/png"/>
  <Override PartName="/word/media/rId29.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w:t>
      </w:r>
      <w:r>
        <w:t xml:space="preserve"> </w:t>
      </w:r>
      <w:r>
        <w:t xml:space="preserve">(Perkins</w:t>
      </w:r>
      <w:r>
        <w:t xml:space="preserve"> </w:t>
      </w:r>
      <w:r>
        <w:rPr>
          <w:i/>
        </w:rPr>
        <w:t xml:space="preserve">et al.</w:t>
      </w:r>
      <w:r>
        <w:t xml:space="preserve">, 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Taller trees form canopies that maintain vertically-stratified forest ecosystems, and play a crucial role in regulating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p>
    <w:p>
      <w:pPr>
        <w:pStyle w:val="BodyText"/>
      </w:pP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Huang</w:t>
      </w:r>
      <w:r>
        <w:t xml:space="preserve"> </w:t>
      </w:r>
      <w:r>
        <w:rPr>
          <w:i/>
        </w:rPr>
        <w:t xml:space="preserve">et al.</w:t>
      </w:r>
      <w:r>
        <w:t xml:space="preserve">, 2019)</w:t>
      </w:r>
      <w:r>
        <w:t xml:space="preserve">. Loss of canopy cover as a result of increasing temperature and related forest disturbances</w:t>
      </w:r>
      <w:r>
        <w:t xml:space="preserve"> </w:t>
      </w:r>
      <w:r>
        <w:t xml:space="preserve">(Senf</w:t>
      </w:r>
      <w:r>
        <w:t xml:space="preserve"> </w:t>
      </w:r>
      <w:r>
        <w:rPr>
          <w:i/>
        </w:rPr>
        <w:t xml:space="preserve">et al.</w:t>
      </w:r>
      <w:r>
        <w:t xml:space="preserve">, 2018; Senf &amp; Seidl, 2020)</w:t>
      </w:r>
      <w:r>
        <w:t xml:space="preserve"> </w:t>
      </w:r>
      <w:r>
        <w:t xml:space="preserve">is associated with reductions in canopy structural complexity, and altered microclimates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w:t>
      </w:r>
      <w:r>
        <w:t xml:space="preserve">, this has been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De Frenne</w:t>
      </w:r>
      <w:r>
        <w:t xml:space="preserve"> </w:t>
      </w:r>
      <w:r>
        <w:rPr>
          <w:i/>
        </w:rPr>
        <w:t xml:space="preserve">et al.</w:t>
      </w:r>
      <w:r>
        <w:t xml:space="preserve">, 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ecosystems, with potential feedbacks to climate change, especially in protecting species acclimated to cooler [mean annual] temperatures</w:t>
      </w:r>
      <w:r>
        <w:t xml:space="preserve"> </w:t>
      </w:r>
      <w:r>
        <w:t xml:space="preserve">(Zellweger</w:t>
      </w:r>
      <w:r>
        <w:t xml:space="preserve"> </w:t>
      </w:r>
      <w:r>
        <w:rPr>
          <w:i/>
        </w:rPr>
        <w:t xml:space="preserve">et al.</w:t>
      </w:r>
      <w:r>
        <w:t xml:space="preserve">, 2020;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biophysical and photosynthetic gradient interactions along the vertical canopy profile, however our current knowledge of this topic is lacking.)</w:t>
      </w:r>
    </w:p>
    <w:p>
      <w:pPr>
        <w:pStyle w:val="BodyText"/>
      </w:pPr>
      <w:r>
        <w:rPr>
          <w:b/>
        </w:rPr>
        <w:t xml:space="preserve">However, we lack a systematic, up to date understanding of biophysical and biological patterns across this gradient, how these affect leaf-level processes, and in turn how it affects ecosystems (Fig. 1).</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 1)</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bookmarkEnd w:id="23"/>
    <w:bookmarkStart w:id="28"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Canopy foliage, which varies across forest types and seasonally, strongly shapes the understory light, wind, etc.</w:t>
      </w:r>
      <w:r>
        <w:t xml:space="preserve"> </w:t>
      </w:r>
      <w:r>
        <w:t xml:space="preserve">Forest canopies have a buffering effect on multiple aspects of the understory climate (Fig.</w:t>
      </w:r>
      <w:r>
        <w:t xml:space="preserve"> </w:t>
      </w:r>
      <w:r>
        <w:rPr>
          <w:b/>
        </w:rPr>
        <w:t xml:space="preserve">2</w:t>
      </w:r>
      <w:r>
        <w:t xml:space="preserve">).</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strongly varies with canopy height due to cumulative layers of vegetation that limits light to lower canopy layers</w:t>
      </w:r>
      <w:r>
        <w:t xml:space="preserve"> </w:t>
      </w:r>
      <w:r>
        <w:t xml:space="preserve">(Niinemets &amp; Anten, 2009; Fauset</w:t>
      </w:r>
      <w:r>
        <w:t xml:space="preserve"> </w:t>
      </w:r>
      <w:r>
        <w:rPr>
          <w:i/>
        </w:rPr>
        <w:t xml:space="preserve">et al.</w:t>
      </w:r>
      <w:r>
        <w:t xml:space="preserve">, 2018; Parker 1995; Poorter</w:t>
      </w:r>
      <w:r>
        <w:t xml:space="preserve"> </w:t>
      </w:r>
      <w:r>
        <w:rPr>
          <w:i/>
        </w:rPr>
        <w:t xml:space="preserve">et al.</w:t>
      </w:r>
      <w:r>
        <w:t xml:space="preserve">, 2019)</w:t>
      </w:r>
      <w:r>
        <w:t xml:space="preserve"> </w:t>
      </w:r>
      <w:r>
        <w:t xml:space="preserve">(Fig.</w:t>
      </w:r>
      <w:r>
        <w:t xml:space="preserve"> </w:t>
      </w:r>
      <w:r>
        <w:rPr>
          <w:b/>
        </w:rPr>
        <w:t xml:space="preserve">2x</w:t>
      </w:r>
      <w:r>
        <w:t xml:space="preserve">), 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This difference in light regime is an important variable in determining leaf traits along the gradient and consequently their responses to temperature</w:t>
      </w:r>
      <w:r>
        <w:t xml:space="preserve"> </w:t>
      </w:r>
      <w:r>
        <w:t xml:space="preserve">(</w:t>
      </w:r>
      <w:r>
        <w:rPr>
          <w:b/>
        </w:rPr>
        <w:t xml:space="preserve">???</w:t>
      </w:r>
      <w:r>
        <w:t xml:space="preserve">;</w:t>
      </w:r>
      <w:r>
        <w:t xml:space="preserve"> </w:t>
      </w:r>
      <w:r>
        <w:rPr>
          <w:b/>
        </w:rPr>
        <w:t xml:space="preserve">???</w:t>
      </w:r>
      <w:r>
        <w:t xml:space="preserve">; Doughty &amp; Goulden, 2008)</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 (</w:t>
      </w:r>
      <m:oMath>
        <m:sSub>
          <m:e>
            <m:r>
              <m:t>g</m:t>
            </m:r>
          </m:e>
          <m:sub>
            <m:r>
              <m:t>a</m:t>
            </m:r>
          </m:sub>
        </m:sSub>
      </m:oMath>
      <w:r>
        <w:t xml:space="preserve">) for canopy leaves. Boundary layer conductance is the thickness of air layer at the surface of the leaf through which water vapor diffuses after leaving the stomata;(</w:t>
      </w:r>
      <m:oMath>
        <m:sSub>
          <m:e>
            <m:r>
              <m:t>g</m:t>
            </m:r>
          </m:e>
          <m:sub>
            <m:r>
              <m:t>a</m:t>
            </m:r>
          </m:sub>
        </m:sSub>
      </m:oMath>
      <w:r>
        <w:t xml:space="preserve">) also depends on leaf traits, morphology and windspeed.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w:t>
      </w:r>
      <w:r>
        <w:t xml:space="preserve"> </w:t>
      </w:r>
      <w:r>
        <w:t xml:space="preserve">thus having important implications for leaf thermal sensitivity.</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w:t>
      </w:r>
      <w:r>
        <w:rPr>
          <w:b/>
        </w:rPr>
        <w:t xml:space="preserve">???</w:t>
      </w:r>
      <w:r>
        <w:t xml:space="preserve">;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r>
        <w:t xml:space="preserve"> </w:t>
      </w:r>
      <w:r>
        <w:rPr>
          <w:i/>
        </w:rPr>
        <w:t xml:space="preserve">(Add something about risk of freeze.)</w:t>
      </w:r>
      <w:r>
        <w:t xml:space="preserve"> </w:t>
      </w:r>
      <w:r>
        <w:t xml:space="preserve">Additionally, canopies also buffer effects of snow through intercepting heavy snow accumulution on below-canopy levels</w:t>
      </w:r>
      <w:r>
        <w:t xml:space="preserve"> </w:t>
      </w:r>
      <w:r>
        <w:t xml:space="preserve">(Storck</w:t>
      </w:r>
      <w:r>
        <w:t xml:space="preserve"> </w:t>
      </w:r>
      <w:r>
        <w:rPr>
          <w:i/>
        </w:rPr>
        <w:t xml:space="preserve">et al.</w:t>
      </w:r>
      <w:r>
        <w:t xml:space="preserve">, 2002; Nakamura</w:t>
      </w:r>
      <w:r>
        <w:t xml:space="preserve"> </w:t>
      </w:r>
      <w:r>
        <w:rPr>
          <w:i/>
        </w:rPr>
        <w:t xml:space="preserve">et al.</w:t>
      </w:r>
      <w:r>
        <w:t xml:space="preserve">, 2017)</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Forest canopies moderate relative humidity in below-canopy microclimates along with temperature. In three European forest types (Broadleaved, Non-Pine Conifer, Pine) canopy buffering was observed to decrease daily maximum</w:t>
      </w:r>
      <w:r>
        <w:t xml:space="preserve"> </w:t>
      </w:r>
      <m:oMath>
        <m:sSub>
          <m:e>
            <m:r>
              <m:t>T</m:t>
            </m:r>
          </m:e>
          <m:sub>
            <m:r>
              <m:t>a</m:t>
            </m:r>
            <m:r>
              <m:t>i</m:t>
            </m:r>
            <m:r>
              <m:t>r</m:t>
            </m:r>
          </m:sub>
        </m:sSub>
      </m:oMath>
      <w:r>
        <w:t xml:space="preserve"> </w:t>
      </w:r>
      <w:r>
        <w:t xml:space="preserve">and increase daily minimum RH in below-canopy microclimate. With rising temperatures, this trend in maximum</w:t>
      </w:r>
      <w:r>
        <w:t xml:space="preserve"> </w:t>
      </w:r>
      <m:oMath>
        <m:sSub>
          <m:e>
            <m:r>
              <m:t>T</m:t>
            </m:r>
          </m:e>
          <m:sub>
            <m:r>
              <m:t>a</m:t>
            </m:r>
            <m:r>
              <m:t>i</m:t>
            </m:r>
            <m:r>
              <m:t>r</m:t>
            </m:r>
          </m:sub>
        </m:sSub>
      </m:oMath>
      <w:r>
        <w:t xml:space="preserve"> </w:t>
      </w:r>
      <w:r>
        <w:t xml:space="preserve">and RH would have implications on understory seedling growth, especially in high altitude temperate pine forests</w:t>
      </w:r>
      <w:r>
        <w:t xml:space="preserve"> </w:t>
      </w:r>
      <w:r>
        <w:t xml:space="preserve">(</w:t>
      </w:r>
      <w:r>
        <w:rPr>
          <w:b/>
        </w:rPr>
        <w:t xml:space="preserve">???</w:t>
      </w:r>
      <w:r>
        <w:t xml:space="preserve">)</w:t>
      </w:r>
    </w:p>
    <w:p>
      <w:pPr>
        <w:pStyle w:val="BodyText"/>
      </w:pP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 making canopy leaves more efficient in regulating water use</w:t>
      </w:r>
      <w:r>
        <w:t xml:space="preserve"> </w:t>
      </w:r>
      <w:r>
        <w:t xml:space="preserve">(Niinemets &amp; Valladares, 2004)</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(Niinemets &amp; Valladares, 2004)</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r>
        <w:br w:type="page"/>
      </w:r>
    </w:p>
    <w:p>
      <w:pPr>
        <w:pStyle w:val="CaptionedFigure"/>
      </w:pPr>
      <w:r>
        <w:drawing>
          <wp:inline>
            <wp:extent cx="5334000" cy="2598615"/>
            <wp:effectExtent b="0" l="0" r="0" t="0"/>
            <wp:docPr descr="Figure 2. Vertical gradients in the biophysical environment, from NEON data. Current placeholder figure is old version from Ian McGregor’s in press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 press paper, showing NEON data from SCBI. See issue 2:</w:t>
      </w:r>
      <w:r>
        <w:t xml:space="preserve"> </w:t>
      </w:r>
      <w:hyperlink r:id="rId26">
        <w:r>
          <w:rPr>
            <w:rStyle w:val="Hyperlink"/>
          </w:rPr>
          <w:t xml:space="preserve">https://github.com/EcoClimLab/vertical-thermal-review/issues/2</w:t>
        </w:r>
      </w:hyperlink>
      <w:r>
        <w:t xml:space="preserve">.</w:t>
      </w:r>
    </w:p>
    <w:p>
      <w:pPr>
        <w:pStyle w:val="CaptionedFigure"/>
      </w:pPr>
      <w:r>
        <w:drawing>
          <wp:inline>
            <wp:extent cx="5334000" cy="3663975"/>
            <wp:effectExtent b="0" l="0" r="0" t="0"/>
            <wp:docPr descr="This is a draft illustration of contents for the intendend figure. We’ll pick out one variable-month combination per panel, and show it for all the forested NEON sites." title="" id="1" name="Picture"/>
            <a:graphic>
              <a:graphicData uri="http://schemas.openxmlformats.org/drawingml/2006/picture">
                <pic:pic>
                  <pic:nvPicPr>
                    <pic:cNvPr descr="NEON_height_profiles/NEON_height_profile_temp2.png" id="0" name="Picture"/>
                    <pic:cNvPicPr>
                      <a:picLocks noChangeArrowheads="1" noChangeAspect="1"/>
                    </pic:cNvPicPr>
                  </pic:nvPicPr>
                  <pic:blipFill>
                    <a:blip r:embed="rId27"/>
                    <a:stretch>
                      <a:fillRect/>
                    </a:stretch>
                  </pic:blipFill>
                  <pic:spPr bwMode="auto">
                    <a:xfrm>
                      <a:off x="0" y="0"/>
                      <a:ext cx="5334000" cy="3663975"/>
                    </a:xfrm>
                    <a:prstGeom prst="rect">
                      <a:avLst/>
                    </a:prstGeom>
                    <a:noFill/>
                    <a:ln w="9525">
                      <a:noFill/>
                      <a:headEnd/>
                      <a:tailEnd/>
                    </a:ln>
                  </pic:spPr>
                </pic:pic>
              </a:graphicData>
            </a:graphic>
          </wp:inline>
        </w:drawing>
      </w:r>
    </w:p>
    <w:p>
      <w:pPr>
        <w:pStyle w:val="ImageCaption"/>
      </w:pPr>
      <w:r>
        <w:t xml:space="preserve">This is a draft illustration of contents for the intendend figure. We’ll pick out one variable-month combination per panel, and show it for all the forested NEON sites.</w:t>
      </w:r>
    </w:p>
    <w:p>
      <w:r>
        <w:br w:type="page"/>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28"/>
    <w:bookmarkStart w:id="30" w:name="trait-variation"/>
    <w:p>
      <w:pPr>
        <w:pStyle w:val="Heading2"/>
      </w:pPr>
      <w:r>
        <w:t xml:space="preserve">Trait variation</w:t>
      </w:r>
    </w:p>
    <w:p>
      <w:pPr>
        <w:pStyle w:val="FirstParagraph"/>
      </w:pPr>
      <w:r>
        <w:t xml:space="preserve">Leaf traits vary along the vertical canopy profile following the pattern of light availability across the gradient</w:t>
      </w:r>
      <w:r>
        <w:t xml:space="preserve"> </w:t>
      </w:r>
      <w:r>
        <w:t xml:space="preserve">(Poorter</w:t>
      </w:r>
      <w:r>
        <w:t xml:space="preserve"> </w:t>
      </w:r>
      <w:r>
        <w:rPr>
          <w:i/>
        </w:rPr>
        <w:t xml:space="preserve">et al.</w:t>
      </w:r>
      <w:r>
        <w:t xml:space="preserve">, 2019)</w:t>
      </w:r>
      <w:r>
        <w:t xml:space="preserve">. Leaves in the upper canopy that are exposed to more light differ in their traits compared to shaded leaves exposed to less light</w:t>
      </w:r>
      <w:r>
        <w:t xml:space="preserve"> </w:t>
      </w:r>
      <w:r>
        <w:t xml:space="preserve">(Niinemets</w:t>
      </w:r>
      <w:r>
        <w:t xml:space="preserve"> </w:t>
      </w:r>
      <w:r>
        <w:rPr>
          <w:i/>
        </w:rPr>
        <w:t xml:space="preserve">et al.</w:t>
      </w:r>
      <w:r>
        <w:t xml:space="preserve">, 2015)</w:t>
      </w:r>
      <w:r>
        <w:t xml:space="preserve">.</w:t>
      </w:r>
      <w:r>
        <w:t xml:space="preserve"> </w:t>
      </w:r>
      <w:r>
        <w:t xml:space="preserve">Increasing number of studies point towards the importance of incorporating vertical canopy leaf trait variation in modelling for leaf economic spectrum (LES) [Chen et al. 2020], leaf thermoregulation and thermal sensitivty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Chen</w:t>
      </w:r>
      <w:r>
        <w:t xml:space="preserve"> </w:t>
      </w:r>
      <w:r>
        <w:rPr>
          <w:i/>
        </w:rPr>
        <w:t xml:space="preserve">et al.</w:t>
      </w:r>
      <w:r>
        <w:t xml:space="preserve"> </w:t>
      </w:r>
      <w:r>
        <w:t xml:space="preserve">(2020)</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9"/>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4"/>
        </w:numPr>
        <w:pStyle w:val="Compact"/>
      </w:pPr>
      <w:r>
        <w:rPr>
          <w:i/>
        </w:rPr>
        <w:t xml:space="preserve">Are patterns (in traits, metabolism, ecology) driven by tree height or exposure?</w:t>
      </w:r>
    </w:p>
    <w:bookmarkEnd w:id="30"/>
    <w:bookmarkStart w:id="34"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2">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3">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BodyText"/>
      </w:pPr>
      <w:r>
        <w:rPr>
          <w:i/>
        </w:rPr>
        <w:t xml:space="preserve">(Because hydraulics are key to leaf T, we should include some of that here–e.g., water on leaves and leaf water content)</w:t>
      </w:r>
    </w:p>
    <w:bookmarkEnd w:id="34"/>
    <w:bookmarkStart w:id="38"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5"/>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t xml:space="preserve">Photosynthesis increases with increasing temperature and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beyond this the leaf experiences heat stress; non-photochemical quenching, photoinhibition and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along a height gradient in Puerto Rico, and no significant trend in temperate trees</w:t>
      </w:r>
      <w:r>
        <w:t xml:space="preserve"> </w:t>
      </w:r>
      <w:r>
        <w:t xml:space="preserve">(Mau</w:t>
      </w:r>
      <w:r>
        <w:t xml:space="preserve"> </w:t>
      </w:r>
      <w:r>
        <w:rPr>
          <w:i/>
        </w:rPr>
        <w:t xml:space="preserve">et al.</w:t>
      </w:r>
      <w:r>
        <w:t xml:space="preserve">, 2018)</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6">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6">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7">
        <w:r>
          <w:rPr>
            <w:rStyle w:val="Hyperlink"/>
          </w:rPr>
          <w:t xml:space="preserve">https://doi.org/10.1111/pce.13564</w:t>
        </w:r>
      </w:hyperlink>
      <w:r>
        <w:t xml:space="preserve">).</w:t>
      </w:r>
      <w:r>
        <w:t xml:space="preserve"> </w:t>
      </w:r>
      <w:r>
        <w:t xml:space="preserve">- Within species, isporene production scales with light/ T</w:t>
      </w:r>
    </w:p>
    <w:bookmarkEnd w:id="38"/>
    <w:bookmarkStart w:id="42" w:name="ecosystem-scaling-implications"/>
    <w:p>
      <w:pPr>
        <w:pStyle w:val="Heading2"/>
      </w:pPr>
      <w:r>
        <w:t xml:space="preserve">Ecosystem Scaling &amp; implications</w:t>
      </w:r>
    </w:p>
    <w:bookmarkStart w:id="39"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39"/>
    <w:bookmarkStart w:id="41"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3.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S3. OUTLIER HERE IS SHADE-TOLERANT BEECH. Data from Helcoski et al. 2019.</w:t>
      </w:r>
    </w:p>
    <w:bookmarkEnd w:id="41"/>
    <w:bookmarkEnd w:id="42"/>
    <w:bookmarkStart w:id="44"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3" w:name="X81231cce53188fe35f6d56730db0dc994d0c1d7"/>
    <w:p>
      <w:pPr>
        <w:pStyle w:val="Heading3"/>
      </w:pPr>
      <w:r>
        <w:t xml:space="preserve">Implications for climate change responses</w:t>
      </w:r>
    </w:p>
    <w:p>
      <w:pPr>
        <w:numPr>
          <w:ilvl w:val="0"/>
          <w:numId w:val="1005"/>
        </w:numPr>
      </w:pPr>
      <w:r>
        <w:t xml:space="preserve">CO2 may lead to denser understory (Martijn)</w:t>
      </w:r>
    </w:p>
    <w:p>
      <w:pPr>
        <w:numPr>
          <w:ilvl w:val="0"/>
          <w:numId w:val="1005"/>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3"/>
    <w:bookmarkEnd w:id="44"/>
    <w:bookmarkStart w:id="45" w:name="conclusions"/>
    <w:p>
      <w:pPr>
        <w:pStyle w:val="Heading2"/>
      </w:pPr>
      <w:r>
        <w:t xml:space="preserve">Conclusions</w:t>
      </w:r>
    </w:p>
    <w:bookmarkEnd w:id="45"/>
    <w:bookmarkStart w:id="4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6"/>
    <w:bookmarkStart w:id="98" w:name="references"/>
    <w:p>
      <w:pPr>
        <w:pStyle w:val="Heading2"/>
      </w:pPr>
      <w:r>
        <w:t xml:space="preserve">References</w:t>
      </w:r>
    </w:p>
    <w:bookmarkStart w:id="97" w:name="refs"/>
    <w:bookmarkStart w:id="47"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7"/>
    <w:bookmarkStart w:id="48"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8"/>
    <w:bookmarkStart w:id="4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9"/>
    <w:bookmarkStart w:id="5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0"/>
    <w:bookmarkStart w:id="5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1"/>
    <w:bookmarkStart w:id="52"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52"/>
    <w:bookmarkStart w:id="53"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53"/>
    <w:bookmarkStart w:id="54"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54"/>
    <w:bookmarkStart w:id="5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55"/>
    <w:bookmarkStart w:id="5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56"/>
    <w:bookmarkStart w:id="57"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57"/>
    <w:bookmarkStart w:id="5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8"/>
    <w:bookmarkStart w:id="5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9"/>
    <w:bookmarkStart w:id="60"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60"/>
    <w:bookmarkStart w:id="61"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61"/>
    <w:bookmarkStart w:id="62"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62"/>
    <w:bookmarkStart w:id="63"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63"/>
    <w:bookmarkStart w:id="6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64"/>
    <w:bookmarkStart w:id="6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65"/>
    <w:bookmarkStart w:id="6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66"/>
    <w:bookmarkStart w:id="6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67"/>
    <w:bookmarkStart w:id="68"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68"/>
    <w:bookmarkStart w:id="69"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69"/>
    <w:bookmarkStart w:id="7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70"/>
    <w:bookmarkStart w:id="71"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71"/>
    <w:bookmarkStart w:id="7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72"/>
    <w:bookmarkStart w:id="7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73"/>
    <w:bookmarkStart w:id="74"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74"/>
    <w:bookmarkStart w:id="75" w:name="Xa7956cfaddd5ce0161fd3d54f09b954da5ebbec"/>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75"/>
    <w:bookmarkStart w:id="76"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76"/>
    <w:bookmarkStart w:id="7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77"/>
    <w:bookmarkStart w:id="7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78"/>
    <w:bookmarkStart w:id="7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79"/>
    <w:bookmarkStart w:id="8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80"/>
    <w:bookmarkStart w:id="8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81"/>
    <w:bookmarkStart w:id="82"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82"/>
    <w:bookmarkStart w:id="83"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83"/>
    <w:bookmarkStart w:id="84"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84"/>
    <w:bookmarkStart w:id="85"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85"/>
    <w:bookmarkStart w:id="86"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86"/>
    <w:bookmarkStart w:id="87"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87"/>
    <w:bookmarkStart w:id="88" w:name="Xfa76203961b5427c4fc282acfc40a1d89068e51"/>
    <w:p>
      <w:pPr>
        <w:pStyle w:val="Bibliography"/>
      </w:pPr>
      <w:r>
        <w:rPr>
          <w:b w:val="0"/>
          <w:b/>
        </w:rPr>
        <w:t xml:space="preserve">Storck P</w:t>
      </w:r>
      <w:r>
        <w:rPr>
          <w:b/>
        </w:rPr>
        <w:t xml:space="preserve">,</w:t>
      </w:r>
      <w:r>
        <w:rPr>
          <w:b/>
        </w:rPr>
        <w:t xml:space="preserve"> </w:t>
      </w:r>
      <w:r>
        <w:rPr>
          <w:b w:val="0"/>
          <w:b/>
        </w:rPr>
        <w:t xml:space="preserve">Lettenmaier DP</w:t>
      </w:r>
      <w:r>
        <w:rPr>
          <w:b/>
        </w:rPr>
        <w:t xml:space="preserve">,</w:t>
      </w:r>
      <w:r>
        <w:rPr>
          <w:b/>
        </w:rPr>
        <w:t xml:space="preserve"> </w:t>
      </w:r>
      <w:r>
        <w:rPr>
          <w:b w:val="0"/>
          <w:b/>
        </w:rPr>
        <w:t xml:space="preserve">Bolton SM</w:t>
      </w:r>
      <w:r>
        <w:t xml:space="preserve">.</w:t>
      </w:r>
      <w:r>
        <w:t xml:space="preserve"> </w:t>
      </w:r>
      <w:r>
        <w:rPr>
          <w:b/>
        </w:rPr>
        <w:t xml:space="preserve">2002</w:t>
      </w:r>
      <w:r>
        <w:t xml:space="preserve">. Measurement of snow interception and canopy effects on snow accumulation and melt in a mountainous maritime climate, Oregon, United States.</w:t>
      </w:r>
      <w:r>
        <w:t xml:space="preserve"> </w:t>
      </w:r>
      <w:r>
        <w:rPr>
          <w:i/>
        </w:rPr>
        <w:t xml:space="preserve">Water Resources Research</w:t>
      </w:r>
      <w:r>
        <w:t xml:space="preserve"> </w:t>
      </w:r>
      <w:r>
        <w:rPr>
          <w:b/>
        </w:rPr>
        <w:t xml:space="preserve">38</w:t>
      </w:r>
      <w:r>
        <w:t xml:space="preserve">: 5–1–5–16.</w:t>
      </w:r>
    </w:p>
    <w:bookmarkEnd w:id="88"/>
    <w:bookmarkStart w:id="89"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89"/>
    <w:bookmarkStart w:id="90"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90"/>
    <w:bookmarkStart w:id="9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91"/>
    <w:bookmarkStart w:id="9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92"/>
    <w:bookmarkStart w:id="9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93"/>
    <w:bookmarkStart w:id="9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94"/>
    <w:bookmarkStart w:id="9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95"/>
    <w:bookmarkStart w:id="9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hyperlink" Id="rId33" Target="http://dx.doi.org/10.1016/j.tree.2015.09.006" TargetMode="External" /><Relationship Type="http://schemas.openxmlformats.org/officeDocument/2006/relationships/hyperlink" Id="rId37"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2" Target="https://github.com/EcoClimLab/vertical-thermal-review/issues/6" TargetMode="External" /><Relationship Type="http://schemas.openxmlformats.org/officeDocument/2006/relationships/hyperlink" Id="rId36"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3" Target="http://dx.doi.org/10.1016/j.tree.2015.09.006" TargetMode="External" /><Relationship Type="http://schemas.openxmlformats.org/officeDocument/2006/relationships/hyperlink" Id="rId37"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2" Target="https://github.com/EcoClimLab/vertical-thermal-review/issues/6" TargetMode="External" /><Relationship Type="http://schemas.openxmlformats.org/officeDocument/2006/relationships/hyperlink" Id="rId36"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2020-10-08T01:25:21Z</dcterms:created>
  <dcterms:modified xsi:type="dcterms:W3CDTF">2020-10-08T01:25:21Z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