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42.png" ContentType="image/png"/>
  <Override PartName="/word/media/rId32.png" ContentType="image/png"/>
  <Override PartName="/word/media/rId23.png" ContentType="image/png"/>
  <Override PartName="/word/media/rId30.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numPr>
          <w:numId w:val="1001"/>
          <w:ilvl w:val="0"/>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Loss of canopy cover as a result of increasing temperature and related forest disturbances</w:t>
      </w:r>
      <w:r>
        <w:t xml:space="preserve"> </w:t>
      </w:r>
      <w:r>
        <w:t xml:space="preserve">(Senf</w:t>
      </w:r>
      <w:r>
        <w:t xml:space="preserve"> </w:t>
      </w:r>
      <w:r>
        <w:rPr>
          <w:i/>
        </w:rPr>
        <w:t xml:space="preserve">et al.</w:t>
      </w:r>
      <w:r>
        <w:t xml:space="preserve">, 2018; Senf &amp; Seidl, 2020)</w:t>
      </w:r>
      <w:r>
        <w:t xml:space="preserve"> </w:t>
      </w:r>
      <w:r>
        <w:t xml:space="preserve">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De Frenne</w:t>
      </w:r>
      <w:r>
        <w:t xml:space="preserve"> </w:t>
      </w:r>
      <w:r>
        <w:rPr>
          <w:i/>
        </w:rPr>
        <w:t xml:space="preserve">et al.</w:t>
      </w:r>
      <w:r>
        <w:t xml:space="preserve">, 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the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 What are the implications for modeling/ scaling? (</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Heading2"/>
      </w:pPr>
      <w:bookmarkStart w:id="24" w:name="the-biophysical-environment"/>
      <w:r>
        <w:t xml:space="preserve">The biophysical environment</w:t>
      </w:r>
      <w:bookmarkEnd w:id="24"/>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Canopy foliage, which varies across forest types and seasonally, strongly shapes the understory light, wind, etc.</w:t>
      </w:r>
      <w:r>
        <w:t xml:space="preserve"> </w:t>
      </w:r>
      <w:r>
        <w:t xml:space="preserve">Forest canopies have a buffering effect on multiple aspects of the understory climate (Fig.</w:t>
      </w:r>
      <w:r>
        <w:t xml:space="preserve"> </w:t>
      </w:r>
      <w:r>
        <w:rPr>
          <w:b/>
        </w:rPr>
        <w:t xml:space="preserve">2</w:t>
      </w:r>
      <w:r>
        <w:t xml:space="preserve">).</w:t>
      </w:r>
    </w:p>
    <w:p>
      <w:pPr>
        <w:pStyle w:val="Compact"/>
        <w:numPr>
          <w:numId w:val="1003"/>
          <w:ilvl w:val="0"/>
        </w:numPr>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strongly varies with canopy height due to cumulative layers of vegetation that limits light to lower canopy layers</w:t>
      </w:r>
      <w:r>
        <w:t xml:space="preserve"> </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This difference in light regime is an important variable in determining leaf traits along the gradient and consequently their responses to temperature</w:t>
      </w:r>
      <w:r>
        <w:t xml:space="preserve"> </w:t>
      </w:r>
      <w:r>
        <w:t xml:space="preserve">(</w:t>
      </w:r>
      <w:r>
        <w:rPr>
          <w:b/>
        </w:rPr>
        <w:t xml:space="preserve">???</w:t>
      </w:r>
      <w:r>
        <w:t xml:space="preserve">;</w:t>
      </w:r>
      <w:r>
        <w:t xml:space="preserve"> </w:t>
      </w:r>
      <w:r>
        <w:rPr>
          <w:b/>
        </w:rPr>
        <w:t xml:space="preserve">???</w:t>
      </w:r>
      <w:r>
        <w:t xml:space="preserve">; Doughty &amp; Goulden, 2008)</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w:t>
      </w:r>
      <m:oMath>
        <m:sSub>
          <m:e>
            <m:r>
              <m:t>g</m:t>
            </m:r>
          </m:e>
          <m:sub>
            <m:r>
              <m:t>a</m:t>
            </m:r>
          </m:sub>
        </m:sSub>
      </m:oMath>
      <w:r>
        <w:t xml:space="preserve">) also depends on leaf traits, morphology and windspeed.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 </w:t>
      </w:r>
      <w:r>
        <w:t xml:space="preserve">thus having important implications for leaf thermal sensitivity.</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r>
        <w:t xml:space="preserve"> </w:t>
      </w:r>
      <w:r>
        <w:t xml:space="preserve">Additionally, canopies also buffer effects of snow through intercepting heavy snow accumulution on below-canopy levels</w:t>
      </w:r>
      <w:r>
        <w:t xml:space="preserve"> </w:t>
      </w:r>
      <w:r>
        <w:t xml:space="preserve">(Storck</w:t>
      </w:r>
      <w:r>
        <w:t xml:space="preserve"> </w:t>
      </w:r>
      <w:r>
        <w:rPr>
          <w:i/>
        </w:rPr>
        <w:t xml:space="preserve">et al.</w:t>
      </w:r>
      <w:r>
        <w:t xml:space="preserve">, 2002; 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w:t>
      </w:r>
      <w:r>
        <w:t xml:space="preserve"> </w:t>
      </w:r>
      <w:r>
        <w:t xml:space="preserve">(</w:t>
      </w:r>
      <w:r>
        <w:rPr>
          <w:b/>
        </w:rPr>
        <w:t xml:space="preserve">???</w:t>
      </w:r>
      <w:r>
        <w:t xml:space="preserve">)</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 et al.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r>
        <w:br w:type="page"/>
      </w:r>
    </w:p>
    <w:p>
      <w:pPr>
        <w:pStyle w:val="CaptionedFigure"/>
      </w:pPr>
      <w:r>
        <w:drawing>
          <wp:inline>
            <wp:extent cx="5334000" cy="2598615"/>
            <wp:effectExtent b="0" l="0" r="0" t="0"/>
            <wp:docPr descr="Figure 2. Vertical gradients in the biophysical environment, from NEON data. Current placeholder figure is old version from Ian McGregor’s in press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6"/>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 press paper, showing NEON data from SCBI. See issue 2:</w:t>
      </w:r>
      <w:r>
        <w:t xml:space="preserve"> </w:t>
      </w:r>
      <w:hyperlink r:id="rId27">
        <w:r>
          <w:rPr>
            <w:rStyle w:val="Hyperlink"/>
          </w:rPr>
          <w:t xml:space="preserve">https://github.com/EcoClimLab/vertical-thermal-review/issues/2</w:t>
        </w:r>
      </w:hyperlink>
      <w:r>
        <w:t xml:space="preserve">.</w:t>
      </w:r>
    </w:p>
    <w:p>
      <w:pPr>
        <w:pStyle w:val="CaptionedFigure"/>
      </w:pPr>
      <w:r>
        <w:drawing>
          <wp:inline>
            <wp:extent cx="5334000" cy="3663975"/>
            <wp:effectExtent b="0" l="0" r="0" t="0"/>
            <wp:docPr descr="This is a draft illustration of contents for the intendend figure. We’ll pick out one variable-month combination per panel, and show it for all the forested NEON sites." title="" id="1" name="Picture"/>
            <a:graphic>
              <a:graphicData uri="http://schemas.openxmlformats.org/drawingml/2006/picture">
                <pic:pic>
                  <pic:nvPicPr>
                    <pic:cNvPr descr="NEON_height_profiles/NEON_height_profile_temp2.png" id="0" name="Picture"/>
                    <pic:cNvPicPr>
                      <a:picLocks noChangeArrowheads="1" noChangeAspect="1"/>
                    </pic:cNvPicPr>
                  </pic:nvPicPr>
                  <pic:blipFill>
                    <a:blip r:embed="rId28"/>
                    <a:stretch>
                      <a:fillRect/>
                    </a:stretch>
                  </pic:blipFill>
                  <pic:spPr bwMode="auto">
                    <a:xfrm>
                      <a:off x="0" y="0"/>
                      <a:ext cx="5334000" cy="3663975"/>
                    </a:xfrm>
                    <a:prstGeom prst="rect">
                      <a:avLst/>
                    </a:prstGeom>
                    <a:noFill/>
                    <a:ln w="9525">
                      <a:noFill/>
                      <a:headEnd/>
                      <a:tailEnd/>
                    </a:ln>
                  </pic:spPr>
                </pic:pic>
              </a:graphicData>
            </a:graphic>
          </wp:inline>
        </w:drawing>
      </w:r>
    </w:p>
    <w:p>
      <w:pPr>
        <w:pStyle w:val="ImageCaption"/>
      </w:pPr>
      <w:r>
        <w:t xml:space="preserve">This is a draft illustration of contents for the intendend figure. We’ll pick out one variable-month combination per panel, and show it for all the forested NEON sites.</w:t>
      </w:r>
    </w:p>
    <w:p>
      <w:r>
        <w:br w:type="page"/>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Heading2"/>
      </w:pPr>
      <w:bookmarkStart w:id="29" w:name="trait-variation"/>
      <w:r>
        <w:t xml:space="preserve">Trait variation</w:t>
      </w:r>
      <w:bookmarkEnd w:id="29"/>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 Chen et al. 2020,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pStyle w:val="Compact"/>
        <w:numPr>
          <w:numId w:val="1004"/>
          <w:ilvl w:val="0"/>
        </w:numPr>
      </w:pPr>
      <w:r>
        <w:rPr>
          <w:i/>
        </w:rPr>
        <w:t xml:space="preserve">Are patterns (in traits, metabolism, ecology) driven by tree height or exposure?</w:t>
      </w:r>
    </w:p>
    <w:p>
      <w:pPr>
        <w:pStyle w:val="Heading2"/>
      </w:pPr>
      <w:bookmarkStart w:id="31" w:name="leaf-temperature-and-hydraulics"/>
      <w:r>
        <w:t xml:space="preserve">Leaf temperature and hydraulics</w:t>
      </w:r>
      <w:bookmarkEnd w:id="31"/>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2"/>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3">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4">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BodyText"/>
      </w:pPr>
      <w:r>
        <w:rPr>
          <w:i/>
        </w:rPr>
        <w:t xml:space="preserve">(Because hydraulics are key to leaf T, we should include some of that here–e.g., water on leaves and leaf water content)</w:t>
      </w:r>
    </w:p>
    <w:p>
      <w:pPr>
        <w:pStyle w:val="Heading2"/>
      </w:pPr>
      <w:bookmarkStart w:id="35" w:name="leaf-metabolism-and-thermal-responses"/>
      <w:r>
        <w:t xml:space="preserve">Leaf metabolism and thermal responses</w:t>
      </w:r>
      <w:bookmarkEnd w:id="35"/>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6"/>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beyond this the leaf experiences heat stress; non-photochemical quenching, photoinhibition and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7">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8">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9" w:name="scaling-implications"/>
      <w:r>
        <w:t xml:space="preserve">Scaling &amp; implications</w:t>
      </w:r>
      <w:bookmarkEnd w:id="39"/>
    </w:p>
    <w:p>
      <w:pPr>
        <w:pStyle w:val="Heading3"/>
      </w:pPr>
      <w:bookmarkStart w:id="40" w:name="Xfca7b5d5f57f9c42b2cfea8cb30f97f1162f28a"/>
      <w:r>
        <w:t xml:space="preserve">Distribution of species and traits across the vertical profile</w:t>
      </w:r>
      <w:bookmarkEnd w:id="40"/>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p>
      <w:pPr>
        <w:pStyle w:val="Heading3"/>
      </w:pPr>
      <w:bookmarkStart w:id="41" w:name="scaling-to-tree-level-demography"/>
      <w:r>
        <w:t xml:space="preserve">Scaling to tree level: demography</w:t>
      </w:r>
      <w:bookmarkEnd w:id="41"/>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w:t>
      </w:r>
    </w:p>
    <w:p>
      <w:pPr>
        <w:pStyle w:val="Heading3"/>
      </w:pPr>
      <w:bookmarkStart w:id="43" w:name="representation-in-models"/>
      <w:r>
        <w:t xml:space="preserve">Representation in models</w:t>
      </w:r>
      <w:bookmarkEnd w:id="43"/>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p>
      <w:pPr>
        <w:pStyle w:val="Heading3"/>
      </w:pPr>
      <w:bookmarkStart w:id="44" w:name="X81231cce53188fe35f6d56730db0dc994d0c1d7"/>
      <w:r>
        <w:t xml:space="preserve">Implications for climate change responses</w:t>
      </w:r>
      <w:bookmarkEnd w:id="44"/>
    </w:p>
    <w:p>
      <w:pPr>
        <w:numPr>
          <w:numId w:val="1005"/>
          <w:ilvl w:val="0"/>
        </w:numPr>
      </w:pPr>
      <w:r>
        <w:t xml:space="preserve">CO2 may lead to denser understory (Martijn)</w:t>
      </w:r>
    </w:p>
    <w:p>
      <w:pPr>
        <w:numPr>
          <w:numId w:val="1005"/>
          <w:ilvl w:val="0"/>
        </w:numPr>
      </w:pPr>
      <w:r>
        <w:t xml:space="preserve">Influence of increasing temperatures on species compositions and feedbacks to future forest microclimates and function?</w:t>
      </w:r>
    </w:p>
    <w:p>
      <w:pPr>
        <w:pStyle w:val="Heading2"/>
      </w:pPr>
      <w:bookmarkStart w:id="45" w:name="conclusions"/>
      <w:r>
        <w:t xml:space="preserve">Conclusions</w:t>
      </w:r>
      <w:bookmarkEnd w:id="45"/>
    </w:p>
    <w:p>
      <w:pPr>
        <w:pStyle w:val="Heading2"/>
      </w:pPr>
      <w:bookmarkStart w:id="46" w:name="si-files"/>
      <w:r>
        <w:t xml:space="preserve">SI files</w:t>
      </w:r>
      <w:bookmarkEnd w:id="46"/>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7" w:name="references"/>
      <w:r>
        <w:t xml:space="preserve">References</w:t>
      </w:r>
      <w:bookmarkEnd w:id="47"/>
    </w:p>
    <w:bookmarkStart w:id="101" w:name="refs"/>
    <w:bookmarkStart w:id="48"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8"/>
    <w:bookmarkStart w:id="49" w:name="ref-beaumontVerticalGradientsLeaf2009"/>
    <w:p>
      <w:pPr>
        <w:pStyle w:val="Bibliography"/>
      </w:pPr>
      <w:r>
        <w:rPr>
          <w:b w:val="0"/>
          <w:b/>
        </w:rPr>
        <w:t xml:space="preserve">Beaumont S</w:t>
      </w:r>
      <w:r>
        <w:rPr>
          <w:b/>
        </w:rPr>
        <w:t xml:space="preserve">,</w:t>
      </w:r>
      <w:r>
        <w:rPr>
          <w:b/>
        </w:rPr>
        <w:t xml:space="preserve"> </w:t>
      </w:r>
      <w:r>
        <w:rPr>
          <w:b w:val="0"/>
          <w:b/>
        </w:rPr>
        <w:t xml:space="preserve">Burns KC</w:t>
      </w:r>
      <w:r>
        <w:t xml:space="preserve">.</w:t>
      </w:r>
      <w:r>
        <w:t xml:space="preserve"> </w:t>
      </w:r>
      <w:r>
        <w:rPr>
          <w:b/>
        </w:rPr>
        <w:t xml:space="preserve">2009</w:t>
      </w:r>
      <w:r>
        <w:t xml:space="preserve">. Vertical gradients in leaf trait diversity in a New Zealand forest.</w:t>
      </w:r>
      <w:r>
        <w:t xml:space="preserve"> </w:t>
      </w:r>
      <w:r>
        <w:rPr>
          <w:i/>
        </w:rPr>
        <w:t xml:space="preserve">Trees</w:t>
      </w:r>
      <w:r>
        <w:t xml:space="preserve"> </w:t>
      </w:r>
      <w:r>
        <w:rPr>
          <w:b/>
        </w:rPr>
        <w:t xml:space="preserve">23</w:t>
      </w:r>
      <w:r>
        <w:t xml:space="preserve">: 339–346.</w:t>
      </w:r>
    </w:p>
    <w:bookmarkEnd w:id="49"/>
    <w:bookmarkStart w:id="5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0"/>
    <w:bookmarkStart w:id="5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1"/>
    <w:bookmarkStart w:id="5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2"/>
    <w:bookmarkStart w:id="5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3"/>
    <w:bookmarkStart w:id="5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4"/>
    <w:bookmarkStart w:id="55" w:name="ref-cobleHowVerticalPatterns2016a"/>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 (S Thomas, Ed.).</w:t>
      </w:r>
      <w:r>
        <w:t xml:space="preserve"> </w:t>
      </w:r>
      <w:r>
        <w:rPr>
          <w:i/>
        </w:rPr>
        <w:t xml:space="preserve">Tree Physiol</w:t>
      </w:r>
      <w:r>
        <w:t xml:space="preserve"> </w:t>
      </w:r>
      <w:r>
        <w:rPr>
          <w:b/>
        </w:rPr>
        <w:t xml:space="preserve">36</w:t>
      </w:r>
      <w:r>
        <w:t xml:space="preserve">: 1077–1091.</w:t>
      </w:r>
    </w:p>
    <w:bookmarkEnd w:id="55"/>
    <w:bookmarkStart w:id="56"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6"/>
    <w:bookmarkStart w:id="57"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7"/>
    <w:bookmarkStart w:id="5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8"/>
    <w:bookmarkStart w:id="59" w:name="ref-duursmaVerticalCanopyGradients2006"/>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 δ13C correspond with leaf nitrogen content in a mixed-species conifer forest.</w:t>
      </w:r>
      <w:r>
        <w:t xml:space="preserve"> </w:t>
      </w:r>
      <w:r>
        <w:rPr>
          <w:i/>
        </w:rPr>
        <w:t xml:space="preserve">Trees</w:t>
      </w:r>
      <w:r>
        <w:t xml:space="preserve"> </w:t>
      </w:r>
      <w:r>
        <w:rPr>
          <w:b/>
        </w:rPr>
        <w:t xml:space="preserve">20</w:t>
      </w:r>
      <w:r>
        <w:t xml:space="preserve">: 496–506.</w:t>
      </w:r>
    </w:p>
    <w:bookmarkEnd w:id="59"/>
    <w:bookmarkStart w:id="6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0"/>
    <w:bookmarkStart w:id="6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61"/>
    <w:bookmarkStart w:id="62"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2"/>
    <w:bookmarkStart w:id="6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3"/>
    <w:bookmarkStart w:id="64"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4"/>
    <w:bookmarkStart w:id="65" w:name="Xef430a2acfc47025c34d7c69ed3d173d7460301"/>
    <w:p>
      <w:pPr>
        <w:pStyle w:val="Bibliography"/>
      </w:pPr>
      <w:r>
        <w:rPr>
          <w:b w:val="0"/>
          <w:b/>
        </w:rPr>
        <w:t xml:space="preserve">Kull O</w:t>
      </w:r>
      <w:r>
        <w:rPr>
          <w:b/>
        </w:rPr>
        <w:t xml:space="preserve">,</w:t>
      </w:r>
      <w:r>
        <w:rPr>
          <w:b/>
        </w:rPr>
        <w:t xml:space="preserve"> </w:t>
      </w:r>
      <w:r>
        <w:rPr>
          <w:b w:val="0"/>
          <w:b/>
        </w:rPr>
        <w:t xml:space="preserve">Niinemets Ü</w:t>
      </w:r>
      <w:r>
        <w:t xml:space="preserve">.</w:t>
      </w:r>
      <w:r>
        <w:t xml:space="preserve"> </w:t>
      </w:r>
      <w:r>
        <w:rPr>
          <w:b/>
        </w:rPr>
        <w:t xml:space="preserve">1998</w:t>
      </w:r>
      <w:r>
        <w:t xml:space="preserve">. Distribution of leaf photosynthetic properties in tree canopies: Comparison of species with different shade tolerance.</w:t>
      </w:r>
      <w:r>
        <w:t xml:space="preserve"> </w:t>
      </w:r>
      <w:r>
        <w:rPr>
          <w:i/>
        </w:rPr>
        <w:t xml:space="preserve">Functional Ecology</w:t>
      </w:r>
      <w:r>
        <w:t xml:space="preserve"> </w:t>
      </w:r>
      <w:r>
        <w:rPr>
          <w:b/>
        </w:rPr>
        <w:t xml:space="preserve">12</w:t>
      </w:r>
      <w:r>
        <w:t xml:space="preserve">: 472–479.</w:t>
      </w:r>
    </w:p>
    <w:bookmarkEnd w:id="65"/>
    <w:bookmarkStart w:id="66"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6"/>
    <w:bookmarkStart w:id="6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7"/>
    <w:bookmarkStart w:id="68"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8"/>
    <w:bookmarkStart w:id="6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9"/>
    <w:bookmarkStart w:id="7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70"/>
    <w:bookmarkStart w:id="71"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71"/>
    <w:bookmarkStart w:id="7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72"/>
    <w:bookmarkStart w:id="7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3"/>
    <w:bookmarkStart w:id="7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4"/>
    <w:bookmarkStart w:id="75"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5"/>
    <w:bookmarkStart w:id="76"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6"/>
    <w:bookmarkStart w:id="77"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7"/>
    <w:bookmarkStart w:id="78"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8"/>
    <w:bookmarkStart w:id="79"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9"/>
    <w:bookmarkStart w:id="80"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80"/>
    <w:bookmarkStart w:id="81"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81"/>
    <w:bookmarkStart w:id="8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2"/>
    <w:bookmarkStart w:id="8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3"/>
    <w:bookmarkStart w:id="84"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84"/>
    <w:bookmarkStart w:id="85"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5"/>
    <w:bookmarkStart w:id="86"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6"/>
    <w:bookmarkStart w:id="87"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87"/>
    <w:bookmarkStart w:id="8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8"/>
    <w:bookmarkStart w:id="8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9"/>
    <w:bookmarkStart w:id="90" w:name="Xfa76203961b5427c4fc282acfc40a1d89068e51"/>
    <w:p>
      <w:pPr>
        <w:pStyle w:val="Bibliography"/>
      </w:pPr>
      <w:r>
        <w:rPr>
          <w:b w:val="0"/>
          <w:b/>
        </w:rPr>
        <w:t xml:space="preserve">Storck P</w:t>
      </w:r>
      <w:r>
        <w:rPr>
          <w:b/>
        </w:rPr>
        <w:t xml:space="preserve">,</w:t>
      </w:r>
      <w:r>
        <w:rPr>
          <w:b/>
        </w:rPr>
        <w:t xml:space="preserve"> </w:t>
      </w:r>
      <w:r>
        <w:rPr>
          <w:b w:val="0"/>
          <w:b/>
        </w:rPr>
        <w:t xml:space="preserve">Lettenmaier DP</w:t>
      </w:r>
      <w:r>
        <w:rPr>
          <w:b/>
        </w:rPr>
        <w:t xml:space="preserve">,</w:t>
      </w:r>
      <w:r>
        <w:rPr>
          <w:b/>
        </w:rPr>
        <w:t xml:space="preserve"> </w:t>
      </w:r>
      <w:r>
        <w:rPr>
          <w:b w:val="0"/>
          <w:b/>
        </w:rPr>
        <w:t xml:space="preserve">Bolton SM</w:t>
      </w:r>
      <w:r>
        <w:t xml:space="preserve">.</w:t>
      </w:r>
      <w:r>
        <w:t xml:space="preserve"> </w:t>
      </w:r>
      <w:r>
        <w:rPr>
          <w:b/>
        </w:rPr>
        <w:t xml:space="preserve">2002</w:t>
      </w:r>
      <w:r>
        <w:t xml:space="preserve">. Measurement of snow interception and canopy effects on snow accumulation and melt in a mountainous maritime climate, Oregon, United States.</w:t>
      </w:r>
      <w:r>
        <w:t xml:space="preserve"> </w:t>
      </w:r>
      <w:r>
        <w:rPr>
          <w:i/>
        </w:rPr>
        <w:t xml:space="preserve">Water Resources Research</w:t>
      </w:r>
      <w:r>
        <w:t xml:space="preserve"> </w:t>
      </w:r>
      <w:r>
        <w:rPr>
          <w:b/>
        </w:rPr>
        <w:t xml:space="preserve">38</w:t>
      </w:r>
      <w:r>
        <w:t xml:space="preserve">: 5–1–5–16.</w:t>
      </w:r>
    </w:p>
    <w:bookmarkEnd w:id="90"/>
    <w:bookmarkStart w:id="9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91"/>
    <w:bookmarkStart w:id="92"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2"/>
    <w:bookmarkStart w:id="9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3"/>
    <w:bookmarkStart w:id="94"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4"/>
    <w:bookmarkStart w:id="95" w:name="ref-valladaresShadeToleranceKey2008b"/>
    <w:p>
      <w:pPr>
        <w:pStyle w:val="Bibliography"/>
      </w:pPr>
      <w:r>
        <w:rPr>
          <w:b w:val="0"/>
          <w:b/>
        </w:rPr>
        <w:t xml:space="preserve">Valladares F</w:t>
      </w:r>
      <w:r>
        <w:rPr>
          <w:b/>
        </w:rPr>
        <w:t xml:space="preserve">,</w:t>
      </w:r>
      <w:r>
        <w:rPr>
          <w:b/>
        </w:rPr>
        <w:t xml:space="preserve"> </w:t>
      </w:r>
      <w:r>
        <w:rPr>
          <w:b w:val="0"/>
          <w:b/>
        </w:rPr>
        <w:t xml:space="preserve">Niinemets Ü</w:t>
      </w:r>
      <w:r>
        <w:t xml:space="preserve">.</w:t>
      </w:r>
      <w:r>
        <w:t xml:space="preserve"> </w:t>
      </w:r>
      <w:r>
        <w:rPr>
          <w:b/>
        </w:rPr>
        <w:t xml:space="preserve">2008</w:t>
      </w:r>
      <w:r>
        <w:t xml:space="preserve">. Shade Tolerance, a Key Plant Feature of Complex Nature and Consequences.</w:t>
      </w:r>
      <w:r>
        <w:t xml:space="preserve"> </w:t>
      </w:r>
      <w:r>
        <w:rPr>
          <w:i/>
        </w:rPr>
        <w:t xml:space="preserve">Annual Review of Ecology, Evolution, and Systematics</w:t>
      </w:r>
      <w:r>
        <w:t xml:space="preserve"> </w:t>
      </w:r>
      <w:r>
        <w:rPr>
          <w:b/>
        </w:rPr>
        <w:t xml:space="preserve">39</w:t>
      </w:r>
      <w:r>
        <w:t xml:space="preserve">: 237–257.</w:t>
      </w:r>
    </w:p>
    <w:bookmarkEnd w:id="95"/>
    <w:bookmarkStart w:id="96" w:name="X39daf62d0a69b2abbac01355652ed679db450f4"/>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96"/>
    <w:bookmarkStart w:id="9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7"/>
    <w:bookmarkStart w:id="9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8"/>
    <w:bookmarkStart w:id="9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9"/>
    <w:bookmarkStart w:id="10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hyperlink" Id="rId34" Target="http://dx.doi.org/10.1016/j.tree.2015.09.006" TargetMode="External" /><Relationship Type="http://schemas.openxmlformats.org/officeDocument/2006/relationships/hyperlink" Id="rId38"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3" Target="https://github.com/EcoClimLab/vertical-thermal-review/issues/6" TargetMode="External" /><Relationship Type="http://schemas.openxmlformats.org/officeDocument/2006/relationships/hyperlink" Id="rId37"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dx.doi.org/10.1016/j.tree.2015.09.006" TargetMode="External" /><Relationship Type="http://schemas.openxmlformats.org/officeDocument/2006/relationships/hyperlink" Id="rId38"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3" Target="https://github.com/EcoClimLab/vertical-thermal-review/issues/6" TargetMode="External" /><Relationship Type="http://schemas.openxmlformats.org/officeDocument/2006/relationships/hyperlink" Id="rId37"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2020-10-06T20:07:01Z</dcterms:created>
  <dcterms:modified xsi:type="dcterms:W3CDTF">2020-10-06T20:07:01Z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 @cobleHowVerticalPatterns2016a, @slotPhotosyntheticHeatTolerance2019, @valladaresShadeToleranceKey2008b, @beaumontVerticalGradientsLeaf2009, @sackHowStrongIntracanopy2006,@cobleLightDrivesVertical2014, @scartazzaInvestigatingEuropeanBeech2016, @martinCovarianceSunShade2020, @bolstad_foliar_1999, @harleyEffectsLightTemperature1996, @kullDistributionLeafPhotosynthetic1998, @kafutiFoliarWoodTraits2020, @duursmaVerticalCanopyGradients2006, @vanwittenbergheVariabilityStomatalConductance2012,</vt:lpwstr>
  </property>
  <property fmtid="{D5CDD505-2E9C-101B-9397-08002B2CF9AE}" pid="5" name="output">
    <vt:lpwstr>word_document</vt:lpwstr>
  </property>
</Properties>
</file>