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50.png" ContentType="image/png"/>
  <Override PartName="/word/media/rId22.png" ContentType="image/png"/>
  <Override PartName="/word/media/rId38.png" ContentType="image/png"/>
  <Override PartName="/word/media/rId56.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demography and ecosystem function.</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synthetic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how the biophysical environment and biological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the leaf traits that most strongly influence leaf temperature and metabolism;</w:t>
      </w:r>
      <w:r>
        <w:t xml:space="preserve"> </w:t>
      </w:r>
      <w:r>
        <w:t xml:space="preserve">(3) resulting leaf temperature (</w:t>
      </w:r>
      <m:oMath>
        <m:sSub>
          <m:e>
            <m:r>
              <m:t>T</m:t>
            </m:r>
          </m:e>
          <m:sub>
            <m:r>
              <m:t>l</m:t>
            </m:r>
            <m:r>
              <m:t>e</m:t>
            </m:r>
            <m:r>
              <m:t>a</m:t>
            </m:r>
            <m:r>
              <m:t>f</m:t>
            </m:r>
          </m:sub>
        </m:sSub>
      </m:oMath>
      <w:r>
        <w:t xml:space="preserve">) and</w:t>
      </w:r>
      <w:r>
        <w:t xml:space="preserve"> </w:t>
      </w:r>
      <w:r>
        <w:t xml:space="preserve">(4) foliar metabolism, including stomatal conductance, photosynthesis, respiration, and volatile organic compound (VOC) production; and</w:t>
      </w:r>
      <w:r>
        <w:t xml:space="preserve"> </w:t>
      </w:r>
      <w:r>
        <w:t xml:space="preserve">(5) resultant size-structuring of whole-tree and ecosystem function.</w:t>
      </w:r>
      <w:r>
        <w:t xml:space="preserve"> </w:t>
      </w:r>
      <w:r>
        <w:t xml:space="preserve">We then consider the implications for modeling / climate change responses.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6"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2"/>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2"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CaptionedFigure"/>
      </w:pPr>
      <w:r>
        <w:drawing>
          <wp:inline>
            <wp:extent cx="5334000" cy="2752906"/>
            <wp:effectExtent b="0" l="0" r="0" t="0"/>
            <wp:docPr descr="Figure 3. Relationship of PAR differences between canopy and understory to air temperature buffering (a) across sites and (b) through time within a single site.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Relationship of PAR differences between canopy and understory to air temperature buffering (a) across sites and (b) through time within a single site.</w:t>
      </w:r>
      <w:r>
        <w:t xml:space="preserve"> </w:t>
      </w:r>
      <w:r>
        <w:t xml:space="preserve">From NEON data. Current placeholder figure is Nidhi’s first rough analysis. See</w:t>
      </w:r>
      <w:r>
        <w:t xml:space="preserve"> </w:t>
      </w:r>
      <w:hyperlink r:id="rId31">
        <w:r>
          <w:rPr>
            <w:rStyle w:val="Hyperlink"/>
          </w:rPr>
          <w:t xml:space="preserve">issue 31</w:t>
        </w:r>
      </w:hyperlink>
      <w:r>
        <w:t xml:space="preserve">.</w:t>
      </w:r>
    </w:p>
    <w:bookmarkEnd w:id="32"/>
    <w:bookmarkStart w:id="33"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3"/>
    <w:bookmarkStart w:id="35" w:name="carbon-dioxide"/>
    <w:p>
      <w:pPr>
        <w:pStyle w:val="Heading3"/>
      </w:pPr>
      <w:r>
        <w:t xml:space="preserve">Carbon dioxide</w:t>
      </w:r>
    </w:p>
    <w:p>
      <w:pPr>
        <w:pStyle w:val="FirstParagraph"/>
      </w:pPr>
      <w:r>
        <w:rPr>
          <w:b/>
        </w:rPr>
        <w:t xml:space="preserve">Atmopsheric carbon dioxide (CO</w:t>
      </w:r>
      <w:r>
        <w:rPr>
          <w:vertAlign w:val="subscript"/>
          <w:b/>
        </w:rPr>
        <w:t xml:space="preserve">2</w:t>
      </w:r>
      <w:r>
        <w:rPr>
          <w:b/>
        </w:rPr>
        <w:t xml:space="preserve">) concentrations tend to be higher near ground level at night, but largely dissipate during the day</w:t>
      </w:r>
      <w:r>
        <w:rPr>
          <w:b/>
        </w:rPr>
        <w:t xml:space="preserve"> </w:t>
      </w:r>
      <w:r>
        <w:rPr>
          <w:b/>
        </w:rPr>
        <w:t xml:space="preserve">(Yang</w:t>
      </w:r>
      <w:r>
        <w:rPr>
          <w:b/>
        </w:rPr>
        <w:t xml:space="preserve"> </w:t>
      </w:r>
      <w:r>
        <w:rPr>
          <w:i/>
          <w:b/>
        </w:rPr>
        <w:t xml:space="preserve">et al.</w:t>
      </w:r>
      <w:r>
        <w:rPr>
          <w:b/>
        </w:rPr>
        <w:t xml:space="preserve">, 1999; Koike</w:t>
      </w:r>
      <w:r>
        <w:rPr>
          <w:b/>
        </w:rPr>
        <w:t xml:space="preserve"> </w:t>
      </w:r>
      <w:r>
        <w:rPr>
          <w:i/>
          <w:b/>
        </w:rPr>
        <w:t xml:space="preserve">et al.</w:t>
      </w:r>
      <w:r>
        <w:rPr>
          <w:b/>
        </w:rPr>
        <w:t xml:space="preserve">, 2001)</w:t>
      </w:r>
      <w:r>
        <w:rPr>
          <w:b/>
        </w:rPr>
        <w:t xml:space="preserve">.</w:t>
      </w:r>
      <w:r>
        <w:t xml:space="preserve"> </w:t>
      </w:r>
      <w:r>
        <w:rPr>
          <w:strike/>
        </w:rPr>
        <w:t xml:space="preserve">concentrations of (CO</w:t>
      </w:r>
      <w:r>
        <w:rPr>
          <w:vertAlign w:val="subscript"/>
          <w:strike/>
        </w:rPr>
        <w:t xml:space="preserve">2</w:t>
      </w:r>
      <w:r>
        <w:rPr>
          <w:strike/>
        </w:rPr>
        <w:t xml:space="preserve">) mole fraction values have been observed to be higher in lower canopy leaves compared with upper canopy leaves [because of lower photosynthetic rate in shade leaves?]</w:t>
      </w:r>
      <w:r>
        <w:rPr>
          <w:strike/>
        </w:rPr>
        <w:t xml:space="preserve"> </w:t>
      </w:r>
      <w:r>
        <w:rPr>
          <w:strike/>
        </w:rPr>
        <w:t xml:space="preserve">(Niinemets &amp; Valladares, 2004)</w:t>
      </w:r>
      <w:r>
        <w:t xml:space="preserve"> </w:t>
      </w:r>
      <w:r>
        <w:rPr>
          <w:i/>
        </w:rPr>
        <w:t xml:space="preserve">(KAT: I’m confused by this. We want to discuss just atmospheric CO2 here, so I think this doesn’t fit)</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rPr>
          <w:strike/>
        </w:rPr>
        <w:t xml:space="preserve">If soil and stem respiration do not acclimate fully to rising temperatures, the greater amount of CO</w:t>
      </w:r>
      <w:r>
        <w:rPr>
          <w:vertAlign w:val="subscript"/>
          <w:strike/>
        </w:rPr>
        <w:t xml:space="preserve">2</w:t>
      </w:r>
      <w:r>
        <w:rPr>
          <w:strike/>
        </w:rPr>
        <w:t xml:space="preserve"> </w:t>
      </w:r>
      <w:r>
        <w:rPr>
          <w:strike/>
        </w:rPr>
        <w:t xml:space="preserve">emitted at the forest floor (i.e. from soils and decaying organic matter and leaf litter) could increase the vertical CO</w:t>
      </w:r>
      <w:r>
        <w:rPr>
          <w:vertAlign w:val="subscript"/>
          <w:strike/>
        </w:rPr>
        <w:t xml:space="preserve">2</w:t>
      </w:r>
      <w:r>
        <w:rPr>
          <w:strike/>
        </w:rPr>
        <w:t xml:space="preserve"> </w:t>
      </w:r>
      <w:r>
        <w:rPr>
          <w:strike/>
        </w:rPr>
        <w:t xml:space="preserve">gradient in the future, but this would still only be a short-term effect in the early morning, as the CO</w:t>
      </w:r>
      <w:r>
        <w:rPr>
          <w:vertAlign w:val="subscript"/>
          <w:strike/>
        </w:rPr>
        <w:t xml:space="preserve">2</w:t>
      </w:r>
      <w:r>
        <w:rPr>
          <w:strike/>
        </w:rPr>
        <w:t xml:space="preserve"> </w:t>
      </w:r>
      <w:r>
        <w:rPr>
          <w:strike/>
        </w:rPr>
        <w:t xml:space="preserve">would quickly diffuse through the canopy.</w:t>
      </w:r>
      <w:r>
        <w:t xml:space="preserve"> </w:t>
      </w:r>
      <w:r>
        <w:rPr>
          <w:i/>
        </w:rPr>
        <w:t xml:space="preserve">(this last sentence could be cut for space)</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4">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5"/>
    <w:bookmarkEnd w:id="36"/>
    <w:bookmarkStart w:id="49" w:name="leaf-traits"/>
    <w:p>
      <w:pPr>
        <w:pStyle w:val="Heading2"/>
      </w:pPr>
      <w:r>
        <w:t xml:space="preserve">Leaf traits</w:t>
      </w:r>
    </w:p>
    <w:p>
      <w:pPr>
        <w:pStyle w:val="FirstParagraph"/>
      </w:pPr>
      <w:r>
        <w:rPr>
          <w:i/>
        </w:rPr>
        <w:t xml:space="preserve">(KAT: I think we want max 2-3 paragraphs here before getting to the subsection on intra-specific variation. These paragraphs need to cover the content before then, including light vs height and how those relate to the data that have been collected, setting up the distinction between intra- vs inter-specific variation, and some general intro, which is currently at beginning of inter-specific section.)</w:t>
      </w:r>
    </w:p>
    <w:p>
      <w:pPr>
        <w:pStyle w:val="BodyText"/>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BodyText"/>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bookmarkStart w:id="37" w:name="Xa93d292fe50d3c2b6d9653f2a1ab71e44ede3ac"/>
    <w:p>
      <w:pPr>
        <w:pStyle w:val="Heading3"/>
      </w:pPr>
      <w:r>
        <w:t xml:space="preserve">Are traits shaped more by height or light?</w:t>
      </w:r>
    </w:p>
    <w:p>
      <w:pPr>
        <w:pStyle w:val="FirstParagraph"/>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37"/>
    <w:bookmarkStart w:id="46" w:name="intra-specific-variation"/>
    <w:p>
      <w:pPr>
        <w:pStyle w:val="Heading3"/>
      </w:pPr>
      <w:r>
        <w:t xml:space="preserve">Intra-specific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rPr>
          <w:i/>
        </w:rP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rPr>
          <w:i/>
        </w:rPr>
        <w:t xml:space="preserve"> </w:t>
      </w:r>
      <w:r>
        <w:rPr>
          <w:i/>
        </w:rPr>
        <w:t xml:space="preserve">‘</w:t>
      </w:r>
      <w:r>
        <w:rPr>
          <w:i/>
        </w:rPr>
        <w:t xml:space="preserve">built</w:t>
      </w:r>
      <w:r>
        <w:rPr>
          <w:i/>
        </w:rPr>
        <w:t xml:space="preserve">’</w:t>
      </w:r>
      <w:r>
        <w:rPr>
          <w:i/>
        </w:rPr>
        <w:t xml:space="preserve"> </w:t>
      </w:r>
      <w:r>
        <w:rPr>
          <w:i/>
        </w:rP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8"/>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0" w:name="morphological-traits"/>
    <w:p>
      <w:pPr>
        <w:pStyle w:val="Heading4"/>
      </w:pPr>
      <w:r>
        <w:t xml:space="preserve">Morphological traits</w:t>
      </w:r>
    </w:p>
    <w:p>
      <w:pPr>
        <w:numPr>
          <w:ilvl w:val="0"/>
          <w:numId w:val="1003"/>
        </w:numPr>
        <w:pStyle w:val="Compact"/>
      </w:pPr>
      <w:r>
        <w:t xml:space="preserve">Recent paper on influence on leaf size/shape in PCE – certain aspects of leaf shape were not as relevant as expected (Leigh et al. 2017?</w:t>
      </w:r>
      <w:r>
        <w:t xml:space="preserve"> </w:t>
      </w:r>
      <w:hyperlink r:id="rId39">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40"/>
    <w:bookmarkStart w:id="42" w:name="biochemical-and-physiological-traits"/>
    <w:p>
      <w:pPr>
        <w:pStyle w:val="Heading4"/>
      </w:pPr>
      <w:r>
        <w:t xml:space="preserve">Biochemical and physiological traits</w:t>
      </w:r>
    </w:p>
    <w:bookmarkStart w:id="41" w:name="carotenoidsxanthophyll-cycle-pigments"/>
    <w:p>
      <w:pPr>
        <w:pStyle w:val="Heading5"/>
      </w:pPr>
      <w: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4"/>
        </w:numPr>
        <w:pStyle w:val="Compact"/>
      </w:pPr>
      <w:r>
        <w:t xml:space="preserve">antioxidant scavenging function- protect against cellular damage</w:t>
      </w:r>
    </w:p>
    <w:p>
      <w:pPr>
        <w:numPr>
          <w:ilvl w:val="0"/>
          <w:numId w:val="1004"/>
        </w:numPr>
        <w:pStyle w:val="Compact"/>
      </w:pPr>
      <w:r>
        <w:t xml:space="preserve">Koniger et. al. 1995, and Matsubara et al. 2009</w:t>
      </w:r>
    </w:p>
    <w:bookmarkEnd w:id="41"/>
    <w:bookmarkEnd w:id="42"/>
    <w:bookmarkStart w:id="45"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3" w:name="lifespan"/>
    <w:p>
      <w:pPr>
        <w:pStyle w:val="Heading5"/>
      </w:pPr>
      <w:r>
        <w:t xml:space="preserve">lifespan</w:t>
      </w:r>
    </w:p>
    <w:bookmarkEnd w:id="43"/>
    <w:bookmarkStart w:id="44" w:name="deciduousness"/>
    <w:p>
      <w:pPr>
        <w:pStyle w:val="Heading5"/>
      </w:pPr>
      <w: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4"/>
    <w:bookmarkEnd w:id="45"/>
    <w:bookmarkEnd w:id="46"/>
    <w:bookmarkStart w:id="48" w:name="inter-specific-varaiation"/>
    <w:p>
      <w:pPr>
        <w:pStyle w:val="Heading3"/>
      </w:pPr>
      <w:r>
        <w:t xml:space="preserve">Inter-specific varaiation</w:t>
      </w:r>
    </w:p>
    <w:p>
      <w:pPr>
        <w:pStyle w:val="FirstParagraph"/>
      </w:pPr>
      <w:r>
        <w:rPr>
          <w:i/>
        </w:rPr>
        <w:t xml:space="preserve">(KAT: a lot of this contnet should probably move up the the intro to this section)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Start w:id="47" w:name="isoprene-production"/>
    <w:p>
      <w:pPr>
        <w:pStyle w:val="Heading5"/>
      </w:pPr>
      <w:r>
        <w:t xml:space="preserve">Isoprene production</w:t>
      </w:r>
    </w:p>
    <w:p>
      <w:pPr>
        <w:numPr>
          <w:ilvl w:val="0"/>
          <w:numId w:val="1005"/>
        </w:numPr>
        <w:pStyle w:val="Compact"/>
      </w:pPr>
      <w:r>
        <w:t xml:space="preserve">Isoprene production</w:t>
      </w:r>
      <w:r>
        <w:t xml:space="preserve"> </w:t>
      </w:r>
      <w:r>
        <w:rPr>
          <w:i/>
        </w:rPr>
        <w:t xml:space="preserve">capability</w:t>
      </w:r>
      <w:r>
        <w:t xml:space="preserve"> </w:t>
      </w:r>
      <w:r>
        <w:t xml:space="preserve">as a trait</w:t>
      </w:r>
    </w:p>
    <w:bookmarkEnd w:id="47"/>
    <w:bookmarkEnd w:id="48"/>
    <w:bookmarkEnd w:id="49"/>
    <w:bookmarkStart w:id="55" w:name="leaf-temperature"/>
    <w:p>
      <w:pPr>
        <w:pStyle w:val="Heading2"/>
      </w:pPr>
      <w:r>
        <w:t xml:space="preserve">Leaf temperature</w:t>
      </w:r>
    </w:p>
    <w:bookmarkStart w:id="52"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50"/>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51">
        <w:r>
          <w:rPr>
            <w:rStyle w:val="Hyperlink"/>
          </w:rPr>
          <w:t xml:space="preserve">ISSUE #6</w:t>
        </w:r>
      </w:hyperlink>
      <w:r>
        <w:t xml:space="preserve">.</w:t>
      </w:r>
    </w:p>
    <w:bookmarkEnd w:id="52"/>
    <w:bookmarkStart w:id="54"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6"/>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53">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7"/>
        </w:numPr>
        <w:pStyle w:val="Compact"/>
      </w:pPr>
      <w:r>
        <w:t xml:space="preserve">(Slot et al. 2019) and refs therein</w:t>
      </w:r>
    </w:p>
    <w:p>
      <w:pPr>
        <w:numPr>
          <w:ilvl w:val="0"/>
          <w:numId w:val="1007"/>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54"/>
    <w:bookmarkEnd w:id="55"/>
    <w:bookmarkStart w:id="63"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6"/>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7"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57"/>
    <w:bookmarkStart w:id="58"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8"/>
    <w:bookmarkStart w:id="60"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9">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60"/>
    <w:bookmarkStart w:id="62"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61">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2"/>
    <w:bookmarkEnd w:id="63"/>
    <w:bookmarkStart w:id="68" w:name="ecological-implications"/>
    <w:p>
      <w:pPr>
        <w:pStyle w:val="Heading2"/>
      </w:pPr>
      <w:r>
        <w:t xml:space="preserve">Ecological implications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66"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4"/>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5">
        <w:r>
          <w:rPr>
            <w:rStyle w:val="Hyperlink"/>
          </w:rPr>
          <w:t xml:space="preserve">ISSUE # 29</w:t>
        </w:r>
      </w:hyperlink>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bookmarkEnd w:id="66"/>
    <w:bookmarkStart w:id="67" w:name="ecosystem-scale-implications"/>
    <w:p>
      <w:pPr>
        <w:pStyle w:val="Heading3"/>
      </w:pPr>
      <w:r>
        <w:t xml:space="preserve">Ecosystem Scale Implications</w:t>
      </w:r>
    </w:p>
    <w:p>
      <w:pPr>
        <w:pStyle w:val="FirstParagraph"/>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7"/>
    <w:bookmarkEnd w:id="68"/>
    <w:bookmarkStart w:id="71" w:name="implications"/>
    <w:p>
      <w:pPr>
        <w:pStyle w:val="Heading2"/>
      </w:pPr>
      <w:r>
        <w:t xml:space="preserve">Implications</w:t>
      </w:r>
    </w:p>
    <w:p>
      <w:pPr>
        <w:pStyle w:val="FirstParagraph"/>
      </w:pPr>
      <w:r>
        <w:rPr>
          <w:i/>
        </w:rPr>
        <w:t xml:space="preserve">(In this section, we consider implications of the patterns reviewed above for our understanding of the future of forests–both how we model them and what sorts of responses we can expect under climate change.)</w:t>
      </w:r>
    </w:p>
    <w:bookmarkStart w:id="69" w:name="X68d2420bbac0f497c7bc5bf40a0c8098f6400b1"/>
    <w:p>
      <w:pPr>
        <w:pStyle w:val="Heading3"/>
      </w:pPr>
      <w:r>
        <w:t xml:space="preserve">Representing Vertical Gradients in Models</w:t>
      </w:r>
    </w:p>
    <w:p>
      <w:pPr>
        <w:pStyle w:val="FirstParagraph"/>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9"/>
    <w:bookmarkStart w:id="70" w:name="climate-change-responses"/>
    <w:p>
      <w:pPr>
        <w:pStyle w:val="Heading3"/>
      </w:pPr>
      <w:r>
        <w:t xml:space="preserve">Climate change responses</w:t>
      </w:r>
    </w:p>
    <w:p>
      <w:pPr>
        <w:numPr>
          <w:ilvl w:val="0"/>
          <w:numId w:val="1009"/>
        </w:numPr>
        <w:pStyle w:val="Compact"/>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p>
      <w:pPr>
        <w:pStyle w:val="BodyText"/>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p>
      <w:pPr>
        <w:pStyle w:val="BodyText"/>
      </w:pPr>
      <w:r>
        <w:t xml:space="preserve">increases in mortality of big trees (e.g. </w:t>
      </w:r>
      <w:r>
        <w:t xml:space="preserve">Senf</w:t>
      </w:r>
      <w:r>
        <w:t xml:space="preserve"> </w:t>
      </w:r>
      <w:r>
        <w:rPr>
          <w:i/>
        </w:rPr>
        <w:t xml:space="preserve">et al.</w:t>
      </w:r>
      <w:r>
        <w:t xml:space="preserve"> </w:t>
      </w:r>
      <w:r>
        <w:t xml:space="preserve">(2018)</w:t>
      </w:r>
      <w:r>
        <w:t xml:space="preserve">) would increase canopy roughness</w:t>
      </w:r>
    </w:p>
    <w:bookmarkEnd w:id="70"/>
    <w:bookmarkEnd w:id="71"/>
    <w:bookmarkStart w:id="72" w:name="conclusions"/>
    <w:p>
      <w:pPr>
        <w:pStyle w:val="Heading2"/>
      </w:pPr>
      <w:r>
        <w:t xml:space="preserve">Conclusions</w:t>
      </w:r>
    </w:p>
    <w:p>
      <w:pPr>
        <w:numPr>
          <w:ilvl w:val="0"/>
          <w:numId w:val="1010"/>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0"/>
        </w:numPr>
        <w:pStyle w:val="Compact"/>
      </w:pPr>
      <w:r>
        <w:t xml:space="preserve">a number of studies confirm that this is the case.</w:t>
      </w:r>
    </w:p>
    <w:p>
      <w:pPr>
        <w:numPr>
          <w:ilvl w:val="0"/>
          <w:numId w:val="1010"/>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0"/>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0"/>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2"/>
    <w:bookmarkStart w:id="73"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3"/>
    <w:bookmarkStart w:id="168" w:name="references"/>
    <w:p>
      <w:pPr>
        <w:pStyle w:val="Heading2"/>
      </w:pPr>
      <w:r>
        <w:t xml:space="preserve">References</w:t>
      </w:r>
    </w:p>
    <w:bookmarkStart w:id="167" w:name="refs"/>
    <w:bookmarkStart w:id="74"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4"/>
    <w:bookmarkStart w:id="75"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5"/>
    <w:bookmarkStart w:id="76"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6"/>
    <w:bookmarkStart w:id="77"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7"/>
    <w:bookmarkStart w:id="78"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8"/>
    <w:bookmarkStart w:id="79"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9"/>
    <w:bookmarkStart w:id="80"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0"/>
    <w:bookmarkStart w:id="81"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1"/>
    <w:bookmarkStart w:id="82"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2"/>
    <w:bookmarkStart w:id="83"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3"/>
    <w:bookmarkStart w:id="84"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4"/>
    <w:bookmarkStart w:id="85"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5"/>
    <w:bookmarkStart w:id="86"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86"/>
    <w:bookmarkStart w:id="87"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7"/>
    <w:bookmarkStart w:id="88"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88"/>
    <w:bookmarkStart w:id="89"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9"/>
    <w:bookmarkStart w:id="90"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0"/>
    <w:bookmarkStart w:id="91"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1"/>
    <w:bookmarkStart w:id="92"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2"/>
    <w:bookmarkStart w:id="93"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3"/>
    <w:bookmarkStart w:id="94"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4"/>
    <w:bookmarkStart w:id="9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95"/>
    <w:bookmarkStart w:id="96"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96"/>
    <w:bookmarkStart w:id="97"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7"/>
    <w:bookmarkStart w:id="98"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98"/>
    <w:bookmarkStart w:id="99"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9"/>
    <w:bookmarkStart w:id="100"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00"/>
    <w:bookmarkStart w:id="101"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01"/>
    <w:bookmarkStart w:id="102"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2"/>
    <w:bookmarkStart w:id="103"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3"/>
    <w:bookmarkStart w:id="104"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04"/>
    <w:bookmarkStart w:id="105"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05"/>
    <w:bookmarkStart w:id="106"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06"/>
    <w:bookmarkStart w:id="107"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7"/>
    <w:bookmarkStart w:id="108"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08"/>
    <w:bookmarkStart w:id="109"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9"/>
    <w:bookmarkStart w:id="110"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10"/>
    <w:bookmarkStart w:id="111"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11"/>
    <w:bookmarkStart w:id="112"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12"/>
    <w:bookmarkStart w:id="113"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13"/>
    <w:bookmarkStart w:id="114"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4"/>
    <w:bookmarkStart w:id="115"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5"/>
    <w:bookmarkStart w:id="116"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16"/>
    <w:bookmarkStart w:id="117"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7"/>
    <w:bookmarkStart w:id="11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18"/>
    <w:bookmarkStart w:id="119"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9"/>
    <w:bookmarkStart w:id="120"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20"/>
    <w:bookmarkStart w:id="12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21"/>
    <w:bookmarkStart w:id="122"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22"/>
    <w:bookmarkStart w:id="123"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23"/>
    <w:bookmarkStart w:id="124"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24"/>
    <w:bookmarkStart w:id="125"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25"/>
    <w:bookmarkStart w:id="126"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26"/>
    <w:bookmarkStart w:id="127"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7"/>
    <w:bookmarkStart w:id="128"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28"/>
    <w:bookmarkStart w:id="129"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9"/>
    <w:bookmarkStart w:id="130"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30"/>
    <w:bookmarkStart w:id="131"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31"/>
    <w:bookmarkStart w:id="132"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32"/>
    <w:bookmarkStart w:id="133"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33"/>
    <w:bookmarkStart w:id="134"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34"/>
    <w:bookmarkStart w:id="135"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35"/>
    <w:bookmarkStart w:id="136"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36"/>
    <w:bookmarkStart w:id="137"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7"/>
    <w:bookmarkStart w:id="138"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38"/>
    <w:bookmarkStart w:id="139"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9"/>
    <w:bookmarkStart w:id="140"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40"/>
    <w:bookmarkStart w:id="141"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41"/>
    <w:bookmarkStart w:id="142"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42"/>
    <w:bookmarkStart w:id="143"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43"/>
    <w:bookmarkStart w:id="144"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44"/>
    <w:bookmarkStart w:id="145"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45"/>
    <w:bookmarkStart w:id="146"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46"/>
    <w:bookmarkStart w:id="147"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7"/>
    <w:bookmarkStart w:id="148"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48"/>
    <w:bookmarkStart w:id="149"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9"/>
    <w:bookmarkStart w:id="150"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50"/>
    <w:bookmarkStart w:id="151"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51"/>
    <w:bookmarkStart w:id="152"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52"/>
    <w:bookmarkStart w:id="153"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53"/>
    <w:bookmarkStart w:id="154"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54"/>
    <w:bookmarkStart w:id="155"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55"/>
    <w:bookmarkStart w:id="156"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56"/>
    <w:bookmarkStart w:id="157"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7"/>
    <w:bookmarkStart w:id="158"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58"/>
    <w:bookmarkStart w:id="159"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9"/>
    <w:bookmarkStart w:id="160"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60"/>
    <w:bookmarkStart w:id="16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61"/>
    <w:bookmarkStart w:id="16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62"/>
    <w:bookmarkStart w:id="16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3"/>
    <w:bookmarkStart w:id="164"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64"/>
    <w:bookmarkStart w:id="165"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65"/>
    <w:bookmarkStart w:id="166"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50" Target="media/rId50.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hyperlink" Id="rId51" Target="2020_12_draft" TargetMode="External" /><Relationship Type="http://schemas.openxmlformats.org/officeDocument/2006/relationships/hyperlink" Id="rId53"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61"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5"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9"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1" Target="2020_12_draft" TargetMode="External" /><Relationship Type="http://schemas.openxmlformats.org/officeDocument/2006/relationships/hyperlink" Id="rId53"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61"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5"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9"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2021-02-01T22:25:33Z</dcterms:created>
  <dcterms:modified xsi:type="dcterms:W3CDTF">2021-02-01T22:25:33Z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