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22.png" ContentType="image/png"/>
  <Override PartName="/word/media/rId48.png" ContentType="image/png"/>
  <Override PartName="/word/media/rId55.png" ContentType="image/png"/>
  <Override PartName="/word/media/rId30.png" ContentType="image/png"/>
  <Override PartName="/word/media/rId31.png" ContentType="image/png"/>
  <Override PartName="/word/media/rId38.png" ContentType="image/png"/>
  <Override PartName="/word/media/rId39.png" ContentType="image/png"/>
  <Override PartName="/word/media/rId40.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tbl>
      <w:tblPr>
        <w:tblStyle w:val="Table"/>
        <w:tblW w:type="pct" w:w="5000.0"/>
        <w:tblLook w:firstRow="1" w:lastRow="0" w:firstColumn="0" w:lastColumn="0" w:noHBand="0" w:noVBand="0" w:val="0020"/>
      </w:tblPr>
      <w:tblGrid>
        <w:gridCol w:w="766"/>
        <w:gridCol w:w="766"/>
        <w:gridCol w:w="1277"/>
        <w:gridCol w:w="5109"/>
      </w:tblGrid>
      <w:tr>
        <w:tc>
          <w:p>
            <w:pPr>
              <w:pStyle w:val="Compact"/>
              <w:jc w:val="left"/>
            </w:pPr>
            <w:r>
              <w:t xml:space="preserve">Text</w:t>
            </w:r>
          </w:p>
        </w:tc>
        <w:tc>
          <w:p>
            <w:pPr>
              <w:pStyle w:val="Compact"/>
              <w:jc w:val="left"/>
            </w:pPr>
            <w:r>
              <w:t xml:space="preserve">word count</w:t>
            </w:r>
          </w:p>
        </w:tc>
        <w:tc>
          <w:p>
            <w:pPr>
              <w:pStyle w:val="Compact"/>
              <w:jc w:val="left"/>
            </w:pPr>
            <w:r>
              <w:t xml:space="preserve">other</w:t>
            </w:r>
          </w:p>
        </w:tc>
        <w:tc>
          <w:p>
            <w:pPr>
              <w:pStyle w:val="Compact"/>
              <w:jc w:val="left"/>
            </w:pPr>
            <w:r>
              <w:t xml:space="preserve">n</w:t>
            </w:r>
          </w:p>
        </w:tc>
      </w:tr>
      <w:tr>
        <w:tc>
          <w:p>
            <w:pPr>
              <w:pStyle w:val="Compact"/>
              <w:jc w:val="left"/>
            </w:pPr>
            <w:r>
              <w:t xml:space="preserve">Total word count (excluding summary, references and legends)</w:t>
            </w:r>
          </w:p>
        </w:tc>
        <w:tc>
          <w:p>
            <w:pPr>
              <w:pStyle w:val="Compact"/>
              <w:jc w:val="left"/>
            </w:pPr>
            <w:r>
              <w:t xml:space="preserve">8565</w:t>
            </w:r>
          </w:p>
        </w:tc>
        <w:tc>
          <w:p>
            <w:pPr>
              <w:pStyle w:val="Compact"/>
              <w:jc w:val="left"/>
            </w:pPr>
            <w:r>
              <w:t xml:space="preserve">No. of figures</w:t>
            </w:r>
          </w:p>
        </w:tc>
        <w:tc>
          <w:p>
            <w:pPr>
              <w:pStyle w:val="Compact"/>
              <w:jc w:val="left"/>
            </w:pPr>
            <w:r>
              <w:t xml:space="preserve">6 (all colour)</w:t>
            </w:r>
          </w:p>
        </w:tc>
      </w:tr>
      <w:tr>
        <w:tc>
          <w:p>
            <w:pPr>
              <w:pStyle w:val="Compact"/>
              <w:jc w:val="left"/>
            </w:pPr>
            <w:r>
              <w:t xml:space="preserve">Summary</w:t>
            </w:r>
          </w:p>
        </w:tc>
        <w:tc>
          <w:p>
            <w:pPr>
              <w:pStyle w:val="Compact"/>
              <w:jc w:val="left"/>
            </w:pPr>
            <w:r>
              <w:t xml:space="preserve">183</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left"/>
            </w:pPr>
            <w:r>
              <w:t xml:space="preserve">495</w:t>
            </w:r>
          </w:p>
        </w:tc>
        <w:tc>
          <w:p>
            <w:pPr>
              <w:pStyle w:val="Compact"/>
              <w:jc w:val="left"/>
            </w:pPr>
            <w:r>
              <w:t xml:space="preserve">No of Supporting Information files</w:t>
            </w:r>
          </w:p>
        </w:tc>
        <w:tc>
          <w:p>
            <w:pPr>
              <w:pStyle w:val="Compact"/>
              <w:jc w:val="left"/>
            </w:pPr>
            <w:r>
              <w:t xml:space="preserve">6</w:t>
            </w:r>
          </w:p>
        </w:tc>
      </w:tr>
      <w:tr>
        <w:tc>
          <w:p>
            <w:pPr>
              <w:pStyle w:val="Compact"/>
              <w:jc w:val="left"/>
            </w:pPr>
            <w:r>
              <w:t xml:space="preserve">Review of vertical gradients</w:t>
            </w:r>
          </w:p>
        </w:tc>
        <w:tc>
          <w:p>
            <w:pPr>
              <w:pStyle w:val="Compact"/>
              <w:jc w:val="left"/>
            </w:pPr>
            <w:r>
              <w:t xml:space="preserve">5976</w:t>
            </w:r>
          </w:p>
        </w:tc>
        <w:tc>
          <w:p/>
        </w:tc>
        <w:tc>
          <w:p/>
        </w:tc>
      </w:tr>
      <w:tr>
        <w:tc>
          <w:p>
            <w:pPr>
              <w:pStyle w:val="Compact"/>
              <w:jc w:val="left"/>
            </w:pPr>
            <w:r>
              <w:t xml:space="preserve">Implications</w:t>
            </w:r>
          </w:p>
        </w:tc>
        <w:tc>
          <w:p>
            <w:pPr>
              <w:pStyle w:val="Compact"/>
              <w:jc w:val="left"/>
            </w:pPr>
            <w:r>
              <w:t xml:space="preserve">1753</w:t>
            </w:r>
          </w:p>
        </w:tc>
        <w:tc>
          <w:p/>
        </w:tc>
        <w:tc>
          <w:p/>
        </w:tc>
      </w:tr>
      <w:tr>
        <w:tc>
          <w:p>
            <w:pPr>
              <w:pStyle w:val="Compact"/>
              <w:jc w:val="left"/>
            </w:pPr>
            <w:r>
              <w:t xml:space="preserve">Conclusions</w:t>
            </w:r>
          </w:p>
        </w:tc>
        <w:tc>
          <w:p>
            <w:pPr>
              <w:pStyle w:val="Compact"/>
              <w:jc w:val="left"/>
            </w:pPr>
            <w:r>
              <w:t xml:space="preserve">156</w:t>
            </w:r>
          </w:p>
        </w:tc>
        <w:tc>
          <w:p/>
        </w:tc>
        <w:tc>
          <w:p/>
        </w:tc>
      </w:tr>
      <w:tr>
        <w:tc>
          <w:p>
            <w:pPr>
              <w:pStyle w:val="Compact"/>
              <w:jc w:val="left"/>
            </w:pPr>
            <w:r>
              <w:t xml:space="preserve">Acknowledgments</w:t>
            </w:r>
          </w:p>
        </w:tc>
        <w:tc>
          <w:p>
            <w:pPr>
              <w:pStyle w:val="Compact"/>
              <w:jc w:val="left"/>
            </w:pPr>
            <w:r>
              <w:t xml:space="preserve">##</w:t>
            </w:r>
          </w:p>
        </w:tc>
        <w:tc>
          <w:p/>
        </w:tc>
        <w:tc>
          <w:p/>
        </w:tc>
      </w:tr>
    </w:tbl>
    <w:p>
      <w:r>
        <w:br w:type="page"/>
      </w:r>
    </w:p>
    <w:bookmarkStart w:id="21" w:name="summary"/>
    <w:p>
      <w:pPr>
        <w:pStyle w:val="Heading2"/>
      </w:pPr>
      <w:r>
        <w:t xml:space="preserve">Summary</w:t>
      </w:r>
    </w:p>
    <w:p>
      <w:pPr>
        <w:pStyle w:val="FirstParagraph"/>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3" w:name="introduction"/>
    <w:p>
      <w:pPr>
        <w:pStyle w:val="Heading1"/>
      </w:pPr>
      <w:r>
        <w:t xml:space="preserve">Introduction</w:t>
      </w:r>
    </w:p>
    <w:p>
      <w:pPr>
        <w:pStyle w:val="FirstParagraph"/>
      </w:pPr>
      <w:r>
        <w:t xml:space="preserve">Forest responses and feedbacks to climate change will have a critical influence on the future of Earth’s climate.</w:t>
      </w:r>
      <w:r>
        <w:t xml:space="preserve"> </w:t>
      </w:r>
      <w:r>
        <w:t xml:space="preserve">Global average temperatures have risen 1.2</w:t>
      </w:r>
      <w:r>
        <w:t xml:space="preserve"> </w:t>
      </w:r>
      <m:oMath>
        <m:sSup>
          <m:e>
            <m:r>
              <m:t>​</m:t>
            </m:r>
          </m:e>
          <m:sup>
            <m:r>
              <m:rPr>
                <m:sty m:val="p"/>
              </m:rPr>
              <m:t>∘</m:t>
            </m:r>
          </m:sup>
        </m:sSup>
      </m:oMath>
      <w:r>
        <w:t xml:space="preserve">C since 1900</w:t>
      </w:r>
      <w:r>
        <w:t xml:space="preserve"> </w:t>
      </w:r>
      <w:r>
        <w:t xml:space="preserve">(Rohde &amp; Hausfather, 2020)</w:t>
      </w:r>
      <w:r>
        <w:t xml:space="preserve"> </w:t>
      </w:r>
      <w:r>
        <w:t xml:space="preserve">and are expected to reach or even exceed +1.5</w:t>
      </w:r>
      <w:r>
        <w:t xml:space="preserve"> </w:t>
      </w:r>
      <m:oMath>
        <m:sSup>
          <m:e>
            <m:r>
              <m:t>​</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w:t>
      </w:r>
      <w:r>
        <w:t xml:space="preserve">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(McDowell</w:t>
      </w:r>
      <w:r>
        <w:t xml:space="preserve"> </w:t>
      </w:r>
      <w:r>
        <w:rPr>
          <w:iCs/>
          <w:i/>
        </w:rPr>
        <w:t xml:space="preserve">et al.</w:t>
      </w:r>
      <w:r>
        <w:t xml:space="preserve">, 2020; Breshears</w:t>
      </w:r>
      <w:r>
        <w:t xml:space="preserve"> </w:t>
      </w:r>
      <w:r>
        <w:rPr>
          <w:iCs/>
          <w:i/>
        </w:rPr>
        <w:t xml:space="preserve">et al.</w:t>
      </w:r>
      <w:r>
        <w:t xml:space="preserve">, 2021)</w:t>
      </w:r>
      <w:r>
        <w:t xml:space="preserve">.</w:t>
      </w:r>
      <w:r>
        <w:t xml:space="preserve"> </w:t>
      </w:r>
      <w:r>
        <w:t xml:space="preserve">The net result of higher temperatures may be increased or decreased tree growth and forest carbon sequestration, with decreases being more commonly documented across the world’s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w:t>
      </w:r>
      <w:r>
        <w:t xml:space="preserve"> </w:t>
      </w:r>
      <w:r>
        <w:rPr>
          <w:bCs/>
          <w:b/>
        </w:rPr>
        <w:t xml:space="preserve">Anderson-TeixeiraJointEffectsClimate2021?</w:t>
      </w:r>
      <w:r>
        <w:t xml:space="preserve">)</w:t>
      </w:r>
      <w:r>
        <w:t xml:space="preserve">.</w:t>
      </w:r>
      <w:r>
        <w:t xml:space="preserve"> </w:t>
      </w:r>
      <w:r>
        <w:t xml:space="preserve">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t xml:space="preserve">A great measure of uncertainty arises due to the differential impacts of rising temperatures on trees of differential size and canopy position, especially as small understory trees exist in microenvironments that are substantially buffered by more exposed canopy trees</w:t>
      </w:r>
      <w:r>
        <w:t xml:space="preserve"> </w:t>
      </w:r>
      <w:r>
        <w:t xml:space="preserve">(Davis</w:t>
      </w:r>
      <w:r>
        <w:t xml:space="preserve"> </w:t>
      </w:r>
      <w:r>
        <w:rPr>
          <w:iCs/>
          <w:i/>
        </w:rPr>
        <w:t xml:space="preserve">et al.</w:t>
      </w:r>
      <w:r>
        <w:t xml:space="preserve">, 2019a; Zellweger</w:t>
      </w:r>
      <w:r>
        <w:t xml:space="preserve"> </w:t>
      </w:r>
      <w:r>
        <w:rPr>
          <w:iCs/>
          <w:i/>
        </w:rPr>
        <w:t xml:space="preserve">et al.</w:t>
      </w:r>
      <w:r>
        <w:t xml:space="preserve">, 2019)</w:t>
      </w:r>
      <w:r>
        <w:t xml:space="preserve">.</w:t>
      </w:r>
      <w:r>
        <w:t xml:space="preserve"> </w:t>
      </w:r>
      <w:r>
        <w:t xml:space="preserve">Forests are vertically and horizontally stratified, with overstory canopies playing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w:t>
      </w:r>
      <w:r>
        <w:t xml:space="preserve"> </w:t>
      </w:r>
      <w:r>
        <w:t xml:space="preserve">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T_{leaf}), (3) leaf traits, (4) leaf metabolism, and (5) whole-tree and ecosystem ecology. Abbreviations are as follows: VPD: vapor pressure deficit; T_{leaf} - T_{air}: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w:t>
      </w:r>
      <m:oMath>
        <m:sSub>
          <m:e>
            <m:r>
              <m:t>T</m:t>
            </m:r>
          </m:e>
          <m:sub>
            <m:r>
              <m:t>l</m:t>
            </m:r>
            <m:r>
              <m:t>e</m:t>
            </m:r>
            <m:r>
              <m:t>a</m:t>
            </m:r>
            <m:r>
              <m:t>f</m:t>
            </m:r>
          </m:sub>
        </m:sSub>
      </m:oMath>
      <w:r>
        <w:rPr>
          <w:bCs/>
          <w:b/>
        </w:rPr>
        <w:t xml:space="preserve">), (3) leaf traits, (4) leaf metabolism, and (5) whole-tree and ecosystem ecology.</w:t>
      </w:r>
      <w:r>
        <w:t xml:space="preserve"> </w:t>
      </w:r>
      <w:r>
        <w:t xml:space="preserve">Abbreviations are as follows: VPD: vapor pressure deficit;</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p>
    <w:bookmarkEnd w:id="23"/>
    <w:bookmarkStart w:id="328" w:name="review-of-vertical-gradients"/>
    <w:p>
      <w:pPr>
        <w:pStyle w:val="Heading1"/>
      </w:pPr>
      <w:r>
        <w:t xml:space="preserve">Review of vertical gradients</w:t>
      </w:r>
    </w:p>
    <w:bookmarkStart w:id="25" w:name="the-biophysical-environment"/>
    <w:p>
      <w:pPr>
        <w:pStyle w:val="Heading2"/>
      </w:pPr>
      <w:r>
        <w:t xml:space="preserve">The biophysical environment</w:t>
      </w:r>
    </w:p>
    <w:p>
      <w:pPr>
        <w:pStyle w:val="FirstParagraph"/>
      </w:pPr>
      <w: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 (NEON; Fig. 2, Supporting Information Methods S1, Supporting Information Figure S1).</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in the National Ecological Observatory Network (NEON).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 T_{air}, and (h) maximum biological temperature, T_{bio}. Sites, which represent a variety of forest structures, include a mixed northern hardwood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in the National Ecological Observatory Network (NEON)</w:t>
      </w:r>
      <w:r>
        <w:t xml:space="preserve">.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which represent a variety of forest structures, include a mixed northern hardwood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w:t>
      </w:r>
    </w:p>
    <w:p>
      <w:pPr>
        <w:pStyle w:val="BodyText"/>
      </w:pPr>
      <w: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Leaf area density (LAD;</w:t>
      </w:r>
      <w:r>
        <w:t xml:space="preserve"> </w:t>
      </w:r>
      <w:r>
        <w:rPr>
          <w:iCs/>
          <w:i/>
        </w:rPr>
        <w:t xml:space="preserve">i.e.</w:t>
      </w:r>
      <w:r>
        <w:t xml:space="preserve">, leaf area per unit volume) patterns along the vertical gradient are heterogeneous across forests (Fig. 2a-b, Supporting Information Figure S1).</w:t>
      </w:r>
      <w:r>
        <w:t xml:space="preserve"> </w:t>
      </w:r>
      <w:r>
        <w:t xml:space="preserve">Tropical and temperate forests with dense canopies dominated by broadleaf trees generally have highest LAD in the upper canopy layers, but understory LAD is often relatively high in the understory as well, sometimes with undulating patterns</w:t>
      </w:r>
      <w:r>
        <w:t xml:space="preserve"> </w:t>
      </w:r>
      <w:r>
        <w:t xml:space="preserve">(e.g., SCBI, SERC and HARV, Fig. 2a, Ashton &amp; Hall, 1992; Koike &amp; Syahbuddin, 1993)</w:t>
      </w:r>
      <w:r>
        <w:t xml:space="preserve"> </w:t>
      </w:r>
      <w:r>
        <w:rPr>
          <w:iCs/>
          <w:i/>
        </w:rPr>
        <w:t xml:space="preserve">(Terborgh, 1985; Parker</w:t>
      </w:r>
      <w:r>
        <w:rPr>
          <w:iCs/>
          <w:i/>
        </w:rPr>
        <w:t xml:space="preserve"> </w:t>
      </w:r>
      <w:r>
        <w:rPr>
          <w:iCs/>
          <w:i/>
          <w:iCs/>
          <w:i/>
        </w:rPr>
        <w:t xml:space="preserve">et al.</w:t>
      </w:r>
      <w:r>
        <w:rPr>
          <w:iCs/>
          <w:i/>
        </w:rPr>
        <w:t xml:space="preserve">, 1989, 2002; Ishii</w:t>
      </w:r>
      <w:r>
        <w:rPr>
          <w:iCs/>
          <w:i/>
        </w:rPr>
        <w:t xml:space="preserve"> </w:t>
      </w:r>
      <w:r>
        <w:rPr>
          <w:iCs/>
          <w:i/>
          <w:iCs/>
          <w:i/>
        </w:rPr>
        <w:t xml:space="preserve">et al.</w:t>
      </w:r>
      <w:r>
        <w:rPr>
          <w:iCs/>
          <w:i/>
        </w:rP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(Bonan, 2016; e.g.,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rPr>
          <w:bCs/>
          <w:b/>
        </w:rP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rPr>
          <w:bCs/>
          <w:b/>
        </w:rPr>
        <w:t xml:space="preserve"> </w:t>
      </w:r>
      <w:r>
        <w:rPr>
          <w:bCs/>
          <w:b/>
        </w:rPr>
        <w:t xml:space="preserve">(Fig. 2a-d, Supporting Information Figure S1, Koike</w:t>
      </w:r>
      <w:r>
        <w:rPr>
          <w:bCs/>
          <w:b/>
        </w:rPr>
        <w:t xml:space="preserve"> </w:t>
      </w:r>
      <w:r>
        <w:rPr>
          <w:iCs/>
          <w:i/>
          <w:bCs/>
          <w:b/>
        </w:rPr>
        <w:t xml:space="preserve">et al.</w:t>
      </w:r>
      <w:r>
        <w:rPr>
          <w:bCs/>
          <w:b/>
        </w:rPr>
        <w:t xml:space="preserve">, 2001)</w:t>
      </w:r>
      <w:r>
        <w:rPr>
          <w:bCs/>
          <w:b/>
        </w:rP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(Chazdon &amp; Fetcher, 1984; Baldocchi</w:t>
      </w:r>
      <w:r>
        <w:t xml:space="preserve"> </w:t>
      </w:r>
      <w:r>
        <w:rPr>
          <w:iCs/>
          <w:i/>
        </w:rPr>
        <w:t xml:space="preserve">et al.</w:t>
      </w:r>
      <w:r>
        <w:t xml:space="preserve">, 1997; e.g., OSBS, PUUM, and WREF, Fig. 2d, Supporting Information Figure S1,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p>
    <w:p>
      <w:pPr>
        <w:pStyle w:val="BodyText"/>
      </w:pPr>
      <w:r>
        <w:rPr>
          <w:bCs/>
          <w:b/>
        </w:rPr>
        <w:t xml:space="preserve">Wind speeds are also higher at the top of the canopy, owing to the buffering effect of the canopy</w:t>
      </w:r>
      <w:r>
        <w:rPr>
          <w:bCs/>
          <w:b/>
        </w:rPr>
        <w:t xml:space="preserve"> </w:t>
      </w:r>
      <w:r>
        <w:rPr>
          <w:bCs/>
          <w:b/>
        </w:rPr>
        <w:t xml:space="preserve">(Jucker</w:t>
      </w:r>
      <w:r>
        <w:rPr>
          <w:bCs/>
          <w:b/>
        </w:rPr>
        <w:t xml:space="preserve"> </w:t>
      </w:r>
      <w:r>
        <w:rPr>
          <w:iCs/>
          <w:i/>
          <w:bCs/>
          <w:b/>
        </w:rPr>
        <w:t xml:space="preserve">et al.</w:t>
      </w:r>
      <w:r>
        <w:rPr>
          <w:bCs/>
          <w:b/>
        </w:rPr>
        <w:t xml:space="preserve">, 2018)</w:t>
      </w:r>
      <w:r>
        <w:rPr>
          <w:bCs/>
          <w:b/>
        </w:rPr>
        <w:t xml:space="preserve">.</w:t>
      </w:r>
      <w:r>
        <w:t xml:space="preserve"> </w:t>
      </w:r>
      <w:r>
        <w:t xml:space="preserve">Wind speeds increase with height across forest types [Fig. 2e, Supporting Information Figure S1;</w:t>
      </w:r>
      <w:r>
        <w:t xml:space="preserve"> </w:t>
      </w:r>
      <w:r>
        <w:t xml:space="preserve">Barnard &amp; Bauerle (2016)</w:t>
      </w:r>
      <w:r>
        <w:t xml:space="preserve">;</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Jucker</w:t>
      </w:r>
      <w:r>
        <w:t xml:space="preserve"> </w:t>
      </w:r>
      <w:r>
        <w:rPr>
          <w:iCs/>
          <w:i/>
        </w:rPr>
        <w:t xml:space="preserve">et al.</w:t>
      </w:r>
      <w:r>
        <w:t xml:space="preserve"> </w:t>
      </w:r>
      <w:r>
        <w:t xml:space="preserve">(2018)</w:t>
      </w:r>
      <w:r>
        <w:t xml:space="preserve">;</w:t>
      </w:r>
      <w:r>
        <w:t xml:space="preserve"> </w:t>
      </w:r>
      <w:r>
        <w:t xml:space="preserve">Muller</w:t>
      </w:r>
      <w:r>
        <w:t xml:space="preserve"> </w:t>
      </w:r>
      <w:r>
        <w:rPr>
          <w:iCs/>
          <w:i/>
        </w:rPr>
        <w:t xml:space="preserve">et al.</w:t>
      </w:r>
      <w:r>
        <w:t xml:space="preserve"> </w:t>
      </w:r>
      <w:r>
        <w:t xml:space="preserve">(2021)</w:t>
      </w:r>
      <w:r>
        <w:t xml:space="preserve">;</w:t>
      </w:r>
      <w:r>
        <w:t xml:space="preserve"> </w:t>
      </w:r>
      <w:r>
        <w:t xml:space="preserve">Hanberry</w:t>
      </w:r>
      <w:r>
        <w:t xml:space="preserve"> </w:t>
      </w:r>
      <w:r>
        <w:rPr>
          <w:iCs/>
          <w:i/>
        </w:rPr>
        <w:t xml:space="preserve">et al.</w:t>
      </w:r>
      <w:r>
        <w:t xml:space="preserve"> </w:t>
      </w:r>
      <w:r>
        <w:t xml:space="preserve">(2020)</w:t>
      </w:r>
      <w:r>
        <w:t xml:space="preserve">;</w:t>
      </w:r>
      <w:r>
        <w:t xml:space="preserve"> </w:t>
      </w:r>
      <w:r>
        <w:t xml:space="preserve">Hanberry</w:t>
      </w:r>
      <w:r>
        <w:t xml:space="preserve"> </w:t>
      </w:r>
      <w:r>
        <w:rPr>
          <w:iCs/>
          <w:i/>
        </w:rPr>
        <w:t xml:space="preserve">et al.</w:t>
      </w:r>
      <w:r>
        <w:t xml:space="preserve"> </w:t>
      </w:r>
      <w:r>
        <w:t xml:space="preserve">(2018)</w:t>
      </w:r>
      <w:r>
        <w:t xml:space="preserve">] 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 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rPr>
          <w:bCs/>
          <w:b/>
        </w:rPr>
        <w:t xml:space="preserve">Atmospheric concentrations of carbon dioxide (CO</w:t>
      </w:r>
      <w:r>
        <w:rPr>
          <w:vertAlign w:val="subscript"/>
          <w:bCs/>
          <w:b/>
        </w:rPr>
        <w:t xml:space="preserve">2</w:t>
      </w:r>
      <w:r>
        <w:rPr>
          <w:bCs/>
          <w:b/>
        </w:rP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(Jucker</w:t>
      </w:r>
      <w:r>
        <w:t xml:space="preserve"> </w:t>
      </w:r>
      <w:r>
        <w:rPr>
          <w:iCs/>
          <w:i/>
        </w:rPr>
        <w:t xml:space="preserve">et al.</w:t>
      </w:r>
      <w:r>
        <w:t xml:space="preserve">, 2018; Fig. 2f, Supporting Information Figure S1, e.g.,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p>
    <w:p>
      <w:pPr>
        <w:pStyle w:val="BodyText"/>
      </w:pPr>
      <w:r>
        <w:rPr>
          <w:bCs/>
          <w:b/>
        </w:rPr>
        <w:t xml:space="preserve">Air temperature (</w:t>
      </w:r>
      <m:oMath>
        <m:sSub>
          <m:e>
            <m:r>
              <m:t>T</m:t>
            </m:r>
          </m:e>
          <m:sub>
            <m:r>
              <m:t>a</m:t>
            </m:r>
            <m:r>
              <m:t>i</m:t>
            </m:r>
            <m:r>
              <m:t>r</m:t>
            </m:r>
          </m:sub>
        </m:sSub>
      </m:oMath>
      <w:r>
        <w:rPr>
          <w:bCs/>
          <w:b/>
        </w:rP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e.g., OSBS, Fig. 2g, Supporting Information Figure S1b, Banerjee</w:t>
      </w:r>
      <w:r>
        <w:t xml:space="preserve"> </w:t>
      </w:r>
      <w:r>
        <w:rPr>
          <w:iCs/>
          <w:i/>
        </w:rPr>
        <w:t xml:space="preserve">et al.</w:t>
      </w:r>
      <w:r>
        <w:t xml:space="preserve">, 2017; Curtis</w:t>
      </w:r>
      <w:r>
        <w:t xml:space="preserve"> </w:t>
      </w:r>
      <w:r>
        <w:rPr>
          <w:iCs/>
          <w:i/>
        </w:rPr>
        <w:t xml:space="preserve">et al.</w:t>
      </w:r>
      <w:r>
        <w:t xml:space="preserve">, 2019)</w:t>
      </w:r>
      <w:r>
        <w:t xml:space="preserve">.</w:t>
      </w:r>
    </w:p>
    <w:bookmarkEnd w:id="25"/>
    <w:bookmarkStart w:id="29" w:name="leaf-temperature"/>
    <w:p>
      <w:pPr>
        <w:pStyle w:val="Heading2"/>
      </w:pPr>
      <w:r>
        <w:t xml:space="preserve">Leaf temperature</w:t>
      </w:r>
    </w:p>
    <w:p>
      <w:pPr>
        <w:pStyle w:val="FirstParagraph"/>
      </w:pPr>
      <w:r>
        <w:t xml:space="preserve">Leaf temperature (</w:t>
      </w:r>
      <m:oMath>
        <m:sSub>
          <m:e>
            <m:r>
              <m:t>T</m:t>
            </m:r>
          </m:e>
          <m:sub>
            <m:r>
              <m:t>l</m:t>
            </m:r>
            <m:r>
              <m:t>e</m:t>
            </m:r>
            <m:r>
              <m:t>a</m:t>
            </m:r>
            <m:r>
              <m:t>f</m:t>
            </m:r>
          </m:sub>
        </m:sSub>
      </m:oMath>
      <w:r>
        <w:t xml:space="preserve">) 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7" w:name="biophysical-drivers"/>
    <w:p>
      <w:pPr>
        <w:pStyle w:val="Heading3"/>
      </w:pPr>
      <w:r>
        <w:t xml:space="preserve">Biophysical drivers</w:t>
      </w:r>
    </w:p>
    <w:p>
      <w:pPr>
        <w:pStyle w:val="FirstParagraph"/>
      </w:pPr>
      <w:r>
        <w:rPr>
          <w:bCs/>
          <w:b/>
        </w:rPr>
        <w:t xml:space="preserve">Fundamentally,</w:t>
      </w:r>
      <w:r>
        <w:rPr>
          <w:bCs/>
          <w:b/>
        </w:rPr>
        <w:t xml:space="preserve"> </w:t>
      </w:r>
      <m:oMath>
        <m:sSub>
          <m:e>
            <m:r>
              <m:t>T</m:t>
            </m:r>
          </m:e>
          <m:sub>
            <m:r>
              <m:t>l</m:t>
            </m:r>
            <m:r>
              <m:t>e</m:t>
            </m:r>
            <m:r>
              <m:t>a</m:t>
            </m:r>
            <m:r>
              <m:t>f</m:t>
            </m:r>
          </m:sub>
        </m:sSub>
      </m:oMath>
      <w:r>
        <w:rPr>
          <w:bCs/>
          <w:b/>
        </w:rPr>
        <w:t xml:space="preserve"> </w:t>
      </w:r>
      <w:r>
        <w:rPr>
          <w:bCs/>
          <w:b/>
        </w:rPr>
        <w:t xml:space="preserve">is determined by the energy balance of a leaf and can be estimated based on biophysical principles, where</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is a function of energy input from net radiation (</w:t>
      </w:r>
      <m:oMath>
        <m:sSub>
          <m:e>
            <m:r>
              <m:t>R</m:t>
            </m:r>
          </m:e>
          <m:sub>
            <m:r>
              <m:t>n</m:t>
            </m:r>
          </m:sub>
        </m:sSub>
      </m:oMath>
      <w:r>
        <w:rPr>
          <w:bCs/>
          <w:b/>
        </w:rPr>
        <w:t xml:space="preserve">, including shortwave and longwave) minus heat lost to the environment</w:t>
      </w:r>
      <w:r>
        <w:rPr>
          <w:bCs/>
          <w:b/>
        </w:rPr>
        <w:t xml:space="preserve"> </w:t>
      </w:r>
      <w:r>
        <w:rPr>
          <w:bCs/>
          <w:b/>
        </w:rPr>
        <w:t xml:space="preserve">(Fig. 3, Campbell &amp; Norman, 1998; Muir, 2019)</w:t>
      </w:r>
      <w:r>
        <w:rPr>
          <w:bCs/>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Cs/>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 and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as detailed in Supplementary Information Methods S2."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6"/>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w:t>
      </w:r>
      <w:r>
        <w:t xml:space="preserve">L.) in a mesic temperate forest (Harvard Forest, Massachusetts, USA), as detailed in Supplementary Information Methods S2.</w:t>
      </w:r>
    </w:p>
    <w:p>
      <w:pPr>
        <w:pStyle w:val="BodyText"/>
      </w:pPr>
      <w:r>
        <w:rPr>
          <w:bCs/>
          <w:b/>
        </w:rPr>
        <w:t xml:space="preserve">Leaf energy balance is a tradeoff between water uptake and optimum</w:t>
      </w:r>
      <w:r>
        <w:rPr>
          <w:bCs/>
          <w:b/>
        </w:rPr>
        <w:t xml:space="preserve"> </w:t>
      </w:r>
      <m:oMath>
        <m:sSub>
          <m:e>
            <m:r>
              <m:t>T</m:t>
            </m:r>
          </m:e>
          <m:sub>
            <m:r>
              <m:t>l</m:t>
            </m:r>
            <m:r>
              <m:t>e</m:t>
            </m:r>
            <m:r>
              <m:t>a</m:t>
            </m:r>
            <m:r>
              <m:t>f</m:t>
            </m:r>
          </m:sub>
        </m:sSub>
      </m:oMath>
      <w:r>
        <w:rPr>
          <w:bCs/>
          <w:b/>
        </w:rPr>
        <w:t xml:space="preserve"> </w:t>
      </w:r>
      <w:r>
        <w:rPr>
          <w:bCs/>
          <w:b/>
        </w:rPr>
        <w:t xml:space="preserve">(Koch</w:t>
      </w:r>
      <w:r>
        <w:rPr>
          <w:bCs/>
          <w:b/>
        </w:rPr>
        <w:t xml:space="preserve"> </w:t>
      </w:r>
      <w:r>
        <w:rPr>
          <w:iCs/>
          <w:i/>
          <w:bCs/>
          <w:b/>
        </w:rPr>
        <w:t xml:space="preserve">et al.</w:t>
      </w:r>
      <w:r>
        <w:rPr>
          <w:bCs/>
          <w:b/>
        </w:rPr>
        <w:t xml:space="preserve">, 1994; Fauset</w:t>
      </w:r>
      <w:r>
        <w:rPr>
          <w:bCs/>
          <w:b/>
        </w:rPr>
        <w:t xml:space="preserve"> </w:t>
      </w:r>
      <w:r>
        <w:rPr>
          <w:iCs/>
          <w:i/>
          <w:bCs/>
          <w:b/>
        </w:rPr>
        <w:t xml:space="preserve">et al.</w:t>
      </w:r>
      <w:r>
        <w:rPr>
          <w:bCs/>
          <w:b/>
        </w:rPr>
        <w:t xml:space="preserve">, 2018)</w:t>
      </w:r>
      <w:r>
        <w:rPr>
          <w:bCs/>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1990a;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7"/>
    <w:bookmarkStart w:id="28"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 Carter</w:t>
      </w:r>
      <w:r>
        <w:t xml:space="preserve"> </w:t>
      </w:r>
      <w:r>
        <w:rPr>
          <w:iCs/>
          <w:i/>
        </w:rPr>
        <w:t xml:space="preserve">et al.</w:t>
      </w:r>
      <w:r>
        <w:t xml:space="preserve">, 2021; Miller</w:t>
      </w:r>
      <w:r>
        <w:t xml:space="preserve"> </w:t>
      </w:r>
      <w:r>
        <w:rPr>
          <w:iCs/>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 2h, Supporting Information Figure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28"/>
    <w:bookmarkEnd w:id="29"/>
    <w:bookmarkStart w:id="37"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5"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 Carter</w:t>
      </w:r>
      <w:r>
        <w:t xml:space="preserve"> </w:t>
      </w:r>
      <w:r>
        <w:rPr>
          <w:iCs/>
          <w:i/>
        </w:rPr>
        <w:t xml:space="preserve">et al.</w:t>
      </w:r>
      <w:r>
        <w:t xml:space="preserve">, 2021)</w:t>
      </w:r>
      <w:r>
        <w:t xml:space="preserve">.</w:t>
      </w:r>
    </w:p>
    <w:p>
      <w:r>
        <w:br w:type="page"/>
      </w:r>
    </w:p>
    <w:p>
      <w:pPr>
        <w:pStyle w:val="BodyText"/>
      </w:pPr>
      <w:r>
        <w:rPr>
          <w:bCs/>
          <w:b/>
        </w:rPr>
        <w:t xml:space="preserve">Table 1.</w:t>
      </w:r>
      <w:r>
        <w:t xml:space="preserve"> </w:t>
      </w:r>
      <w:r>
        <w:t xml:space="preserve">Studies listed here were compiled using a systematic review process, as described in Supplementary Information Methods S3.</w:t>
      </w:r>
    </w:p>
    <w:p>
      <w:pPr>
        <w:pStyle w:val="BodyText"/>
      </w:pPr>
      <w:r>
        <w:drawing>
          <wp:inline>
            <wp:extent cx="5334000" cy="6914444"/>
            <wp:effectExtent b="0" l="0" r="0" t="0"/>
            <wp:docPr descr="" title="" id="1" name="Picture"/>
            <a:graphic>
              <a:graphicData uri="http://schemas.openxmlformats.org/drawingml/2006/picture">
                <pic:pic>
                  <pic:nvPicPr>
                    <pic:cNvPr descr="table1a.png" id="0" name="Picture"/>
                    <pic:cNvPicPr>
                      <a:picLocks noChangeArrowheads="1" noChangeAspect="1"/>
                    </pic:cNvPicPr>
                  </pic:nvPicPr>
                  <pic:blipFill>
                    <a:blip r:embed="rId30"/>
                    <a:stretch>
                      <a:fillRect/>
                    </a:stretch>
                  </pic:blipFill>
                  <pic:spPr bwMode="auto">
                    <a:xfrm>
                      <a:off x="0" y="0"/>
                      <a:ext cx="5334000" cy="6914444"/>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7123993"/>
            <wp:effectExtent b="0" l="0" r="0" t="0"/>
            <wp:docPr descr="" title="" id="1" name="Picture"/>
            <a:graphic>
              <a:graphicData uri="http://schemas.openxmlformats.org/drawingml/2006/picture">
                <pic:pic>
                  <pic:nvPicPr>
                    <pic:cNvPr descr="table1b.png" id="0" name="Picture"/>
                    <pic:cNvPicPr>
                      <a:picLocks noChangeArrowheads="1" noChangeAspect="1"/>
                    </pic:cNvPicPr>
                  </pic:nvPicPr>
                  <pic:blipFill>
                    <a:blip r:embed="rId31"/>
                    <a:stretch>
                      <a:fillRect/>
                    </a:stretch>
                  </pic:blipFill>
                  <pic:spPr bwMode="auto">
                    <a:xfrm>
                      <a:off x="0" y="0"/>
                      <a:ext cx="5334000" cy="7123993"/>
                    </a:xfrm>
                    <a:prstGeom prst="rect">
                      <a:avLst/>
                    </a:prstGeom>
                    <a:noFill/>
                    <a:ln w="9525">
                      <a:noFill/>
                      <a:headEnd/>
                      <a:tailEnd/>
                    </a:ln>
                  </pic:spPr>
                </pic:pic>
              </a:graphicData>
            </a:graphic>
          </wp:inline>
        </w:drawing>
      </w:r>
    </w:p>
    <w:p>
      <w:pPr>
        <w:pStyle w:val="BodyText"/>
      </w:pPr>
      <w:r>
        <w:t xml:space="preserve">*1. Mau et al. 2018; 2. Coble and Cavaleri 2014; 3. Sack et al. 2006; 4. Chin and Sillett 2019; 5. Wyka et al. 2012; 6. Atherton et al. 2017; 7. Kenzo et al. 2015; 8. Kusi and Karasi 2020; 9. Dang et al. 1997; 10. Gebauer et al. 2015; 11. Marenco et al. 2017; 12.Kafuti et al. 2020; 13. Van Wittenberghe et al. 2012; 14. Zhang et al. 2019; 15. Weerasinghe et al. 2014; 16. Oldham et al. 2010; 17. Ichie et al. 2016; 18. Gregoriou et al. 2007; 19. Levizou et al. 2005; 20. Liakoura 1997; 21. Fauset et al. 2018; 22. Niinemets et al. 1998, 23. Ishida et al. 1998; 24. Millen and Clendon 1979; 25. Smith and Carter, 1988; 26. Hadley and Smith 1987; 27. Panditharathna et al. 2008; 28. Baltzer and Thomas 2005; 29. Dietz et al. 2007; 30. Coble et al. 2016; 31. Scartazza et al. 2016; 32. Duursma and Marshall, 2006; 33. Harley et al. 1996; 34. Hernandez et al. 2020; 35. Turnbull et al. 2003; 36. Chen et al. 2020; 37. van de Weg et al. 2012; 38. M.A Cavaleri et al. 2008; 39. Koniger et al. 1995; 40. Mastubara et al. 2009; 41. Harris and Medina 2013; 42. Hansen et al. 2001; 43. Poorter et al. 1995; 44. Coble et al. 2017; 45. Niinemets et al. 2004; 46. Poorter et al. 2000</w:t>
      </w:r>
    </w:p>
    <w:bookmarkStart w:id="32"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2"/>
    <w:bookmarkStart w:id="33"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2007a;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3"/>
    <w:bookmarkStart w:id="34"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4"/>
    <w:bookmarkEnd w:id="35"/>
    <w:bookmarkStart w:id="36"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6"/>
    <w:bookmarkEnd w:id="37"/>
    <w:bookmarkStart w:id="45"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r>
        <w:br w:type="page"/>
      </w:r>
    </w:p>
    <w:p>
      <w:pPr>
        <w:pStyle w:val="BodyText"/>
      </w:pPr>
      <w:r>
        <w:rPr>
          <w:bCs/>
          <w:b/>
        </w:rPr>
        <w:t xml:space="preserve">Table 2.</w:t>
      </w:r>
      <w:r>
        <w:t xml:space="preserve"> </w:t>
      </w:r>
      <w:r>
        <w:t xml:space="preserve">Summary of observed variation in leaf metabolism and thermal responses across the vertical gradient and/or between sun and shade leaves. Studies listed here were compiled using a systematic review process, as described in Supplementary Information Methods S3.</w:t>
      </w:r>
    </w:p>
    <w:p>
      <w:pPr>
        <w:pStyle w:val="BodyText"/>
      </w:pPr>
      <w:r>
        <w:drawing>
          <wp:inline>
            <wp:extent cx="5334000" cy="6624876"/>
            <wp:effectExtent b="0" l="0" r="0" t="0"/>
            <wp:docPr descr="" title="" id="1" name="Picture"/>
            <a:graphic>
              <a:graphicData uri="http://schemas.openxmlformats.org/drawingml/2006/picture">
                <pic:pic>
                  <pic:nvPicPr>
                    <pic:cNvPr descr="table2a.png" id="0" name="Picture"/>
                    <pic:cNvPicPr>
                      <a:picLocks noChangeArrowheads="1" noChangeAspect="1"/>
                    </pic:cNvPicPr>
                  </pic:nvPicPr>
                  <pic:blipFill>
                    <a:blip r:embed="rId38"/>
                    <a:stretch>
                      <a:fillRect/>
                    </a:stretch>
                  </pic:blipFill>
                  <pic:spPr bwMode="auto">
                    <a:xfrm>
                      <a:off x="0" y="0"/>
                      <a:ext cx="5334000" cy="6624876"/>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7168815"/>
            <wp:effectExtent b="0" l="0" r="0" t="0"/>
            <wp:docPr descr="" title="" id="1" name="Picture"/>
            <a:graphic>
              <a:graphicData uri="http://schemas.openxmlformats.org/drawingml/2006/picture">
                <pic:pic>
                  <pic:nvPicPr>
                    <pic:cNvPr descr="table2b.png" id="0" name="Picture"/>
                    <pic:cNvPicPr>
                      <a:picLocks noChangeArrowheads="1" noChangeAspect="1"/>
                    </pic:cNvPicPr>
                  </pic:nvPicPr>
                  <pic:blipFill>
                    <a:blip r:embed="rId39"/>
                    <a:stretch>
                      <a:fillRect/>
                    </a:stretch>
                  </pic:blipFill>
                  <pic:spPr bwMode="auto">
                    <a:xfrm>
                      <a:off x="0" y="0"/>
                      <a:ext cx="5334000" cy="7168815"/>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6191428"/>
            <wp:effectExtent b="0" l="0" r="0" t="0"/>
            <wp:docPr descr="" title="" id="1" name="Picture"/>
            <a:graphic>
              <a:graphicData uri="http://schemas.openxmlformats.org/drawingml/2006/picture">
                <pic:pic>
                  <pic:nvPicPr>
                    <pic:cNvPr descr="table2c.png" id="0" name="Picture"/>
                    <pic:cNvPicPr>
                      <a:picLocks noChangeArrowheads="1" noChangeAspect="1"/>
                    </pic:cNvPicPr>
                  </pic:nvPicPr>
                  <pic:blipFill>
                    <a:blip r:embed="rId40"/>
                    <a:stretch>
                      <a:fillRect/>
                    </a:stretch>
                  </pic:blipFill>
                  <pic:spPr bwMode="auto">
                    <a:xfrm>
                      <a:off x="0" y="0"/>
                      <a:ext cx="5334000" cy="6191428"/>
                    </a:xfrm>
                    <a:prstGeom prst="rect">
                      <a:avLst/>
                    </a:prstGeom>
                    <a:noFill/>
                    <a:ln w="9525">
                      <a:noFill/>
                      <a:headEnd/>
                      <a:tailEnd/>
                    </a:ln>
                  </pic:spPr>
                </pic:pic>
              </a:graphicData>
            </a:graphic>
          </wp:inline>
        </w:drawing>
      </w:r>
    </w:p>
    <w:p>
      <w:pPr>
        <w:pStyle w:val="BodyText"/>
      </w:pPr>
      <w:r>
        <w:t xml:space="preserve">*1. Kafuti et al. 2020; 2. Van Wittenberghe et al. 2012; 3. Roberts et al. 1990; 4. Dang et al. 1997; 5. Marenco et al. 2017; 6. Ambrose et al. 2015; 7. Zweifel et al. 2001; 8. Slot et al. 2019; 9. Hernandez et al. 2020; 10. Urban et al. 2007; 11. Carter and Cavaleri 2018; 12. Martin et al. 1999; 13. Mau et al. 2018; 14. Kosugi et al. 2012; 15. Niinemets et al. 2015; 16. Bachofen et al. 2020; 17. Hamerlynck and Knapp 1994; 18. Coble et al. 2017; 19. Wyka et al. 2012; 20. Rijkerse et al. 2000; 21. Ishida et al. 1999; 22. Weerasinghe et al. 2014; 23. Scartazza et al. 2016; 24. Miller et al. 2021; 25. Harris and Medina 2013; 26. Legner et al. 2014; 27. Kitao et al. 2012; 28. Fauset et al. 2018; 29. Rey-Sanchez et al. 2016; 30. Muller et al. 2021; 31. Curtis et al. 2019; 32. Mier et al. 2001; 33. Turnbull et al. 2003; 34. Araki et al. 2017; 35. Bolstad et al. 1999; 36. Kenzo et al. 2015; 37. Harley et al. 1996; 38. Xu and Griffin 2006; 39. Harley et al. 1997; 40. Niinemets and Sun, 2014; 41. Sharkey and Monson, 2014; 42. Saimpraga et al. 2013; 43. Atherton et al. 2017; 44. Carter et al. 2021</w:t>
      </w:r>
    </w:p>
    <w:p>
      <w:pPr>
        <w:pStyle w:val="BodyText"/>
      </w:pPr>
      <w:r>
        <w:t xml:space="preserve">** (</w:t>
      </w:r>
      <w:r>
        <w:rPr>
          <w:bCs/>
          <w:b/>
        </w:rPr>
        <w:t xml:space="preserve">NIDHI, we previously had a footnote here. I believe it’s the savanna site. I can’t find that, though.</w:t>
      </w:r>
      <w:r>
        <w:t xml:space="preserve">)</w:t>
      </w:r>
    </w:p>
    <w:bookmarkStart w:id="41"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but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 Carter</w:t>
      </w:r>
      <w:r>
        <w:t xml:space="preserve"> </w:t>
      </w:r>
      <w:r>
        <w:rPr>
          <w:iCs/>
          <w:i/>
        </w:rPr>
        <w:t xml:space="preserve">et al.</w:t>
      </w:r>
      <w:r>
        <w:t xml:space="preserve">, 2021)</w:t>
      </w:r>
      <w:r>
        <w:t xml:space="preserve">.</w:t>
      </w:r>
    </w:p>
    <w:bookmarkEnd w:id="41"/>
    <w:bookmarkStart w:id="42"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w:t>
      </w:r>
      <w:r>
        <w:rPr>
          <w:bCs/>
          <w:b/>
        </w:rPr>
        <w:t xml:space="preserve"> </w:t>
      </w:r>
      <w:r>
        <w:rPr>
          <w:bCs/>
          <w:b/>
        </w:rPr>
        <w:t xml:space="preserve">Niinemets (2007b)</w:t>
      </w:r>
      <w:r>
        <w:rPr>
          <w:bCs/>
          <w:b/>
        </w:rPr>
        <w:t xml:space="preserve"> </w:t>
      </w:r>
      <w:r>
        <w:rPr>
          <w:bCs/>
          <w:b/>
        </w:rPr>
        <w:t xml:space="preserve">;</w:t>
      </w:r>
      <w:r>
        <w:rPr>
          <w:bCs/>
          <w:b/>
        </w:rPr>
        <w:t xml:space="preserve"> </w:t>
      </w:r>
      <w:r>
        <w:rPr>
          <w:bCs/>
          <w:b/>
        </w:rPr>
        <w:t xml:space="preserve">Kenzo</w:t>
      </w:r>
      <w:r>
        <w:rPr>
          <w:bCs/>
          <w:b/>
        </w:rPr>
        <w:t xml:space="preserve"> </w:t>
      </w:r>
      <w:r>
        <w:rPr>
          <w:iCs/>
          <w:i/>
          <w:bCs/>
          <w:b/>
        </w:rPr>
        <w:t xml:space="preserve">et al.</w:t>
      </w:r>
      <w:r>
        <w:rPr>
          <w:bCs/>
          <w:b/>
        </w:rPr>
        <w:t xml:space="preserve"> </w:t>
      </w:r>
      <w:r>
        <w:rPr>
          <w:bCs/>
          <w:b/>
        </w:rPr>
        <w:t xml:space="preserve">(2015)</w:t>
      </w:r>
      <w:r>
        <w:rPr>
          <w:bCs/>
          <w:b/>
        </w:rPr>
        <w:t xml:space="preserve"> </w:t>
      </w:r>
      <w:r>
        <w:rPr>
          <w:bCs/>
          <w:b/>
        </w:rPr>
        <w:t xml:space="preserve">;</w:t>
      </w:r>
      <w:r>
        <w:rPr>
          <w:bCs/>
          <w:b/>
        </w:rPr>
        <w:t xml:space="preserve"> </w:t>
      </w:r>
      <w:r>
        <w:rPr>
          <w:bCs/>
          <w:b/>
        </w:rPr>
        <w:t xml:space="preserve">Slot</w:t>
      </w:r>
      <w:r>
        <w:rPr>
          <w:bCs/>
          <w:b/>
        </w:rPr>
        <w:t xml:space="preserve"> </w:t>
      </w:r>
      <w:r>
        <w:rPr>
          <w:iCs/>
          <w:i/>
          <w:bCs/>
          <w:b/>
        </w:rPr>
        <w:t xml:space="preserve">et al.</w:t>
      </w:r>
      <w:r>
        <w:rPr>
          <w:bCs/>
          <w:b/>
        </w:rPr>
        <w:t xml:space="preserve"> </w:t>
      </w:r>
      <w:r>
        <w:rPr>
          <w:bCs/>
          <w:b/>
        </w:rPr>
        <w:t xml:space="preserve">(2019)</w:t>
      </w:r>
      <w:r>
        <w:rPr>
          <w:bCs/>
          <w:b/>
        </w:rPr>
        <w:t xml:space="preserve">;</w:t>
      </w:r>
      <w:r>
        <w:rPr>
          <w:bCs/>
          <w:b/>
        </w:rPr>
        <w:t xml:space="preserve"> </w:t>
      </w:r>
      <w:r>
        <w:rPr>
          <w:bCs/>
          <w:b/>
        </w:rPr>
        <w:t xml:space="preserve">Chen</w:t>
      </w:r>
      <w:r>
        <w:rPr>
          <w:bCs/>
          <w:b/>
        </w:rPr>
        <w:t xml:space="preserve"> </w:t>
      </w:r>
      <w:r>
        <w:rPr>
          <w:iCs/>
          <w:i/>
          <w:bCs/>
          <w:b/>
        </w:rPr>
        <w:t xml:space="preserve">et al.</w:t>
      </w:r>
      <w:r>
        <w:rPr>
          <w:bCs/>
          <w:b/>
        </w:rPr>
        <w:t xml:space="preserve"> </w:t>
      </w:r>
      <w:r>
        <w:rPr>
          <w:bCs/>
          <w:b/>
        </w:rPr>
        <w:t xml:space="preserve">(2020)</w:t>
      </w:r>
      <w:r>
        <w:rPr>
          <w:bCs/>
          <w:b/>
        </w:rPr>
        <w:t xml:space="preserve">].</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Cs/>
          <w:i/>
        </w:rPr>
        <w:t xml:space="preserve">et al.</w:t>
      </w:r>
      <w:r>
        <w:t xml:space="preserve">, 2021)</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2021a)</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2021a)</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2"/>
    <w:bookmarkStart w:id="43"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 Carter</w:t>
      </w:r>
      <w:r>
        <w:t xml:space="preserve"> </w:t>
      </w:r>
      <w:r>
        <w:rPr>
          <w:iCs/>
          <w:i/>
        </w:rPr>
        <w:t xml:space="preserve">et al.</w:t>
      </w:r>
      <w:r>
        <w:t xml:space="preserve">, 2021)</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Cs/>
          <w:i/>
        </w:rPr>
        <w:t xml:space="preserve">et al.</w:t>
      </w:r>
      <w:r>
        <w:t xml:space="preserve">, 2021)</w:t>
      </w:r>
      <w:r>
        <w:t xml:space="preserve">.</w:t>
      </w:r>
    </w:p>
    <w:bookmarkEnd w:id="43"/>
    <w:bookmarkStart w:id="44"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4"/>
    <w:bookmarkEnd w:id="45"/>
    <w:bookmarkStart w:id="50"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7"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w:t>
      </w:r>
      <w:r>
        <w:t xml:space="preserve"> </w:t>
      </w:r>
      <w:r>
        <w:rPr>
          <w:bCs/>
          <w:b/>
        </w:rPr>
        <w:t xml:space="preserve">chitra-tarakHydraulicallyvulnerableTreesSurvive2021?</w:t>
      </w:r>
      <w:r>
        <w:t xml:space="preserve">)</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6"/>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7"/>
    <w:bookmarkStart w:id="49"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w:t>
      </w:r>
      <w:r>
        <w:t xml:space="preserve"> </w:t>
      </w:r>
      <w:r>
        <w:t xml:space="preserve">Kunert</w:t>
      </w:r>
      <w:r>
        <w:t xml:space="preserve"> </w:t>
      </w:r>
      <w:r>
        <w:rPr>
          <w:iCs/>
          <w:i/>
        </w:rPr>
        <w:t xml:space="preserve">et al.</w:t>
      </w:r>
      <w:r>
        <w:t xml:space="preserve"> </w:t>
      </w:r>
      <w:r>
        <w:t xml:space="preserve">(2017)</w:t>
      </w:r>
      <w:r>
        <w:t xml:space="preserve">],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w:t>
      </w:r>
      <w:r>
        <w:t xml:space="preserve"> </w:t>
      </w:r>
      <w:r>
        <w:t xml:space="preserve">(Fig. 5b,</w:t>
      </w:r>
      <w:r>
        <w:t xml:space="preserve"> </w:t>
      </w:r>
      <w:r>
        <w:rPr>
          <w:bCs/>
          <w:b/>
        </w:rPr>
        <w:t xml:space="preserve">piponiot_sizerelated_inreview?</w:t>
      </w:r>
      <w:r>
        <w:t xml:space="preserve">)</w:t>
      </w:r>
      <w:r>
        <w:t xml:space="preserve">.</w:t>
      </w:r>
    </w:p>
    <w:p>
      <w:pPr>
        <w:pStyle w:val="CaptionedFigure"/>
      </w:pPr>
      <w:r>
        <w:drawing>
          <wp:inline>
            <wp:extent cx="5334000" cy="7111999"/>
            <wp:effectExtent b="0" l="0" r="0" t="0"/>
            <wp:docPr descr="Figure 5. Vertical partitioning of (a) evapotranspiration and (b) C fluxes in tropical forests. Panel (a) is from Kunert et al. (2017); panel (b) presents averages for 42 tropical forests from (piponiot_sizerelated_inreview?)." title="" id="1" name="Picture"/>
            <a:graphic>
              <a:graphicData uri="http://schemas.openxmlformats.org/drawingml/2006/picture">
                <pic:pic>
                  <pic:nvPicPr>
                    <pic:cNvPr descr="schematics/ecosystem%20vertical%20partitioning/ecosystem%20partitioning.png" id="0" name="Picture"/>
                    <pic:cNvPicPr>
                      <a:picLocks noChangeArrowheads="1" noChangeAspect="1"/>
                    </pic:cNvPicPr>
                  </pic:nvPicPr>
                  <pic:blipFill>
                    <a:blip r:embed="rId48"/>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w:t>
      </w:r>
      <w:r>
        <w:t xml:space="preserve"> </w:t>
      </w:r>
      <w:r>
        <w:t xml:space="preserve">Kunert</w:t>
      </w:r>
      <w:r>
        <w:t xml:space="preserve"> </w:t>
      </w:r>
      <w:r>
        <w:rPr>
          <w:iCs/>
          <w:i/>
        </w:rPr>
        <w:t xml:space="preserve">et al.</w:t>
      </w:r>
      <w:r>
        <w:t xml:space="preserve"> </w:t>
      </w:r>
      <w:r>
        <w:t xml:space="preserve">(2017)</w:t>
      </w:r>
      <w:r>
        <w:t xml:space="preserve">; panel (b) presents averages for 42 tropical forests from</w:t>
      </w:r>
      <w:r>
        <w:t xml:space="preserve"> </w:t>
      </w:r>
      <w:r>
        <w:t xml:space="preserve">(</w:t>
      </w:r>
      <w:r>
        <w:rPr>
          <w:bCs/>
          <w:b/>
        </w:rPr>
        <w:t xml:space="preserve">piponiot_sizerelated_inreview?</w:t>
      </w:r>
      <w:r>
        <w:t xml:space="preserve">)</w:t>
      </w:r>
      <w:r>
        <w:t xml:space="preserve">.</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49"/>
    <w:bookmarkEnd w:id="50"/>
    <w:bookmarkStart w:id="51" w:name="implications"/>
    <w:p>
      <w:pPr>
        <w:pStyle w:val="Heading2"/>
      </w:pPr>
      <w:r>
        <w:t xml:space="preserve">Implications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51"/>
    <w:bookmarkStart w:id="54"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2"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w:t>
      </w:r>
      <w:r>
        <w:t xml:space="preserve"> </w:t>
      </w:r>
      <w:r>
        <w:t xml:space="preserve">(McDowell</w:t>
      </w:r>
      <w:r>
        <w:t xml:space="preserve"> </w:t>
      </w:r>
      <w:r>
        <w:rPr>
          <w:iCs/>
          <w:i/>
        </w:rPr>
        <w:t xml:space="preserve">et al.</w:t>
      </w:r>
      <w:r>
        <w:t xml:space="preserve">, 2020)</w:t>
      </w:r>
      <w:r>
        <w:t xml:space="preserve"> </w:t>
      </w:r>
      <w:r>
        <w:t xml:space="preserve">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52"/>
    <w:bookmarkStart w:id="53"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particularly in wetter environments with dense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3"/>
    <w:bookmarkEnd w:id="54"/>
    <w:bookmarkStart w:id="57" w:name="scaling-across-space-and-time"/>
    <w:p>
      <w:pPr>
        <w:pStyle w:val="Heading2"/>
      </w:pPr>
      <w:r>
        <w:t xml:space="preserve">Scaling across space and time</w:t>
      </w:r>
    </w:p>
    <w:bookmarkStart w:id="56"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6.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5"/>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6.</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6"/>
    <w:bookmarkEnd w:id="57"/>
    <w:bookmarkStart w:id="58"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8"/>
    <w:bookmarkStart w:id="59" w:name="acknowledgements"/>
    <w:p>
      <w:pPr>
        <w:pStyle w:val="Heading2"/>
      </w:pPr>
      <w:r>
        <w:t xml:space="preserve">Acknowledgements</w:t>
      </w:r>
    </w:p>
    <w:p>
      <w:pPr>
        <w:pStyle w:val="FirstParagraph"/>
      </w:pPr>
      <w:r>
        <w:t xml:space="preserve">Thanks to …., the ForestGEO Ecosystems &amp; Climate lab at SCBI for helpful discussion.</w:t>
      </w:r>
      <w:r>
        <w:t xml:space="preserve"> </w:t>
      </w:r>
      <w:r>
        <w:t xml:space="preserve">Funding was provided by the Smithsonian Institution, ….</w:t>
      </w:r>
    </w:p>
    <w:bookmarkEnd w:id="59"/>
    <w:bookmarkStart w:id="60"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Figure S1. Vertical gradients in micrometeorological conditions for all forested sites in the National Ecological Observatory Network (NEON)</w:t>
      </w:r>
    </w:p>
    <w:p>
      <w:r>
        <w:br w:type="page"/>
      </w:r>
    </w:p>
    <w:bookmarkEnd w:id="60"/>
    <w:bookmarkStart w:id="327" w:name="references"/>
    <w:p>
      <w:pPr>
        <w:pStyle w:val="Heading2"/>
      </w:pPr>
      <w:r>
        <w:t xml:space="preserve">References</w:t>
      </w:r>
    </w:p>
    <w:bookmarkStart w:id="326" w:name="refs"/>
    <w:bookmarkStart w:id="61"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61"/>
    <w:bookmarkStart w:id="62"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62"/>
    <w:bookmarkStart w:id="63"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3"/>
    <w:bookmarkStart w:id="64"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4"/>
    <w:bookmarkStart w:id="65"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5"/>
    <w:bookmarkStart w:id="66"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6"/>
    <w:bookmarkStart w:id="67"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7"/>
    <w:bookmarkStart w:id="68"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8"/>
    <w:bookmarkStart w:id="69"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69"/>
    <w:bookmarkStart w:id="70"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70"/>
    <w:bookmarkStart w:id="71"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71"/>
    <w:bookmarkStart w:id="72"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72"/>
    <w:bookmarkStart w:id="73"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3"/>
    <w:bookmarkStart w:id="74"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4"/>
    <w:bookmarkStart w:id="75"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5"/>
    <w:bookmarkStart w:id="76"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6"/>
    <w:bookmarkStart w:id="77"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7"/>
    <w:bookmarkStart w:id="78"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8"/>
    <w:bookmarkStart w:id="79"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79"/>
    <w:bookmarkStart w:id="80"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80"/>
    <w:bookmarkStart w:id="81"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81"/>
    <w:bookmarkStart w:id="82"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82"/>
    <w:bookmarkStart w:id="83"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3"/>
    <w:bookmarkStart w:id="84"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4"/>
    <w:bookmarkStart w:id="85"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5"/>
    <w:bookmarkStart w:id="86"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6"/>
    <w:bookmarkStart w:id="87"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7"/>
    <w:bookmarkStart w:id="88"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8"/>
    <w:bookmarkStart w:id="89"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89"/>
    <w:bookmarkStart w:id="90"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90"/>
    <w:bookmarkStart w:id="91"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91"/>
    <w:bookmarkStart w:id="92"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92"/>
    <w:bookmarkStart w:id="93"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3"/>
    <w:bookmarkStart w:id="94"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4"/>
    <w:bookmarkStart w:id="95" w:name="X0ae276aef0ee92157d54a4be9364ed93917d910"/>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44</w:t>
      </w:r>
      <w:r>
        <w:t xml:space="preserve">: 2879–2897.</w:t>
      </w:r>
    </w:p>
    <w:bookmarkEnd w:id="95"/>
    <w:bookmarkStart w:id="96"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6"/>
    <w:bookmarkStart w:id="97"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7"/>
    <w:bookmarkStart w:id="98"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8"/>
    <w:bookmarkStart w:id="99"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99"/>
    <w:bookmarkStart w:id="100"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100"/>
    <w:bookmarkStart w:id="101"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101"/>
    <w:bookmarkStart w:id="102"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102"/>
    <w:bookmarkStart w:id="103"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3"/>
    <w:bookmarkStart w:id="104"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4"/>
    <w:bookmarkStart w:id="105" w:name="ref-cobleLightDrivesVertical2014"/>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105"/>
    <w:bookmarkStart w:id="106"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6"/>
    <w:bookmarkStart w:id="107"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7"/>
    <w:bookmarkStart w:id="108"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8"/>
    <w:bookmarkStart w:id="109"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09"/>
    <w:bookmarkStart w:id="110"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10"/>
    <w:bookmarkStart w:id="111"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11"/>
    <w:bookmarkStart w:id="112"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12"/>
    <w:bookmarkStart w:id="113"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3"/>
    <w:bookmarkStart w:id="114"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4"/>
    <w:bookmarkStart w:id="115"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5"/>
    <w:bookmarkStart w:id="116"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6"/>
    <w:bookmarkStart w:id="117"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7"/>
    <w:bookmarkStart w:id="118"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8"/>
    <w:bookmarkStart w:id="119"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19"/>
    <w:bookmarkStart w:id="120"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20"/>
    <w:bookmarkStart w:id="121"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21"/>
    <w:bookmarkStart w:id="122"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22"/>
    <w:bookmarkStart w:id="123"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3"/>
    <w:bookmarkStart w:id="124"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4"/>
    <w:bookmarkStart w:id="125"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5"/>
    <w:bookmarkStart w:id="126"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6"/>
    <w:bookmarkStart w:id="127"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7"/>
    <w:bookmarkStart w:id="128"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8"/>
    <w:bookmarkStart w:id="129"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29"/>
    <w:bookmarkStart w:id="130"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30"/>
    <w:bookmarkStart w:id="131"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31"/>
    <w:bookmarkStart w:id="132"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32"/>
    <w:bookmarkStart w:id="133"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3"/>
    <w:bookmarkStart w:id="134"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4"/>
    <w:bookmarkStart w:id="135"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5"/>
    <w:bookmarkStart w:id="136"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6"/>
    <w:bookmarkStart w:id="137"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7"/>
    <w:bookmarkStart w:id="138"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8"/>
    <w:bookmarkStart w:id="139"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39"/>
    <w:bookmarkStart w:id="140"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40"/>
    <w:bookmarkStart w:id="141"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41"/>
    <w:bookmarkStart w:id="142"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42"/>
    <w:bookmarkStart w:id="143"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3"/>
    <w:bookmarkStart w:id="144"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4"/>
    <w:bookmarkStart w:id="145"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5"/>
    <w:bookmarkStart w:id="146"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6"/>
    <w:bookmarkStart w:id="147"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7"/>
    <w:bookmarkStart w:id="148"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8"/>
    <w:bookmarkStart w:id="149" w:name="ref-harrisChangesLeafProperties2013"/>
    <w:p>
      <w:pPr>
        <w:pStyle w:val="Bibliography"/>
      </w:pPr>
      <w:r>
        <w:rPr>
          <w:bCs/>
          <w:b/>
          <w:bCs/>
          <w:b/>
        </w:rPr>
        <w:t xml:space="preserve">Harris NL</w:t>
      </w:r>
      <w:r>
        <w:rPr>
          <w:bCs/>
          <w:b/>
        </w:rPr>
        <w:t xml:space="preserve">,</w:t>
      </w:r>
      <w:r>
        <w:rPr>
          <w:bCs/>
          <w:b/>
        </w:rPr>
        <w:t xml:space="preserve"> </w:t>
      </w:r>
      <w:r>
        <w:rPr>
          <w:bCs/>
          <w:b/>
          <w:bCs/>
          <w:b/>
        </w:rPr>
        <w:t xml:space="preserve">Medina E</w:t>
      </w:r>
      <w:r>
        <w:t xml:space="preserve">.</w:t>
      </w:r>
      <w:r>
        <w:t xml:space="preserve"> </w:t>
      </w:r>
      <w:r>
        <w:rPr>
          <w:bCs/>
          <w:b/>
        </w:rPr>
        <w:t xml:space="preserve">2013</w:t>
      </w:r>
      <w:r>
        <w:t xml:space="preserve">. Changes in leaf properties across an elevation gradient in the</w:t>
      </w:r>
      <w:r>
        <w:t xml:space="preserve"> </w:t>
      </w:r>
      <w:r>
        <w:t xml:space="preserve">Luquillo Mountains</w:t>
      </w:r>
      <w:r>
        <w:t xml:space="preserve">,</w:t>
      </w:r>
      <w:r>
        <w:t xml:space="preserve"> </w:t>
      </w:r>
      <w:r>
        <w:t xml:space="preserve">Puerto Rico</w:t>
      </w:r>
      <w:r>
        <w:t xml:space="preserve">.</w:t>
      </w:r>
      <w:r>
        <w:t xml:space="preserve"> </w:t>
      </w:r>
      <w:r>
        <w:rPr>
          <w:iCs/>
          <w:i/>
        </w:rPr>
        <w:t xml:space="preserve">Ecological Bulletins</w:t>
      </w:r>
      <w:r>
        <w:t xml:space="preserve">: 169–180.</w:t>
      </w:r>
    </w:p>
    <w:bookmarkEnd w:id="149"/>
    <w:bookmarkStart w:id="150"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50"/>
    <w:bookmarkStart w:id="151"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51"/>
    <w:bookmarkStart w:id="152"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52"/>
    <w:bookmarkStart w:id="153"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3"/>
    <w:bookmarkStart w:id="154"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4"/>
    <w:bookmarkStart w:id="155"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5"/>
    <w:bookmarkStart w:id="156"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6"/>
    <w:bookmarkStart w:id="157"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7"/>
    <w:bookmarkStart w:id="158"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8"/>
    <w:bookmarkStart w:id="159"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59"/>
    <w:bookmarkStart w:id="160"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60"/>
    <w:bookmarkStart w:id="161"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61"/>
    <w:bookmarkStart w:id="162"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62"/>
    <w:bookmarkStart w:id="163"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3"/>
    <w:bookmarkStart w:id="164"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4"/>
    <w:bookmarkStart w:id="165"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5"/>
    <w:bookmarkStart w:id="166"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6"/>
    <w:bookmarkStart w:id="167"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7"/>
    <w:bookmarkStart w:id="168"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8"/>
    <w:bookmarkStart w:id="169"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69"/>
    <w:bookmarkStart w:id="170"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70"/>
    <w:bookmarkStart w:id="171"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71"/>
    <w:bookmarkStart w:id="172"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72"/>
    <w:bookmarkStart w:id="173"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3"/>
    <w:bookmarkStart w:id="174"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4"/>
    <w:bookmarkStart w:id="175"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5"/>
    <w:bookmarkStart w:id="176"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6"/>
    <w:bookmarkStart w:id="177"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7"/>
    <w:bookmarkStart w:id="178"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8"/>
    <w:bookmarkStart w:id="179"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79"/>
    <w:bookmarkStart w:id="180"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80"/>
    <w:bookmarkStart w:id="181"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81"/>
    <w:bookmarkStart w:id="182"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82"/>
    <w:bookmarkStart w:id="183"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3"/>
    <w:bookmarkStart w:id="184"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4"/>
    <w:bookmarkStart w:id="185"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5"/>
    <w:bookmarkStart w:id="186"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6"/>
    <w:bookmarkStart w:id="187"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7"/>
    <w:bookmarkStart w:id="188"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8"/>
    <w:bookmarkStart w:id="189"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89"/>
    <w:bookmarkStart w:id="190"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90"/>
    <w:bookmarkStart w:id="191"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91"/>
    <w:bookmarkStart w:id="192"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92"/>
    <w:bookmarkStart w:id="193"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3"/>
    <w:bookmarkStart w:id="194"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4"/>
    <w:bookmarkStart w:id="195"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5"/>
    <w:bookmarkStart w:id="196" w:name="ref-mauTemperateTropicalForest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6"/>
    <w:bookmarkStart w:id="197"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7"/>
    <w:bookmarkStart w:id="198"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8"/>
    <w:bookmarkStart w:id="199"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199"/>
    <w:bookmarkStart w:id="200"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200"/>
    <w:bookmarkStart w:id="201"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201"/>
    <w:bookmarkStart w:id="202"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202"/>
    <w:bookmarkStart w:id="203"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3"/>
    <w:bookmarkStart w:id="204"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4"/>
    <w:bookmarkStart w:id="205"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5"/>
    <w:bookmarkStart w:id="206"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6"/>
    <w:bookmarkStart w:id="207"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7"/>
    <w:bookmarkStart w:id="208"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8"/>
    <w:bookmarkStart w:id="209"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09"/>
    <w:bookmarkStart w:id="210"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10"/>
    <w:bookmarkStart w:id="211"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11"/>
    <w:bookmarkStart w:id="212"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12"/>
    <w:bookmarkStart w:id="213"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3"/>
    <w:bookmarkStart w:id="214"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4"/>
    <w:bookmarkStart w:id="215"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5"/>
    <w:bookmarkStart w:id="216"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6"/>
    <w:bookmarkStart w:id="217"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7"/>
    <w:bookmarkStart w:id="218"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8"/>
    <w:bookmarkStart w:id="219"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19"/>
    <w:bookmarkStart w:id="220"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20"/>
    <w:bookmarkStart w:id="221" w:name="X2a62a2b24cf5d08d26d2b72f4f2d20064113475"/>
    <w:p>
      <w:pPr>
        <w:pStyle w:val="Bibliography"/>
      </w:pPr>
      <w:r>
        <w:rPr>
          <w:bCs/>
          <w:b/>
          <w:bCs/>
          <w:b/>
        </w:rPr>
        <w:t xml:space="preserve">Niinemets Ü</w:t>
      </w:r>
      <w:r>
        <w:t xml:space="preserve">.</w:t>
      </w:r>
      <w:r>
        <w:t xml:space="preserve"> </w:t>
      </w:r>
      <w:r>
        <w:rPr>
          <w:bCs/>
          <w:b/>
        </w:rPr>
        <w:t xml:space="preserve">2007b</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1"/>
    <w:bookmarkStart w:id="222" w:name="Xded14c93cfc3dc1d315ce5b7dc4cb9ced26a4c0"/>
    <w:p>
      <w:pPr>
        <w:pStyle w:val="Bibliography"/>
      </w:pPr>
      <w:r>
        <w:rPr>
          <w:bCs/>
          <w:b/>
          <w:bCs/>
          <w:b/>
        </w:rPr>
        <w:t xml:space="preserve">Niinemets Ü</w:t>
      </w:r>
      <w:r>
        <w:t xml:space="preserve">.</w:t>
      </w:r>
      <w:r>
        <w:t xml:space="preserve"> </w:t>
      </w:r>
      <w:r>
        <w:rPr>
          <w:bCs/>
          <w:b/>
        </w:rPr>
        <w:t xml:space="preserve">2007a</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2"/>
    <w:bookmarkStart w:id="223"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3"/>
    <w:bookmarkStart w:id="224"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4"/>
    <w:bookmarkStart w:id="225"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5"/>
    <w:bookmarkStart w:id="226"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6"/>
    <w:bookmarkStart w:id="227"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7"/>
    <w:bookmarkStart w:id="228"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8"/>
    <w:bookmarkStart w:id="229"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29"/>
    <w:bookmarkStart w:id="230"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30"/>
    <w:bookmarkStart w:id="231"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31"/>
    <w:bookmarkStart w:id="232"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32"/>
    <w:bookmarkStart w:id="233"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3"/>
    <w:bookmarkStart w:id="234"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4"/>
    <w:bookmarkStart w:id="235"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5"/>
    <w:bookmarkStart w:id="236"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6"/>
    <w:bookmarkStart w:id="237"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7"/>
    <w:bookmarkStart w:id="238"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8"/>
    <w:bookmarkStart w:id="239"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39"/>
    <w:bookmarkStart w:id="240"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40"/>
    <w:bookmarkStart w:id="241"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41"/>
    <w:bookmarkStart w:id="242"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42"/>
    <w:bookmarkStart w:id="243"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3"/>
    <w:bookmarkStart w:id="244"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4"/>
    <w:bookmarkStart w:id="245"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5"/>
    <w:bookmarkStart w:id="246"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6"/>
    <w:bookmarkStart w:id="247"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7"/>
    <w:bookmarkStart w:id="248"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8"/>
    <w:bookmarkStart w:id="249"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49"/>
    <w:bookmarkStart w:id="250"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50"/>
    <w:bookmarkStart w:id="251"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51"/>
    <w:bookmarkStart w:id="252"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52"/>
    <w:bookmarkStart w:id="253"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3"/>
    <w:bookmarkStart w:id="254" w:name="Xe0e43ce7993b886f38c347a0da76215159e5758"/>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1990b</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4"/>
    <w:bookmarkStart w:id="255"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1990a</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5"/>
    <w:bookmarkStart w:id="256"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6"/>
    <w:bookmarkStart w:id="257"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7"/>
    <w:bookmarkStart w:id="258"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8"/>
    <w:bookmarkStart w:id="259"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59"/>
    <w:bookmarkStart w:id="260"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60"/>
    <w:bookmarkStart w:id="261"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61"/>
    <w:bookmarkStart w:id="262"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62"/>
    <w:bookmarkStart w:id="263"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3"/>
    <w:bookmarkStart w:id="264"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4"/>
    <w:bookmarkStart w:id="265"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5"/>
    <w:bookmarkStart w:id="266"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6"/>
    <w:bookmarkStart w:id="267"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7"/>
    <w:bookmarkStart w:id="268"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8"/>
    <w:bookmarkStart w:id="269"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69"/>
    <w:bookmarkStart w:id="270"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70"/>
    <w:bookmarkStart w:id="271"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71"/>
    <w:bookmarkStart w:id="272"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2"/>
    <w:bookmarkStart w:id="273"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3"/>
    <w:bookmarkStart w:id="274"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4"/>
    <w:bookmarkStart w:id="275"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5"/>
    <w:bookmarkStart w:id="276" w:name="ref-slotPhotosyntheticHeatTolerance2019"/>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6"/>
    <w:bookmarkStart w:id="277"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7"/>
    <w:bookmarkStart w:id="278"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78"/>
    <w:bookmarkStart w:id="279"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79"/>
    <w:bookmarkStart w:id="280"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80"/>
    <w:bookmarkStart w:id="281"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81"/>
    <w:bookmarkStart w:id="282"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2"/>
    <w:bookmarkStart w:id="283"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3"/>
    <w:bookmarkStart w:id="284"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4"/>
    <w:bookmarkStart w:id="285"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5"/>
    <w:bookmarkStart w:id="286"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6"/>
    <w:bookmarkStart w:id="287"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7"/>
    <w:bookmarkStart w:id="288"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88"/>
    <w:bookmarkStart w:id="289"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89"/>
    <w:bookmarkStart w:id="290"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90"/>
    <w:bookmarkStart w:id="291"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91"/>
    <w:bookmarkStart w:id="292"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2"/>
    <w:bookmarkStart w:id="293"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3"/>
    <w:bookmarkStart w:id="294"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4"/>
    <w:bookmarkStart w:id="295"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5"/>
    <w:bookmarkStart w:id="296"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6"/>
    <w:bookmarkStart w:id="297"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7"/>
    <w:bookmarkStart w:id="298"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298"/>
    <w:bookmarkStart w:id="299"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299"/>
    <w:bookmarkStart w:id="300"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300"/>
    <w:bookmarkStart w:id="301"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301"/>
    <w:bookmarkStart w:id="302"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2"/>
    <w:bookmarkStart w:id="303"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3"/>
    <w:bookmarkStart w:id="304" w:name="X39daf62d0a69b2abbac01355652ed679db450f4"/>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304"/>
    <w:bookmarkStart w:id="305"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5"/>
    <w:bookmarkStart w:id="306"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6"/>
    <w:bookmarkStart w:id="307"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7"/>
    <w:bookmarkStart w:id="308"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08"/>
    <w:bookmarkStart w:id="309"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09"/>
    <w:bookmarkStart w:id="310"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10"/>
    <w:bookmarkStart w:id="311"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11"/>
    <w:bookmarkStart w:id="312"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2"/>
    <w:bookmarkStart w:id="313"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3"/>
    <w:bookmarkStart w:id="314"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4"/>
    <w:bookmarkStart w:id="315"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5"/>
    <w:bookmarkStart w:id="316"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6"/>
    <w:bookmarkStart w:id="317"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7"/>
    <w:bookmarkStart w:id="318"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18"/>
    <w:bookmarkStart w:id="319"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19"/>
    <w:bookmarkStart w:id="320"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20"/>
    <w:bookmarkStart w:id="321"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21"/>
    <w:bookmarkStart w:id="322"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2"/>
    <w:bookmarkStart w:id="323"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3"/>
    <w:bookmarkStart w:id="324"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4"/>
    <w:bookmarkStart w:id="325"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5"/>
    <w:bookmarkEnd w:id="326"/>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2021-09-03T19:23:56Z</dcterms:created>
  <dcterms:modified xsi:type="dcterms:W3CDTF">2021-09-03T19:23:56Z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