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9.png" ContentType="image/png"/>
  <Override PartName="/word/media/rId56.png" ContentType="image/png"/>
  <Override PartName="/word/media/rId30.png" ContentType="image/png"/>
  <Override PartName="/word/media/rId31.png" ContentType="image/png"/>
  <Override PartName="/word/media/rId32.png" ContentType="image/png"/>
  <Override PartName="/word/media/rId39.png" ContentType="image/png"/>
  <Override PartName="/word/media/rId40.png" ContentType="image/png"/>
  <Override PartName="/word/media/rId4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rPr>
                <m:sty m:val="p"/>
              </m:rP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w:t>
      </w:r>
      <w:r>
        <w:t xml:space="preserve">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(McDowell</w:t>
      </w:r>
      <w:r>
        <w:t xml:space="preserve"> </w:t>
      </w:r>
      <w:r>
        <w:rPr>
          <w:iCs/>
          <w:i/>
        </w:rPr>
        <w:t xml:space="preserve">et al.</w:t>
      </w:r>
      <w:r>
        <w:t xml:space="preserve">, 2020; Breshears</w:t>
      </w:r>
      <w:r>
        <w:t xml:space="preserve"> </w:t>
      </w:r>
      <w:r>
        <w:rPr>
          <w:iCs/>
          <w:i/>
        </w:rPr>
        <w:t xml:space="preserve">et al.</w:t>
      </w:r>
      <w:r>
        <w:t xml:space="preserve">, 2021)</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w:t>
      </w:r>
      <w:r>
        <w:rPr>
          <w:bCs/>
          <w:b/>
        </w:rPr>
        <w:t xml:space="preserve">Anderson-TeixeiraJointEffectsClimate2021?</w:t>
      </w:r>
      <w:r>
        <w:t xml:space="preserve">)</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Cs/>
          <w:i/>
        </w:rPr>
        <w:t xml:space="preserve">et al.</w:t>
      </w:r>
      <w:r>
        <w:t xml:space="preserve">, 2019a; Zellweger</w:t>
      </w:r>
      <w:r>
        <w:t xml:space="preserve"> </w:t>
      </w:r>
      <w:r>
        <w:rPr>
          <w:iCs/>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w:t>
      </w:r>
      <m:oMath>
        <m:sSub>
          <m:e>
            <m:r>
              <m:t>T</m:t>
            </m:r>
          </m:e>
          <m:sub>
            <m:r>
              <m:t>l</m:t>
            </m:r>
            <m:r>
              <m:t>e</m:t>
            </m:r>
            <m:r>
              <m:t>a</m:t>
            </m:r>
            <m:r>
              <m:t>f</m:t>
            </m:r>
          </m:sub>
        </m:sSub>
      </m:oMath>
      <w:r>
        <w:rPr>
          <w:bCs/>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9"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 (NEON; Fig. 2, Supporting Information Methods S1, Supporting Information Figure S1).</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in the National Ecological Observatory Network (NEON).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 T_{air}, and (h) maximum biological temperature, T_{bio}.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in the National Ecological Observatory Network (NEON)</w:t>
      </w:r>
      <w:r>
        <w:t xml:space="preserve">.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w:t>
      </w:r>
    </w:p>
    <w:p>
      <w:pPr>
        <w:pStyle w:val="BodyText"/>
      </w:pPr>
      <w: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Leaf area density (LAD;</w:t>
      </w:r>
      <w:r>
        <w:t xml:space="preserve"> </w:t>
      </w:r>
      <w:r>
        <w:rPr>
          <w:iCs/>
          <w:i/>
        </w:rPr>
        <w:t xml:space="preserve">i.e.</w:t>
      </w:r>
      <w:r>
        <w:t xml:space="preserve">, leaf area per unit volume) patterns along the vertical gradient are heterogeneous across forests (Fig. 2a-b, Supporting Information Figure S1).</w:t>
      </w:r>
      <w:r>
        <w:t xml:space="preserve"> </w:t>
      </w:r>
      <w:r>
        <w:t xml:space="preserve">Tropical and temperate forests with dense canopies dominated by broadleaf trees generally have highest LAD in the upper canopy layers, but understory LAD is often relatively high in the understory as well, sometimes with undulating patterns</w:t>
      </w:r>
      <w:r>
        <w:t xml:space="preserve"> </w:t>
      </w:r>
      <w:r>
        <w:t xml:space="preserve">(e.g., SCBI, SERC and HARV, Fig. 2a, Ashton &amp; Hall, 1992; Koike &amp; Syahbuddin, 1993)</w:t>
      </w:r>
      <w:r>
        <w:t xml:space="preserve"> </w:t>
      </w:r>
      <w:r>
        <w:rPr>
          <w:iCs/>
          <w:i/>
        </w:rPr>
        <w:t xml:space="preserve">(Terborgh, 1985; Parker</w:t>
      </w:r>
      <w:r>
        <w:rPr>
          <w:iCs/>
          <w:i/>
        </w:rPr>
        <w:t xml:space="preserve"> </w:t>
      </w:r>
      <w:r>
        <w:rPr>
          <w:iCs/>
          <w:i/>
          <w:iCs/>
          <w:i/>
        </w:rPr>
        <w:t xml:space="preserve">et al.</w:t>
      </w:r>
      <w:r>
        <w:rPr>
          <w:iCs/>
          <w:i/>
        </w:rPr>
        <w:t xml:space="preserve">, 1989, 2002; Ishii</w:t>
      </w:r>
      <w:r>
        <w:rPr>
          <w:iCs/>
          <w:i/>
        </w:rPr>
        <w:t xml:space="preserve"> </w:t>
      </w:r>
      <w:r>
        <w:rPr>
          <w:iCs/>
          <w:i/>
          <w:iCs/>
          <w:i/>
        </w:rPr>
        <w:t xml:space="preserve">et al.</w:t>
      </w:r>
      <w:r>
        <w:rPr>
          <w:iCs/>
          <w:i/>
        </w:rP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(e.g., Bonan, 2016;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t xml:space="preserve"> </w:t>
      </w:r>
      <w:r>
        <w:t xml:space="preserve">(Fig. 2a-d, Supporting Information Figure S1, Koike</w:t>
      </w:r>
      <w:r>
        <w:t xml:space="preserve"> </w:t>
      </w:r>
      <w:r>
        <w:rPr>
          <w:iCs/>
          <w:i/>
        </w:rPr>
        <w:t xml:space="preserve">et al.</w:t>
      </w:r>
      <w:r>
        <w:t xml:space="preserve">, 2001)</w:t>
      </w:r>
      <w: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(e.g., OSBS, PUUM, and WREF, Fig. 2d, Supporting Information Figure S1, Chazdon &amp; Fetcher, 1984; Baldocchi</w:t>
      </w:r>
      <w:r>
        <w:t xml:space="preserve"> </w:t>
      </w:r>
      <w:r>
        <w:rPr>
          <w:iCs/>
          <w:i/>
        </w:rPr>
        <w:t xml:space="preserve">et al.</w:t>
      </w:r>
      <w:r>
        <w:t xml:space="preserve">, 1997;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r>
        <w:t xml:space="preserve"> </w:t>
      </w:r>
      <w:r>
        <w:t xml:space="preserve">The implication of this light gradient is that upper canopy leaves have higher potential photosynthetic rate (see section</w:t>
      </w:r>
      <w:r>
        <w:t xml:space="preserve"> </w:t>
      </w:r>
      <w:r>
        <w:t xml:space="preserve">“</w:t>
      </w:r>
      <w:r>
        <w:t xml:space="preserve">Leaf metabolism and thermal responses</w:t>
      </w:r>
      <w:r>
        <w:t xml:space="preserve">”</w:t>
      </w:r>
      <w:r>
        <w:t xml:space="preserve">), but also greater propensity towards elevated</w:t>
      </w:r>
      <w:r>
        <w:t xml:space="preserve"> </w:t>
      </w:r>
      <m:oMath>
        <m:sSub>
          <m:e>
            <m:r>
              <m:t>T</m:t>
            </m:r>
          </m:e>
          <m:sub>
            <m:r>
              <m:t>l</m:t>
            </m:r>
            <m:r>
              <m:t>e</m:t>
            </m:r>
            <m:r>
              <m:t>a</m:t>
            </m:r>
            <m:r>
              <m:t>f</m:t>
            </m:r>
          </m:sub>
        </m:sSub>
      </m:oMath>
      <w:r>
        <w:t xml:space="preserve"> </w:t>
      </w:r>
      <w:r>
        <w:t xml:space="preserve">(see section</w:t>
      </w:r>
      <w:r>
        <w:t xml:space="preserve"> </w:t>
      </w:r>
      <w:r>
        <w:t xml:space="preserve">“</w:t>
      </w:r>
      <w:r>
        <w:t xml:space="preserve">Leaf temperature</w:t>
      </w:r>
      <w:r>
        <w:t xml:space="preserve">”</w:t>
      </w:r>
      <w:r>
        <w:t xml:space="preserve">).</w:t>
      </w:r>
    </w:p>
    <w:p>
      <w:pPr>
        <w:pStyle w:val="BodyText"/>
      </w:pPr>
      <w:r>
        <w:t xml:space="preserve">Wind speeds are also higher at the top of the canopy, owing to the buffering effect of the canopy</w:t>
      </w:r>
      <w:r>
        <w:t xml:space="preserve"> </w:t>
      </w:r>
      <w:r>
        <w:t xml:space="preserve">(Jucker</w:t>
      </w:r>
      <w:r>
        <w:t xml:space="preserve"> </w:t>
      </w:r>
      <w:r>
        <w:rPr>
          <w:iCs/>
          <w:i/>
        </w:rPr>
        <w:t xml:space="preserve">et al.</w:t>
      </w:r>
      <w:r>
        <w:t xml:space="preserve">, 2018)</w:t>
      </w:r>
      <w:r>
        <w:t xml:space="preserve">.</w:t>
      </w:r>
      <w:r>
        <w:t xml:space="preserve"> </w:t>
      </w:r>
      <w:r>
        <w:t xml:space="preserve">This holds true across the range of forest types</w:t>
      </w:r>
      <w:r>
        <w:t xml:space="preserve"> </w:t>
      </w:r>
      <w:r>
        <w:t xml:space="preserve">(Fig. 2e, Supporting Information Figure S1, Barnard &amp; Bauerle, 2016; Hanberry</w:t>
      </w:r>
      <w:r>
        <w:t xml:space="preserve"> </w:t>
      </w:r>
      <w:r>
        <w:rPr>
          <w:iCs/>
          <w:i/>
        </w:rPr>
        <w:t xml:space="preserve">et al.</w:t>
      </w:r>
      <w:r>
        <w:t xml:space="preserve">, 2018, 2020; Jucker</w:t>
      </w:r>
      <w:r>
        <w:t xml:space="preserve"> </w:t>
      </w:r>
      <w:r>
        <w:rPr>
          <w:iCs/>
          <w:i/>
        </w:rPr>
        <w:t xml:space="preserve">et al.</w:t>
      </w:r>
      <w:r>
        <w:t xml:space="preserve">, 2018; McGregor</w:t>
      </w:r>
      <w:r>
        <w:t xml:space="preserve"> </w:t>
      </w:r>
      <w:r>
        <w:rPr>
          <w:iCs/>
          <w:i/>
        </w:rPr>
        <w:t xml:space="preserve">et al.</w:t>
      </w:r>
      <w:r>
        <w:t xml:space="preserve">, 2021; Muller</w:t>
      </w:r>
      <w:r>
        <w:t xml:space="preserve"> </w:t>
      </w:r>
      <w:r>
        <w:rPr>
          <w:iCs/>
          <w:i/>
        </w:rPr>
        <w:t xml:space="preserve">et al.</w:t>
      </w:r>
      <w:r>
        <w:t xml:space="preserve">, 2021)</w:t>
      </w:r>
      <w:r>
        <w:t xml:space="preserve"> </w:t>
      </w:r>
      <w:r>
        <w:t xml:space="preserve">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t xml:space="preserve">Atmospheric concentrations of carbon dioxide (CO</w:t>
      </w:r>
      <w:r>
        <w:rPr>
          <w:vertAlign w:val="subscript"/>
        </w:rPr>
        <w:t xml:space="preserve">2</w:t>
      </w:r>
      <w: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(Fig. 2f, Supporting Information Figure S1, e.g., Jucker</w:t>
      </w:r>
      <w:r>
        <w:t xml:space="preserve"> </w:t>
      </w:r>
      <w:r>
        <w:rPr>
          <w:iCs/>
          <w:i/>
        </w:rPr>
        <w:t xml:space="preserve">et al.</w:t>
      </w:r>
      <w:r>
        <w:t xml:space="preserve">, 2018;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r>
        <w:t xml:space="preserve"> </w:t>
      </w:r>
      <w:r>
        <w:t xml:space="preserve">The implication is that canopy leaves face higher</w:t>
      </w:r>
      <w:r>
        <w:t xml:space="preserve"> </w:t>
      </w:r>
      <m:oMath>
        <m:sSub>
          <m:e>
            <m:r>
              <m:t>g</m:t>
            </m:r>
          </m:e>
          <m:sub>
            <m:r>
              <m:t>b</m:t>
            </m:r>
          </m:sub>
        </m:sSub>
      </m:oMath>
      <w:r>
        <w:t xml:space="preserve"> </w:t>
      </w:r>
      <w:r>
        <w:t xml:space="preserve">and associated potential for water and heat loss (see section</w:t>
      </w:r>
      <w:r>
        <w:t xml:space="preserve"> </w:t>
      </w:r>
      <w:r>
        <w:t xml:space="preserve">“</w:t>
      </w:r>
      <w:r>
        <w:t xml:space="preserve">Leaf temperature</w:t>
      </w:r>
      <w:r>
        <w:t xml:space="preserve">”</w:t>
      </w:r>
      <w:r>
        <w:t xml:space="preserve">).</w:t>
      </w:r>
    </w:p>
    <w:p>
      <w:pPr>
        <w:pStyle w:val="BodyText"/>
      </w:pPr>
      <w:r>
        <w:t xml:space="preserve">Air temperature (</w:t>
      </w:r>
      <m:oMath>
        <m:sSub>
          <m:e>
            <m:r>
              <m:t>T</m:t>
            </m:r>
          </m:e>
          <m:sub>
            <m:r>
              <m:t>a</m:t>
            </m:r>
            <m:r>
              <m:t>i</m:t>
            </m:r>
            <m:r>
              <m:t>r</m:t>
            </m:r>
          </m:sub>
        </m:sSub>
      </m:oMath>
      <w: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(e.g., OSBS, Fig. 2g, Supporting Information Figure S1b, 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Banerjee</w:t>
      </w:r>
      <w:r>
        <w:t xml:space="preserve"> </w:t>
      </w:r>
      <w:r>
        <w:rPr>
          <w:iCs/>
          <w:i/>
        </w:rPr>
        <w:t xml:space="preserve">et al.</w:t>
      </w:r>
      <w:r>
        <w:t xml:space="preserve">, 2017; Curtis</w:t>
      </w:r>
      <w:r>
        <w:t xml:space="preserve"> </w:t>
      </w:r>
      <w:r>
        <w:rPr>
          <w:iCs/>
          <w:i/>
        </w:rPr>
        <w:t xml:space="preserve">et al.</w:t>
      </w:r>
      <w:r>
        <w:t xml:space="preserve">, 2019)</w:t>
      </w:r>
      <w:r>
        <w:t xml:space="preserve">.</w:t>
      </w:r>
      <w:r>
        <w:t xml:space="preserve"> </w:t>
      </w:r>
      <w:r>
        <w:t xml:space="preserve">These usually-modest gradients in</w:t>
      </w:r>
      <w:r>
        <w:t xml:space="preserve"> </w:t>
      </w:r>
      <m:oMath>
        <m:sSub>
          <m:e>
            <m:r>
              <m:t>T</m:t>
            </m:r>
          </m:e>
          <m:sub>
            <m:r>
              <m:t>a</m:t>
            </m:r>
            <m:r>
              <m:t>i</m:t>
            </m:r>
            <m:r>
              <m:t>r</m:t>
            </m:r>
          </m:sub>
        </m:sSub>
      </m:oMath>
      <w:r>
        <w:t xml:space="preserve"> </w:t>
      </w:r>
      <w:r>
        <w:t xml:space="preserve">combine with the above-described gradients in other biophysical conditions to shape</w:t>
      </w:r>
      <w:r>
        <w:t xml:space="preserve"> </w:t>
      </w:r>
      <m:oMath>
        <m:sSub>
          <m:e>
            <m:r>
              <m:t>T</m:t>
            </m:r>
          </m:e>
          <m:sub>
            <m:r>
              <m:t>l</m:t>
            </m:r>
            <m:r>
              <m:t>e</m:t>
            </m:r>
            <m:r>
              <m:t>a</m:t>
            </m:r>
            <m:r>
              <m:t>f</m:t>
            </m:r>
          </m:sub>
        </m:sSub>
      </m:oMath>
      <w:r>
        <w:t xml:space="preserve">.</w:t>
      </w:r>
    </w:p>
    <w:bookmarkEnd w:id="25"/>
    <w:bookmarkStart w:id="29" w:name="leaf-temperature"/>
    <w:p>
      <w:pPr>
        <w:pStyle w:val="Heading2"/>
      </w:pPr>
      <w:r>
        <w:t xml:space="preserve">Leaf temperature</w:t>
      </w:r>
    </w:p>
    <w:p>
      <w:pPr>
        <w:pStyle w:val="FirstParagraph"/>
      </w:pPr>
      <m:oMath>
        <m:sSub>
          <m:e>
            <m:r>
              <m:t>T</m:t>
            </m:r>
          </m:e>
          <m:sub>
            <m:r>
              <m:t>l</m:t>
            </m:r>
            <m:r>
              <m:t>e</m:t>
            </m:r>
            <m:r>
              <m:t>a</m:t>
            </m:r>
            <m:r>
              <m:t>f</m:t>
            </m:r>
          </m:sub>
        </m:sSub>
      </m:oMath>
      <w:r>
        <w:t xml:space="preserve"> </w:t>
      </w:r>
      <w:r>
        <w:t xml:space="preserve">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w:t>
      </w:r>
      <w:r>
        <w:t xml:space="preserve"> </w:t>
      </w:r>
      <w:r>
        <w:t xml:space="preserve">“</w:t>
      </w:r>
      <w:r>
        <w:t xml:space="preserve">Leaf traits</w:t>
      </w:r>
      <w:r>
        <w:t xml:space="preserve">”</w:t>
      </w:r>
      <w:r>
        <w:t xml:space="preserve"> </w:t>
      </w:r>
      <w:r>
        <w:t xml:space="preserve">and</w:t>
      </w:r>
      <w:r>
        <w:t xml:space="preserve"> </w:t>
      </w:r>
      <w:r>
        <w:t xml:space="preserve">“</w:t>
      </w:r>
      <w:r>
        <w:t xml:space="preserve">Leaf metabolism and thermal responses</w:t>
      </w:r>
      <w:r>
        <w:t xml:space="preserve">”</w:t>
      </w:r>
      <w:r>
        <w:t xml:space="preserve">)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under some daytime conditions (cloudy skies, high windspeeds, and high</w:t>
      </w:r>
      <w:r>
        <w:t xml:space="preserve"> </w:t>
      </w:r>
      <m:oMath>
        <m:sSub>
          <m:e>
            <m:r>
              <m:t>T</m:t>
            </m:r>
          </m:e>
          <m:sub>
            <m:r>
              <m:t>a</m:t>
            </m:r>
            <m:r>
              <m:t>i</m:t>
            </m:r>
            <m:r>
              <m:t>r</m:t>
            </m:r>
          </m:sub>
        </m:sSub>
      </m:oMath>
      <w:r>
        <w:t xml:space="preserve">).</w:t>
      </w:r>
      <w:r>
        <w:t xml:space="preserve"> </w:t>
      </w:r>
      <w:r>
        <w:t xml:space="preserve">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t xml:space="preserve">Fundamentally,</w:t>
      </w:r>
      <w:r>
        <w:t xml:space="preserve"> </w:t>
      </w:r>
      <m:oMath>
        <m:sSub>
          <m:e>
            <m:r>
              <m:t>T</m:t>
            </m:r>
          </m:e>
          <m:sub>
            <m:r>
              <m:t>l</m:t>
            </m:r>
            <m:r>
              <m:t>e</m:t>
            </m:r>
            <m:r>
              <m:t>a</m:t>
            </m:r>
            <m:r>
              <m:t>f</m:t>
            </m:r>
          </m:sub>
        </m:sSub>
      </m:oMath>
      <w:r>
        <w:t xml:space="preserve"> </w:t>
      </w:r>
      <w:r>
        <w:t xml:space="preserve">is determined by the energy balance of a leaf and can be estimated based on biophysical principles, where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is a function of energy input from net radiation (</w:t>
      </w:r>
      <m:oMath>
        <m:sSub>
          <m:e>
            <m:r>
              <m:t>R</m:t>
            </m:r>
          </m:e>
          <m:sub>
            <m:r>
              <m:t>n</m:t>
            </m:r>
          </m:sub>
        </m:sSub>
      </m:oMath>
      <w:r>
        <w:t xml:space="preserve">, including shortwave and longwave) minus heat lost to the environment</w:t>
      </w:r>
      <w:r>
        <w:t xml:space="preserve"> </w:t>
      </w:r>
      <w:r>
        <w:t xml:space="preserve">(Fig. 3, Campbell &amp; Norman, 1998; Muir, 2019)</w:t>
      </w:r>
      <w: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w:t>
      </w:r>
      <w:r>
        <w:t xml:space="preserve"> </w:t>
      </w:r>
      <w:r>
        <w:t xml:space="preserve">Sensible heat flux between leaf and air is regulated by leaf boundary layer conductance, which is greater in smaller leaves (Fig. 3d) and higher wind speeds (Fig. 3b).</w:t>
      </w:r>
      <w:r>
        <w:t xml:space="preserve"> </w:t>
      </w:r>
      <w:r>
        <w:t xml:space="preserve">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where</w:t>
      </w:r>
      <w:r>
        <w:t xml:space="preserve"> </w:t>
      </w:r>
      <m:oMath>
        <m:sSub>
          <m:e>
            <m:r>
              <m:t>g</m:t>
            </m:r>
          </m:e>
          <m:sub>
            <m:r>
              <m:t>b</m:t>
            </m:r>
          </m:sub>
        </m:sSub>
      </m:oMath>
      <w:r>
        <w:t xml:space="preserve"> </w:t>
      </w:r>
      <w:r>
        <w:t xml:space="preserve">increases with wind speed and</w:t>
      </w:r>
      <w:r>
        <w:t xml:space="preserve"> </w:t>
      </w:r>
      <m:oMath>
        <m:sSub>
          <m:e>
            <m:r>
              <m:t>g</m:t>
            </m:r>
          </m:e>
          <m:sub>
            <m:r>
              <m:t>s</m:t>
            </m:r>
          </m:sub>
        </m:sSub>
      </m:oMath>
      <w:r>
        <w:t xml:space="preserve"> </w:t>
      </w:r>
      <w:r>
        <w:t xml:space="preserve">can decline at high VPD due to stomatal closure.</w:t>
      </w:r>
      <w:r>
        <w:t xml:space="preserve"> </w:t>
      </w:r>
      <w:r>
        <w:t xml:space="preserve">Therefore,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 wind speed</w:t>
      </w:r>
      <w:r>
        <w:t xml:space="preserve"> </w:t>
      </w:r>
      <w:r>
        <w:t xml:space="preserve">(Fig. 3b, Daudet</w:t>
      </w:r>
      <w:r>
        <w:t xml:space="preserve"> </w:t>
      </w:r>
      <w:r>
        <w:rPr>
          <w:iCs/>
          <w:i/>
        </w:rPr>
        <w:t xml:space="preserve">et al.</w:t>
      </w:r>
      <w:r>
        <w:t xml:space="preserve">, 1999)</w:t>
      </w:r>
      <w:r>
        <w:t xml:space="preserve">, increases with RH (Fig. 3c), increases with leaf size (Fig. 3d), and decreases with</w:t>
      </w:r>
      <w:r>
        <w:t xml:space="preserve"> </w:t>
      </w:r>
      <m:oMath>
        <m:sSub>
          <m:e>
            <m:r>
              <m:t>g</m:t>
            </m:r>
          </m:e>
          <m:sub>
            <m:r>
              <m:t>s</m:t>
            </m:r>
          </m:sub>
        </m:sSub>
      </m:oMath>
      <w:r>
        <w:t xml:space="preserve"> </w:t>
      </w:r>
      <w:r>
        <w:t xml:space="preserve">(Fig. 3e).</w:t>
      </w:r>
    </w:p>
    <w:p>
      <w:pPr>
        <w:pStyle w:val="CaptionedFigure"/>
      </w:pPr>
      <w:r>
        <w:drawing>
          <wp:inline>
            <wp:extent cx="5334000" cy="2773051"/>
            <wp:effectExtent b="0" l="0" r="0" t="0"/>
            <wp:docPr descr="Figure 3. Theoretical expectations for variation in the difference between leaf and air temperatures,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under both normal and drought conditions, as detailed in Supplementary Information Methods S2. In each scenario, an the independent variable was allowed to vary while other parameters were held constant at the values given in the table of biophysical constants. swr = short wave radiation (W/m2); ws = windspeed (m/s); rh= relative humidity; lw = leaf width (cm); gs = stomatal conductance (mmol m2/s)."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 the difference between leaf and air temperatures,</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in response to (a) shortwave radiation, (b) wind speed, (c) relative humidity, (d) leaf width, and (e) stomatal conductance.</w:t>
      </w:r>
      <w:r>
        <w:t xml:space="preserve"> </w:t>
      </w:r>
      <w:r>
        <w:t xml:space="preserve">Leaf temperatures were modeled using the</w:t>
      </w:r>
      <w:r>
        <w:t xml:space="preserve"> </w:t>
      </w:r>
      <w:r>
        <w:rPr>
          <w:iCs/>
          <w:i/>
        </w:rPr>
        <w:t xml:space="preserve">tealeaves</w:t>
      </w:r>
      <w:r>
        <w:t xml:space="preserve"> </w:t>
      </w:r>
      <w:r>
        <w:t xml:space="preserve">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under both normal and drought conditions, as detailed in Supplementary Information Methods S2. In each scenario, an the independent variable was allowed to vary while other parameters were held constant at the values given in the table of biophysical constants. swr = short wave radiation (W/m</w:t>
      </w:r>
      <w:r>
        <w:rPr>
          <w:vertAlign w:val="superscript"/>
        </w:rPr>
        <w:t xml:space="preserve">2</w:t>
      </w:r>
      <w:r>
        <w:t xml:space="preserve">); ws = windspeed (m/s); rh= relative humidity; lw = leaf width (cm); gs = stomatal conductance (mmol m</w:t>
      </w:r>
      <w:r>
        <w:rPr>
          <w:vertAlign w:val="superscript"/>
        </w:rPr>
        <w:t xml:space="preserve">2</w:t>
      </w:r>
      <w:r>
        <w:t xml:space="preserve">/s).</w:t>
      </w:r>
    </w:p>
    <w:p>
      <w:pPr>
        <w:pStyle w:val="BodyText"/>
      </w:pPr>
      <w:r>
        <w:t xml:space="preserve">Under hot and dry conditions, leaves face a trade-off between</w:t>
      </w:r>
      <w:r>
        <w:t xml:space="preserve"> </w:t>
      </w:r>
      <m:oMath>
        <m:sSub>
          <m:e>
            <m:r>
              <m:t>T</m:t>
            </m:r>
          </m:e>
          <m:sub>
            <m:r>
              <m:t>l</m:t>
            </m:r>
            <m:r>
              <m:t>e</m:t>
            </m:r>
            <m:r>
              <m:t>a</m:t>
            </m:r>
            <m:r>
              <m:t>f</m:t>
            </m:r>
          </m:sub>
        </m:sSub>
      </m:oMath>
      <w:r>
        <w:t xml:space="preserve"> </w:t>
      </w:r>
      <w:r>
        <w:t xml:space="preserve">regulation and water conservation</w:t>
      </w:r>
      <w:r>
        <w:t xml:space="preserve"> </w:t>
      </w:r>
      <w:r>
        <w:t xml:space="preserve">(Koch</w:t>
      </w:r>
      <w:r>
        <w:t xml:space="preserve"> </w:t>
      </w:r>
      <w:r>
        <w:rPr>
          <w:iCs/>
          <w:i/>
        </w:rPr>
        <w:t xml:space="preserve">et al.</w:t>
      </w:r>
      <w:r>
        <w:t xml:space="preserve">, 1994; Fauset</w:t>
      </w:r>
      <w:r>
        <w:t xml:space="preserve"> </w:t>
      </w:r>
      <w:r>
        <w:rPr>
          <w:iCs/>
          <w:i/>
        </w:rPr>
        <w:t xml:space="preserve">et al.</w:t>
      </w:r>
      <w:r>
        <w:t xml:space="preserve">, 2018)</w:t>
      </w:r>
      <w:r>
        <w:t xml:space="preserve">.</w:t>
      </w:r>
      <w:r>
        <w:t xml:space="preserve"> </w:t>
      </w:r>
      <w:r>
        <w:t xml:space="preserve">With adequate water, high</w:t>
      </w:r>
      <w:r>
        <w:t xml:space="preserve"> </w:t>
      </w:r>
      <m:oMath>
        <m:r>
          <m:t>λ</m:t>
        </m:r>
        <m:r>
          <m:t>E</m:t>
        </m:r>
      </m:oMath>
      <w:r>
        <w:t xml:space="preserve"> </w:t>
      </w:r>
      <w:r>
        <w:t xml:space="preserve">can facilitate heat dissipation, particularly for leaves with smaller size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However, when leaf water demand (influenced by VPD and stomatal opening) exceeds the rate of supply, conservation of water (</w:t>
      </w:r>
      <m:oMath>
        <m:sSub>
          <m:e>
            <m:r>
              <m:t>g</m:t>
            </m:r>
          </m:e>
          <m:sub>
            <m:r>
              <m:t>s</m:t>
            </m:r>
          </m:sub>
        </m:sSub>
      </m:oMath>
      <w:r>
        <w:t xml:space="preserve"> </w:t>
      </w:r>
      <w:r>
        <w:t xml:space="preserve">- 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 </w:t>
      </w:r>
      <w:r>
        <w:t xml:space="preserve">- 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8"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6"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487297"/>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487297"/>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059448"/>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059448"/>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1637862"/>
            <wp:effectExtent b="0" l="0" r="0" t="0"/>
            <wp:docPr descr="" title="" id="1" name="Picture"/>
            <a:graphic>
              <a:graphicData uri="http://schemas.openxmlformats.org/drawingml/2006/picture">
                <pic:pic>
                  <pic:nvPicPr>
                    <pic:cNvPr descr="table1c.png" id="0" name="Picture"/>
                    <pic:cNvPicPr>
                      <a:picLocks noChangeArrowheads="1" noChangeAspect="1"/>
                    </pic:cNvPicPr>
                  </pic:nvPicPr>
                  <pic:blipFill>
                    <a:blip r:embed="rId32"/>
                    <a:stretch>
                      <a:fillRect/>
                    </a:stretch>
                  </pic:blipFill>
                  <pic:spPr bwMode="auto">
                    <a:xfrm>
                      <a:off x="0" y="0"/>
                      <a:ext cx="5334000" cy="1637862"/>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 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 47. Zwieniecki et al. 2004; 48. Sack and Scoffoni, 2013; 49. Ball et al., 1988</w:t>
      </w:r>
    </w:p>
    <w:bookmarkStart w:id="33"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3"/>
    <w:bookmarkStart w:id="34"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4"/>
    <w:bookmarkStart w:id="35"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5"/>
    <w:bookmarkEnd w:id="36"/>
    <w:bookmarkStart w:id="37"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7"/>
    <w:bookmarkEnd w:id="38"/>
    <w:bookmarkStart w:id="46"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926791"/>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9"/>
                    <a:stretch>
                      <a:fillRect/>
                    </a:stretch>
                  </pic:blipFill>
                  <pic:spPr bwMode="auto">
                    <a:xfrm>
                      <a:off x="0" y="0"/>
                      <a:ext cx="5334000" cy="6926791"/>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013564"/>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40"/>
                    <a:stretch>
                      <a:fillRect/>
                    </a:stretch>
                  </pic:blipFill>
                  <pic:spPr bwMode="auto">
                    <a:xfrm>
                      <a:off x="0" y="0"/>
                      <a:ext cx="5334000" cy="7013564"/>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765073"/>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1"/>
                    <a:stretch>
                      <a:fillRect/>
                    </a:stretch>
                  </pic:blipFill>
                  <pic:spPr bwMode="auto">
                    <a:xfrm>
                      <a:off x="0" y="0"/>
                      <a:ext cx="5334000" cy="6765073"/>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Atherton et al. 2017; 40. Carter et al. 2021; 41. Sack et al. 2003; 42. Taylor et al. 2021; 43. Harley et al. 1997; 44. Niinemets and Sun, 2014; 45. Sharkey and Monson, 2014; 46. Saimpraga et al. 2013</w:t>
      </w:r>
    </w:p>
    <w:p>
      <w:pPr>
        <w:pStyle w:val="BodyText"/>
      </w:pPr>
      <w:r>
        <w:t xml:space="preserve">** (</w:t>
      </w:r>
      <w:r>
        <w:rPr>
          <w:bCs/>
          <w:b/>
        </w:rPr>
        <w:t xml:space="preserve">NIDHI, we previously had a footnote here. I believe it’s the savanna site. I can’t find that, though.</w:t>
      </w:r>
      <w:r>
        <w:t xml:space="preserve">)</w:t>
      </w:r>
    </w:p>
    <w:bookmarkStart w:id="42"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2"/>
    <w:bookmarkStart w:id="43"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3"/>
    <w:bookmarkStart w:id="44"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4"/>
    <w:bookmarkStart w:id="45"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5"/>
    <w:bookmarkEnd w:id="46"/>
    <w:bookmarkStart w:id="51"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8"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7"/>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8"/>
    <w:bookmarkStart w:id="50"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9"/>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50"/>
    <w:bookmarkEnd w:id="51"/>
    <w:bookmarkStart w:id="52"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2"/>
    <w:bookmarkStart w:id="55"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3"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3"/>
    <w:bookmarkStart w:id="54"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4"/>
    <w:bookmarkEnd w:id="55"/>
    <w:bookmarkStart w:id="58" w:name="scaling-across-space-and-time"/>
    <w:p>
      <w:pPr>
        <w:pStyle w:val="Heading2"/>
      </w:pPr>
      <w:r>
        <w:t xml:space="preserve">Scaling across space and time</w:t>
      </w:r>
    </w:p>
    <w:bookmarkStart w:id="57"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6"/>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7"/>
    <w:bookmarkEnd w:id="58"/>
    <w:bookmarkStart w:id="59"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9"/>
    <w:bookmarkStart w:id="60"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60"/>
    <w:bookmarkStart w:id="61"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Figure S1. Vertical gradients in micrometeorological conditions for all forested sites in the National Ecological Observatory Network (NEON)</w:t>
      </w:r>
    </w:p>
    <w:p>
      <w:r>
        <w:br w:type="page"/>
      </w:r>
    </w:p>
    <w:bookmarkEnd w:id="61"/>
    <w:bookmarkStart w:id="328" w:name="references"/>
    <w:p>
      <w:pPr>
        <w:pStyle w:val="Heading2"/>
      </w:pPr>
      <w:r>
        <w:t xml:space="preserve">References</w:t>
      </w:r>
    </w:p>
    <w:bookmarkStart w:id="327" w:name="refs"/>
    <w:bookmarkStart w:id="62"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2"/>
    <w:bookmarkStart w:id="63"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3"/>
    <w:bookmarkStart w:id="64"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4"/>
    <w:bookmarkStart w:id="65"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5"/>
    <w:bookmarkStart w:id="66"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6"/>
    <w:bookmarkStart w:id="67"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7"/>
    <w:bookmarkStart w:id="68"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8"/>
    <w:bookmarkStart w:id="69"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9"/>
    <w:bookmarkStart w:id="70"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70"/>
    <w:bookmarkStart w:id="71"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1"/>
    <w:bookmarkStart w:id="72"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2"/>
    <w:bookmarkStart w:id="73"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3"/>
    <w:bookmarkStart w:id="74"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4"/>
    <w:bookmarkStart w:id="75"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5"/>
    <w:bookmarkStart w:id="76"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6"/>
    <w:bookmarkStart w:id="77"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7"/>
    <w:bookmarkStart w:id="78"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8"/>
    <w:bookmarkStart w:id="79"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9"/>
    <w:bookmarkStart w:id="80"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80"/>
    <w:bookmarkStart w:id="81"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1"/>
    <w:bookmarkStart w:id="82"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2"/>
    <w:bookmarkStart w:id="83"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3"/>
    <w:bookmarkStart w:id="84"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4"/>
    <w:bookmarkStart w:id="85"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5"/>
    <w:bookmarkStart w:id="86"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6"/>
    <w:bookmarkStart w:id="87"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7"/>
    <w:bookmarkStart w:id="88"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8"/>
    <w:bookmarkStart w:id="89"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9"/>
    <w:bookmarkStart w:id="90"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90"/>
    <w:bookmarkStart w:id="91"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1"/>
    <w:bookmarkStart w:id="92"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2"/>
    <w:bookmarkStart w:id="93"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3"/>
    <w:bookmarkStart w:id="94"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4"/>
    <w:bookmarkStart w:id="95"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5"/>
    <w:bookmarkStart w:id="96"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6"/>
    <w:bookmarkStart w:id="97"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7"/>
    <w:bookmarkStart w:id="98"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8"/>
    <w:bookmarkStart w:id="99"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9"/>
    <w:bookmarkStart w:id="100"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100"/>
    <w:bookmarkStart w:id="101"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1"/>
    <w:bookmarkStart w:id="102"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2"/>
    <w:bookmarkStart w:id="103"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3"/>
    <w:bookmarkStart w:id="104"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4"/>
    <w:bookmarkStart w:id="105"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5"/>
    <w:bookmarkStart w:id="106"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6"/>
    <w:bookmarkStart w:id="107"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7"/>
    <w:bookmarkStart w:id="108"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8"/>
    <w:bookmarkStart w:id="109"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9"/>
    <w:bookmarkStart w:id="110"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10"/>
    <w:bookmarkStart w:id="111"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1"/>
    <w:bookmarkStart w:id="112"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2"/>
    <w:bookmarkStart w:id="113"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3"/>
    <w:bookmarkStart w:id="114"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4"/>
    <w:bookmarkStart w:id="115"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5"/>
    <w:bookmarkStart w:id="116"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6"/>
    <w:bookmarkStart w:id="117"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7"/>
    <w:bookmarkStart w:id="118"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8"/>
    <w:bookmarkStart w:id="119"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9"/>
    <w:bookmarkStart w:id="120"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20"/>
    <w:bookmarkStart w:id="121"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1"/>
    <w:bookmarkStart w:id="122"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2"/>
    <w:bookmarkStart w:id="123"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3"/>
    <w:bookmarkStart w:id="124"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4"/>
    <w:bookmarkStart w:id="125"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5"/>
    <w:bookmarkStart w:id="126"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6"/>
    <w:bookmarkStart w:id="127"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7"/>
    <w:bookmarkStart w:id="128"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8"/>
    <w:bookmarkStart w:id="129"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9"/>
    <w:bookmarkStart w:id="130"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30"/>
    <w:bookmarkStart w:id="131"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1"/>
    <w:bookmarkStart w:id="132"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2"/>
    <w:bookmarkStart w:id="133"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3"/>
    <w:bookmarkStart w:id="134"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4"/>
    <w:bookmarkStart w:id="135"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5"/>
    <w:bookmarkStart w:id="136"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6"/>
    <w:bookmarkStart w:id="137"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7"/>
    <w:bookmarkStart w:id="138"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8"/>
    <w:bookmarkStart w:id="139"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9"/>
    <w:bookmarkStart w:id="140"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40"/>
    <w:bookmarkStart w:id="141"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1"/>
    <w:bookmarkStart w:id="142"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2"/>
    <w:bookmarkStart w:id="143"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3"/>
    <w:bookmarkStart w:id="144"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4"/>
    <w:bookmarkStart w:id="145"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5"/>
    <w:bookmarkStart w:id="146"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6"/>
    <w:bookmarkStart w:id="147"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7"/>
    <w:bookmarkStart w:id="148"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8"/>
    <w:bookmarkStart w:id="149"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9"/>
    <w:bookmarkStart w:id="150"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50"/>
    <w:bookmarkStart w:id="151"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1"/>
    <w:bookmarkStart w:id="152"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2"/>
    <w:bookmarkStart w:id="153"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3"/>
    <w:bookmarkStart w:id="154"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4"/>
    <w:bookmarkStart w:id="155"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5"/>
    <w:bookmarkStart w:id="156"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6"/>
    <w:bookmarkStart w:id="157"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7"/>
    <w:bookmarkStart w:id="158"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8"/>
    <w:bookmarkStart w:id="159"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9"/>
    <w:bookmarkStart w:id="160"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60"/>
    <w:bookmarkStart w:id="161"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1"/>
    <w:bookmarkStart w:id="162"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2"/>
    <w:bookmarkStart w:id="163"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3"/>
    <w:bookmarkStart w:id="164"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4"/>
    <w:bookmarkStart w:id="165"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5"/>
    <w:bookmarkStart w:id="166"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6"/>
    <w:bookmarkStart w:id="167"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7"/>
    <w:bookmarkStart w:id="168"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8"/>
    <w:bookmarkStart w:id="169"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9"/>
    <w:bookmarkStart w:id="170"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70"/>
    <w:bookmarkStart w:id="171"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1"/>
    <w:bookmarkStart w:id="172"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2"/>
    <w:bookmarkStart w:id="173"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3"/>
    <w:bookmarkStart w:id="174"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4"/>
    <w:bookmarkStart w:id="175"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5"/>
    <w:bookmarkStart w:id="176"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7"/>
    <w:bookmarkStart w:id="178"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8"/>
    <w:bookmarkStart w:id="179"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9"/>
    <w:bookmarkStart w:id="180"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80"/>
    <w:bookmarkStart w:id="181"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1"/>
    <w:bookmarkStart w:id="182"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2"/>
    <w:bookmarkStart w:id="183"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3"/>
    <w:bookmarkStart w:id="184"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4"/>
    <w:bookmarkStart w:id="185"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5"/>
    <w:bookmarkStart w:id="186"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6"/>
    <w:bookmarkStart w:id="187"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7"/>
    <w:bookmarkStart w:id="188"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8"/>
    <w:bookmarkStart w:id="189"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9"/>
    <w:bookmarkStart w:id="190"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90"/>
    <w:bookmarkStart w:id="191"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1"/>
    <w:bookmarkStart w:id="192"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2"/>
    <w:bookmarkStart w:id="193"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3"/>
    <w:bookmarkStart w:id="194"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4"/>
    <w:bookmarkStart w:id="195"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5"/>
    <w:bookmarkStart w:id="196"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6"/>
    <w:bookmarkStart w:id="197"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7"/>
    <w:bookmarkStart w:id="198"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8"/>
    <w:bookmarkStart w:id="199"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9"/>
    <w:bookmarkStart w:id="200"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200"/>
    <w:bookmarkStart w:id="201"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1"/>
    <w:bookmarkStart w:id="202"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2"/>
    <w:bookmarkStart w:id="203"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3"/>
    <w:bookmarkStart w:id="204"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4"/>
    <w:bookmarkStart w:id="205"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5"/>
    <w:bookmarkStart w:id="206"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6"/>
    <w:bookmarkStart w:id="207"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7"/>
    <w:bookmarkStart w:id="208"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8"/>
    <w:bookmarkStart w:id="209"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9"/>
    <w:bookmarkStart w:id="210"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10"/>
    <w:bookmarkStart w:id="211"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1"/>
    <w:bookmarkStart w:id="212"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2"/>
    <w:bookmarkStart w:id="213"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3"/>
    <w:bookmarkStart w:id="214"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4"/>
    <w:bookmarkStart w:id="215"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5"/>
    <w:bookmarkStart w:id="216"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6"/>
    <w:bookmarkStart w:id="217"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7"/>
    <w:bookmarkStart w:id="218"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8"/>
    <w:bookmarkStart w:id="219"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9"/>
    <w:bookmarkStart w:id="220"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20"/>
    <w:bookmarkStart w:id="221"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1"/>
    <w:bookmarkStart w:id="222"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3"/>
    <w:bookmarkStart w:id="224"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4"/>
    <w:bookmarkStart w:id="225"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5"/>
    <w:bookmarkStart w:id="226"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6"/>
    <w:bookmarkStart w:id="227"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7"/>
    <w:bookmarkStart w:id="228"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8"/>
    <w:bookmarkStart w:id="229"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9"/>
    <w:bookmarkStart w:id="230"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30"/>
    <w:bookmarkStart w:id="231"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1"/>
    <w:bookmarkStart w:id="232"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2"/>
    <w:bookmarkStart w:id="233"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3"/>
    <w:bookmarkStart w:id="234"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4"/>
    <w:bookmarkStart w:id="235"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5"/>
    <w:bookmarkStart w:id="236"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6"/>
    <w:bookmarkStart w:id="237"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7"/>
    <w:bookmarkStart w:id="238"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8"/>
    <w:bookmarkStart w:id="239"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9"/>
    <w:bookmarkStart w:id="240"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40"/>
    <w:bookmarkStart w:id="241"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1"/>
    <w:bookmarkStart w:id="242"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2"/>
    <w:bookmarkStart w:id="243"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3"/>
    <w:bookmarkStart w:id="244"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4"/>
    <w:bookmarkStart w:id="245"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5"/>
    <w:bookmarkStart w:id="246"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6"/>
    <w:bookmarkStart w:id="247"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7"/>
    <w:bookmarkStart w:id="248"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8"/>
    <w:bookmarkStart w:id="249"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9"/>
    <w:bookmarkStart w:id="250"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50"/>
    <w:bookmarkStart w:id="251"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1"/>
    <w:bookmarkStart w:id="252"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2"/>
    <w:bookmarkStart w:id="253"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3"/>
    <w:bookmarkStart w:id="254"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4"/>
    <w:bookmarkStart w:id="255"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6"/>
    <w:bookmarkStart w:id="257"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7"/>
    <w:bookmarkStart w:id="258"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8"/>
    <w:bookmarkStart w:id="259"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9"/>
    <w:bookmarkStart w:id="260"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60"/>
    <w:bookmarkStart w:id="261"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1"/>
    <w:bookmarkStart w:id="262"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2"/>
    <w:bookmarkStart w:id="263"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3"/>
    <w:bookmarkStart w:id="264"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4"/>
    <w:bookmarkStart w:id="265"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5"/>
    <w:bookmarkStart w:id="266"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6"/>
    <w:bookmarkStart w:id="267"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7"/>
    <w:bookmarkStart w:id="268"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8"/>
    <w:bookmarkStart w:id="269"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9"/>
    <w:bookmarkStart w:id="270"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70"/>
    <w:bookmarkStart w:id="271"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1"/>
    <w:bookmarkStart w:id="272"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2"/>
    <w:bookmarkStart w:id="273"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3"/>
    <w:bookmarkStart w:id="274"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4"/>
    <w:bookmarkStart w:id="275"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5"/>
    <w:bookmarkStart w:id="276"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6"/>
    <w:bookmarkStart w:id="277"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7"/>
    <w:bookmarkStart w:id="278"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8"/>
    <w:bookmarkStart w:id="279"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9"/>
    <w:bookmarkStart w:id="280"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80"/>
    <w:bookmarkStart w:id="281"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1"/>
    <w:bookmarkStart w:id="282"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2"/>
    <w:bookmarkStart w:id="28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3"/>
    <w:bookmarkStart w:id="284"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4"/>
    <w:bookmarkStart w:id="285"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5"/>
    <w:bookmarkStart w:id="286"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6"/>
    <w:bookmarkStart w:id="287"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7"/>
    <w:bookmarkStart w:id="288"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8"/>
    <w:bookmarkStart w:id="289"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9"/>
    <w:bookmarkStart w:id="290"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90"/>
    <w:bookmarkStart w:id="291"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1"/>
    <w:bookmarkStart w:id="292"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2"/>
    <w:bookmarkStart w:id="293"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3"/>
    <w:bookmarkStart w:id="294"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4"/>
    <w:bookmarkStart w:id="295"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5"/>
    <w:bookmarkStart w:id="296"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6"/>
    <w:bookmarkStart w:id="297"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7"/>
    <w:bookmarkStart w:id="298"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8"/>
    <w:bookmarkStart w:id="299"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9"/>
    <w:bookmarkStart w:id="300"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300"/>
    <w:bookmarkStart w:id="301"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1"/>
    <w:bookmarkStart w:id="302"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2"/>
    <w:bookmarkStart w:id="303"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3"/>
    <w:bookmarkStart w:id="304"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4"/>
    <w:bookmarkStart w:id="305"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5"/>
    <w:bookmarkStart w:id="306"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6"/>
    <w:bookmarkStart w:id="307"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7"/>
    <w:bookmarkStart w:id="308"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8"/>
    <w:bookmarkStart w:id="309"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9"/>
    <w:bookmarkStart w:id="310"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10"/>
    <w:bookmarkStart w:id="311"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1"/>
    <w:bookmarkStart w:id="312"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2"/>
    <w:bookmarkStart w:id="313"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3"/>
    <w:bookmarkStart w:id="314"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4"/>
    <w:bookmarkStart w:id="315"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5"/>
    <w:bookmarkStart w:id="316"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6"/>
    <w:bookmarkStart w:id="317"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7"/>
    <w:bookmarkStart w:id="318"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8"/>
    <w:bookmarkStart w:id="319"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9"/>
    <w:bookmarkStart w:id="320"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20"/>
    <w:bookmarkStart w:id="321"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1"/>
    <w:bookmarkStart w:id="322"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2"/>
    <w:bookmarkStart w:id="323"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3"/>
    <w:bookmarkStart w:id="324"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4"/>
    <w:bookmarkStart w:id="325"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5"/>
    <w:bookmarkStart w:id="326"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6"/>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2021-09-06T12:46:19Z</dcterms:created>
  <dcterms:modified xsi:type="dcterms:W3CDTF">2021-09-06T12:46:19Z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