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49.png" ContentType="image/png"/>
  <Override PartName="/word/media/rId22.png" ContentType="image/png"/>
  <Override PartName="/word/media/rId37.png" ContentType="image/png"/>
  <Override PartName="/word/media/rId55.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synthetic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the leaf traits that most strongly influence leaf temperature and metabolism;</w:t>
      </w:r>
      <w:r>
        <w:t xml:space="preserve"> </w:t>
      </w:r>
      <w:r>
        <w:t xml:space="preserve">(3) resulting leaf temperature (</w:t>
      </w:r>
      <m:oMath>
        <m:sSub>
          <m:e>
            <m:r>
              <m:t>T</m:t>
            </m:r>
          </m:e>
          <m:sub>
            <m:r>
              <m:t>l</m:t>
            </m:r>
            <m:r>
              <m:t>e</m:t>
            </m:r>
            <m:r>
              <m:t>a</m:t>
            </m:r>
            <m:r>
              <m:t>f</m:t>
            </m:r>
          </m:sub>
        </m:sSub>
      </m:oMath>
      <w:r>
        <w:t xml:space="preserve">) and</w:t>
      </w:r>
      <w:r>
        <w:t xml:space="preserve"> </w:t>
      </w:r>
      <w:r>
        <w:t xml:space="preserve">(4) foliar metabolism, including stomatal conductance, photosynthesis, respiration, and volatile organic compound (VOC) production; and</w:t>
      </w:r>
      <w:r>
        <w:t xml:space="preserve"> </w:t>
      </w:r>
      <w:r>
        <w:t xml:space="preserve">(5) resultant size-structuring of whole-tree and ecosystem function.</w:t>
      </w:r>
      <w:r>
        <w:t xml:space="preserve"> </w:t>
      </w:r>
      <w:r>
        <w:rPr>
          <w:i/>
        </w:rPr>
        <w:t xml:space="preserve">We then consider the implications for modeling / climate change responses.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w:t>
      </w:r>
      <w:r>
        <w:t xml:space="preserve"> </w:t>
      </w:r>
      <w:r>
        <w:t xml:space="preserve">The light gradient is more pronounced under broadleaf forests than needleleaf forests</w:t>
      </w:r>
      <w:r>
        <w:t xml:space="preserve"> </w:t>
      </w:r>
      <w:r>
        <w:t xml:space="preserve">(Fig. 2; Lowman &amp; Rinker, 1995; Niinemets &amp; Anten, 2009; Aussenac, 2000; Poorter</w:t>
      </w:r>
      <w:r>
        <w:t xml:space="preserve"> </w:t>
      </w:r>
      <w:r>
        <w:rPr>
          <w:i/>
        </w:rPr>
        <w:t xml:space="preserve">et al.</w:t>
      </w:r>
      <w:r>
        <w:t xml:space="preserve">, 2019)</w:t>
      </w:r>
      <w:r>
        <w:t xml:space="preserve">.</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2"/>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(Figs. 2, S1-S#), owing to… [</w:t>
      </w:r>
      <w:r>
        <w:rPr>
          <w:b/>
          <w:b/>
        </w:rPr>
        <w:t xml:space="preserve">REFS</w:t>
      </w:r>
      <w:r>
        <w:rPr>
          <w:b/>
        </w:rPr>
        <w:t xml:space="preserve">].</w:t>
      </w:r>
      <w:r>
        <w:t xml:space="preserve"> </w:t>
      </w:r>
      <w:r>
        <w:t xml:space="preserve">Across all</w:t>
      </w:r>
      <w:r>
        <w:t xml:space="preserve"> </w:t>
      </w:r>
      <w:r>
        <w:rPr>
          <w:b/>
        </w:rPr>
        <w:t xml:space="preserve">#</w:t>
      </w:r>
      <w:r>
        <w:t xml:space="preserve"> </w:t>
      </w:r>
      <w:r>
        <w:t xml:space="preserve">forested NEON sites, wind speeds increased with height, with daily maximum wind speeds at the top of the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w:t>
      </w:r>
      <w:r>
        <w:t xml:space="preserve"> </w:t>
      </w:r>
      <w:r>
        <w:t xml:space="preserve">Consistent with these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w:t>
      </w:r>
    </w:p>
    <w:bookmarkEnd w:id="31"/>
    <w:bookmarkStart w:id="33"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rPr>
          <w:strike/>
        </w:rPr>
        <w:t xml:space="preserve">concentrations of (CO</w:t>
      </w:r>
      <w:r>
        <w:rPr>
          <w:vertAlign w:val="subscript"/>
          <w:strike/>
        </w:rPr>
        <w:t xml:space="preserve">2</w:t>
      </w:r>
      <w:r>
        <w:rPr>
          <w:strike/>
        </w:rPr>
        <w:t xml:space="preserve">) mole fraction values have been observed to be higher in lower canopy leaves compared with upper canopy leaves [because of lower photosynthetic rate in shade leaves?]</w:t>
      </w:r>
      <w:r>
        <w:rPr>
          <w:strike/>
        </w:rPr>
        <w:t xml:space="preserve"> </w:t>
      </w:r>
      <w:r>
        <w:rPr>
          <w:strike/>
        </w:rPr>
        <w:t xml:space="preserve">(Niinemets &amp; Valladares, 2004)</w:t>
      </w:r>
      <w:r>
        <w:t xml:space="preserve"> </w:t>
      </w:r>
      <w:r>
        <w:rPr>
          <w:i/>
        </w:rPr>
        <w:t xml:space="preserve">(KAT: I’m confused by this. We want to discuss just atmospheric CO2 here, so I think this doesn’t fit)</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rPr>
          <w:strike/>
        </w:rPr>
        <w:t xml:space="preserve">If soil and stem respiration do not acclimate fully to rising temperatures, the greater amount of CO</w:t>
      </w:r>
      <w:r>
        <w:rPr>
          <w:vertAlign w:val="subscript"/>
          <w:strike/>
        </w:rPr>
        <w:t xml:space="preserve">2</w:t>
      </w:r>
      <w:r>
        <w:rPr>
          <w:strike/>
        </w:rPr>
        <w:t xml:space="preserve"> </w:t>
      </w:r>
      <w:r>
        <w:rPr>
          <w:strike/>
        </w:rPr>
        <w:t xml:space="preserve">emitted at the forest floor (i.e. from soils and decaying organic matter and leaf litter) could increase the vertical CO</w:t>
      </w:r>
      <w:r>
        <w:rPr>
          <w:vertAlign w:val="subscript"/>
          <w:strike/>
        </w:rPr>
        <w:t xml:space="preserve">2</w:t>
      </w:r>
      <w:r>
        <w:rPr>
          <w:strike/>
        </w:rPr>
        <w:t xml:space="preserve"> </w:t>
      </w:r>
      <w:r>
        <w:rPr>
          <w:strike/>
        </w:rPr>
        <w:t xml:space="preserve">gradient in the future, but this would still only be a short-term effect in the early morning, as the CO</w:t>
      </w:r>
      <w:r>
        <w:rPr>
          <w:vertAlign w:val="subscript"/>
          <w:strike/>
        </w:rPr>
        <w:t xml:space="preserve">2</w:t>
      </w:r>
      <w:r>
        <w:rPr>
          <w:strike/>
        </w:rPr>
        <w:t xml:space="preserve"> </w:t>
      </w:r>
      <w:r>
        <w:rPr>
          <w:strike/>
        </w:rPr>
        <w:t xml:space="preserve">would quickly diffuse through the canopy.</w:t>
      </w:r>
      <w:r>
        <w:t xml:space="preserve"> </w:t>
      </w:r>
      <w:r>
        <w:rPr>
          <w:i/>
        </w:rPr>
        <w:t xml:space="preserve">(this last sentence could be cut for space)</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2">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3"/>
    <w:bookmarkEnd w:id="34"/>
    <w:bookmarkStart w:id="48" w:name="leaf-traits"/>
    <w:p>
      <w:pPr>
        <w:pStyle w:val="Heading2"/>
      </w:pPr>
      <w:r>
        <w:t xml:space="preserve">Leaf traits</w:t>
      </w:r>
    </w:p>
    <w:p>
      <w:pPr>
        <w:pStyle w:val="FirstParagraph"/>
      </w:pPr>
      <w:r>
        <w:t xml:space="preserve">Particularly in dense forests, the upper, outer canopy leaves of taller trees are exposed to dramatically different biophysical conditions than leaves in the canopy interior or understory (Figs. 2, S1-S#).</w:t>
      </w:r>
      <w:r>
        <w:t xml:space="preserve"> </w:t>
      </w:r>
      <w:r>
        <w:t xml:space="preserve">Accordingly, there is substantive variation across the gradient in leaf traits (this section), which in turn shape leaf temperatures and metabolism (following sections).</w:t>
      </w:r>
    </w:p>
    <w:bookmarkStart w:id="35" w:name="clarify-light-vs-height---1-paragraph"/>
    <w:p>
      <w:pPr>
        <w:pStyle w:val="Heading4"/>
      </w:pPr>
      <w:r>
        <w:rPr>
          <w:i/>
        </w:rPr>
        <w:t xml:space="preserve">(clarify light vs height - 1 paragraph)</w:t>
      </w:r>
    </w:p>
    <w:p>
      <w:pPr>
        <w:pStyle w:val="FirstParagraph"/>
      </w:pPr>
      <w:r>
        <w:t xml:space="preserve">Our primary interest is in how leaf traits and function vary across the vertical gradient from the top of the canopy to the understory in forests.</w:t>
      </w:r>
      <w:r>
        <w:t xml:space="preserve"> </w:t>
      </w:r>
      <w:r>
        <w:t xml:space="preserve">However, the majority of relevant research has focused on exposure gradients near ground level, with by far the most common study type being comparisons of sun and shade leaves.</w:t>
      </w:r>
      <w:r>
        <w:t xml:space="preserve"> </w:t>
      </w:r>
      <w:r>
        <w:t xml:space="preserve">Light based acclimation in leaf traits is well established, while research on solely height-based leaf trait variation is sparse due to the difficulty of isolating increased tree height from light.</w:t>
      </w:r>
      <w:r>
        <w:t xml:space="preserve"> </w:t>
      </w:r>
      <w:r>
        <w:t xml:space="preserve">While light is the primary axis along which leaf traits vary, both theory and empirical evidence indicate that other factors–for example, height on a tree or exposure to evaporative demand (Fig. 2)– are important in shaping at least a subset of traits.</w:t>
      </w:r>
      <w:r>
        <w:t xml:space="preserve"> </w:t>
      </w:r>
      <w:r>
        <w:t xml:space="preserve">In particular, hydraulic constraints increase with height on a tree [REFS;</w:t>
      </w:r>
      <w:r>
        <w:t xml:space="preserve"> </w:t>
      </w:r>
      <w:r>
        <w:rPr>
          <w:i/>
        </w:rPr>
        <w:t xml:space="preserve">McDowell-isotopes book chapter</w:t>
      </w:r>
      <w:r>
        <w:t xml:space="preserve">;</w:t>
      </w:r>
      <w:r>
        <w:t xml:space="preserve"> </w:t>
      </w:r>
      <w:r>
        <w:t xml:space="preserve">Coble &amp; Cavaleri (2015)</w:t>
      </w:r>
      <w:r>
        <w:t xml:space="preserve">;</w:t>
      </w:r>
      <w:r>
        <w:t xml:space="preserve"> </w:t>
      </w:r>
      <w:r>
        <w:rPr>
          <w:i/>
        </w:rPr>
        <w:t xml:space="preserve">Couvreur et al., 2018</w:t>
      </w:r>
      <w:r>
        <w:t xml:space="preserve">], such that gas exchange is strongly constrained by at the tops of the world’s tallest trees (~100 m. tall</w:t>
      </w:r>
      <w:r>
        <w:t xml:space="preserve"> </w:t>
      </w:r>
      <w:r>
        <w:rPr>
          <w:i/>
        </w:rPr>
        <w:t xml:space="preserve">Sequoia sempervirens</w:t>
      </w:r>
      <w:r>
        <w:t xml:space="preserve">;</w:t>
      </w:r>
      <w:r>
        <w:t xml:space="preserve"> </w:t>
      </w:r>
      <w:r>
        <w:rPr>
          <w:i/>
        </w:rPr>
        <w:t xml:space="preserve">Ambrose et al. 2009, 2010</w:t>
      </w:r>
      <w:r>
        <w:t xml:space="preserve">).</w:t>
      </w:r>
      <w:r>
        <w:t xml:space="preserve"> </w:t>
      </w: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p>
      <w:pPr>
        <w:pStyle w:val="BodyText"/>
      </w:pPr>
      <w:r>
        <w:rPr>
          <w:i/>
        </w:rPr>
        <w:t xml:space="preserve">(The following notes need to be condensed/ worked into the paragraph above or discussion of specific traits. No need to get very specific (listing species studied, traits)–what we want is generalization. The goal is to answer the question,</w:t>
      </w:r>
      <w:r>
        <w:rPr>
          <w:i/>
        </w:rPr>
        <w:t xml:space="preserve"> </w:t>
      </w:r>
      <w:r>
        <w:rPr>
          <w:i/>
        </w:rPr>
        <w:t xml:space="preserve">“</w:t>
      </w:r>
      <w:r>
        <w:rPr>
          <w:i/>
        </w:rPr>
        <w:t xml:space="preserve">Do we expect light gradients to be equivalent to height gradients, or is there variation attributable to height that is not captured by light gradients?</w:t>
      </w:r>
      <w:r>
        <w:rPr>
          <w:i/>
        </w:rPr>
        <w:t xml:space="preserve">”</w:t>
      </w:r>
      <w:r>
        <w:rPr>
          <w:i/>
        </w:rPr>
        <w:t xml:space="preserve">)</w:t>
      </w:r>
    </w:p>
    <w:p>
      <w:pPr>
        <w:numPr>
          <w:ilvl w:val="0"/>
          <w:numId w:val="1003"/>
        </w:numPr>
      </w:pPr>
      <w:r>
        <w:t xml:space="preserve">However, studies that have measured LMA in relation to height have found that in tropical forests LMA-height predicted stronger correlation between area- based respiration versus foliar nutrients, whereas Q10 and E10 remained constant with height [Cavaleri et al. 2008].</w:t>
      </w:r>
    </w:p>
    <w:p>
      <w:pPr>
        <w:numPr>
          <w:ilvl w:val="0"/>
          <w:numId w:val="1003"/>
        </w:numPr>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numPr>
          <w:ilvl w:val="0"/>
          <w:numId w:val="1003"/>
        </w:numPr>
      </w:pPr>
      <w:r>
        <w:t xml:space="preserve">Height is more important than light in determining leaf morphology in a tropical forests (Cavaleri et al. 2010)</w:t>
      </w:r>
    </w:p>
    <w:p>
      <w:pPr>
        <w:numPr>
          <w:ilvl w:val="0"/>
          <w:numId w:val="1003"/>
        </w:numPr>
      </w:pPr>
      <w:r>
        <w:t xml:space="preserve">(Cavaleri et al. 2008)</w:t>
      </w:r>
    </w:p>
    <w:p>
      <w:pPr>
        <w:numPr>
          <w:ilvl w:val="0"/>
          <w:numId w:val="1003"/>
        </w:numPr>
      </w:pPr>
      <w:r>
        <w:t xml:space="preserve">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numPr>
          <w:ilvl w:val="0"/>
          <w:numId w:val="1003"/>
        </w:numPr>
      </w:pPr>
      <w:r>
        <w:t xml:space="preserve">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35"/>
    <w:bookmarkStart w:id="36" w:name="Xdd5c92a6b4d8ea5d177bc1b8cef160262da82c2"/>
    <w:p>
      <w:pPr>
        <w:pStyle w:val="Heading4"/>
      </w:pPr>
      <w:r>
        <w:rPr>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
        </w:rPr>
        <w:t xml:space="preserve">Lamour, Serbin in prep</w:t>
      </w:r>
      <w:r>
        <w:t xml:space="preserve">).</w:t>
      </w:r>
    </w:p>
    <w:bookmarkEnd w:id="36"/>
    <w:bookmarkStart w:id="45" w:name="intraspecific-variation"/>
    <w:p>
      <w:pPr>
        <w:pStyle w:val="Heading3"/>
      </w:pPr>
      <w:r>
        <w:t xml:space="preserve">Intraspecific variation</w:t>
      </w:r>
    </w:p>
    <w:p>
      <w:pPr>
        <w:pStyle w:val="FirstParagraph"/>
      </w:pPr>
      <w:r>
        <w:rPr>
          <w:b/>
        </w:rPr>
        <w:t xml:space="preserve">Within a species, 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w:t>
      </w:r>
      <w:r>
        <w:t xml:space="preserve"> </w:t>
      </w:r>
      <w:r>
        <w:rPr>
          <w:strike/>
        </w:rPr>
        <w:t xml:space="preserve">and herbaceous</w:t>
      </w:r>
      <w:r>
        <w:t xml:space="preserve"> </w:t>
      </w:r>
      <w:r>
        <w:t xml:space="preserve">species</w:t>
      </w:r>
      <w:r>
        <w:t xml:space="preserve"> </w:t>
      </w:r>
      <w:r>
        <w:t xml:space="preserve">(Niinemets, 2016; Keenan &amp; Niinemets, 2016)</w:t>
      </w:r>
      <w:r>
        <w:t xml:space="preserve">.</w:t>
      </w:r>
      <w:r>
        <w:t xml:space="preserve"> </w:t>
      </w:r>
      <w:r>
        <w:t xml:space="preserve">A network of sensory photoreceptors in leaves, such as phytochromes, mediate leaf-level responses to PAR and the ratio of red to far red radiation intercepting the leaf surface. This enables acclimation or avoidance responses through the development of necessary leaf traits</w:t>
      </w:r>
      <w:r>
        <w:t xml:space="preserve"> </w:t>
      </w:r>
      <w:r>
        <w:t xml:space="preserve">(Casal, 2013)</w:t>
      </w:r>
      <w:r>
        <w:t xml:space="preserve">.</w:t>
      </w:r>
      <w:r>
        <w:t xml:space="preserve"> </w:t>
      </w:r>
      <w:r>
        <w:t xml:space="preserve">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7"/>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39" w:name="morphological-traits"/>
    <w:p>
      <w:pPr>
        <w:pStyle w:val="Heading4"/>
      </w:pPr>
      <w:r>
        <w:t xml:space="preserve">Morphological traits</w:t>
      </w:r>
    </w:p>
    <w:p>
      <w:pPr>
        <w:numPr>
          <w:ilvl w:val="0"/>
          <w:numId w:val="1004"/>
        </w:numPr>
        <w:pStyle w:val="Compact"/>
      </w:pPr>
      <w:r>
        <w:t xml:space="preserve">Recent paper on influence on leaf size/shape in PCE – certain aspects of leaf shape were not as relevant as expected (Leigh et al. 2017?</w:t>
      </w:r>
      <w:r>
        <w:t xml:space="preserve"> </w:t>
      </w:r>
      <w:hyperlink r:id="rId38">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bookmarkEnd w:id="39"/>
    <w:bookmarkStart w:id="41" w:name="biochemical-and-physiological-traits"/>
    <w:p>
      <w:pPr>
        <w:pStyle w:val="Heading4"/>
      </w:pPr>
      <w:r>
        <w:t xml:space="preserve">Biochemical and physiological traits</w:t>
      </w:r>
    </w:p>
    <w:p>
      <w:pPr>
        <w:pStyle w:val="FirstParagraph"/>
      </w:pPr>
      <w:r>
        <w:t xml:space="preserve">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r>
        <w:t xml:space="preserve">.</w:t>
      </w:r>
    </w:p>
    <w:bookmarkStart w:id="40" w:name="carotenoidsxanthophyll-cycle-pigments"/>
    <w:p>
      <w:pPr>
        <w:pStyle w:val="Heading5"/>
      </w:pPr>
      <w:r>
        <w:rPr>
          <w:i/>
        </w:rP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bookmarkEnd w:id="40"/>
    <w:bookmarkEnd w:id="41"/>
    <w:bookmarkStart w:id="44"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2" w:name="lifespan"/>
    <w:p>
      <w:pPr>
        <w:pStyle w:val="Heading5"/>
      </w:pPr>
      <w:r>
        <w:rPr>
          <w:i/>
        </w:rPr>
        <w:t xml:space="preserve">(lifespan)</w:t>
      </w:r>
    </w:p>
    <w:p>
      <w:pPr>
        <w:pStyle w:val="FirstParagraph"/>
      </w:pPr>
      <w:r>
        <w:rPr>
          <w:i/>
        </w:rPr>
        <w:t xml:space="preserve">Leaf turnover tends to be greater in the sun, so of your standing stock of leaves (at least in evergreen species) sun leaves should be younger than shade leaves. This is bound to affect metabolism, and may affect other aspects of their performance.</w:t>
      </w:r>
    </w:p>
    <w:bookmarkEnd w:id="42"/>
    <w:bookmarkStart w:id="43" w:name="deciduousness"/>
    <w:p>
      <w:pPr>
        <w:pStyle w:val="Heading5"/>
      </w:pPr>
      <w:r>
        <w:rPr>
          <w:i/>
        </w:rP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3"/>
    <w:bookmarkEnd w:id="44"/>
    <w:bookmarkEnd w:id="45"/>
    <w:bookmarkStart w:id="47" w:name="interspecific-varaiation"/>
    <w:p>
      <w:pPr>
        <w:pStyle w:val="Heading3"/>
      </w:pPr>
      <w:r>
        <w:t xml:space="preserve">Interspecific varaiation</w:t>
      </w:r>
    </w:p>
    <w:p>
      <w:pPr>
        <w:pStyle w:val="FirstParagraph"/>
      </w:pPr>
      <w:r>
        <w:rPr>
          <w:i/>
        </w:rPr>
        <w:t xml:space="preserve">(KAT: a lot of this content should probably move up the the intro to this section)</w:t>
      </w:r>
    </w:p>
    <w:p>
      <w:pPr>
        <w:pStyle w:val="BodyText"/>
      </w:pPr>
      <w:r>
        <w:t xml:space="preserve">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p>
    <w:p>
      <w:pPr>
        <w:pStyle w:val="BodyText"/>
      </w:pP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i/>
        </w:rP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rPr>
          <w:i/>
        </w:rPr>
        <w:t xml:space="preserve"> </w:t>
      </w:r>
      <w:r>
        <w:rPr>
          <w:i/>
        </w:rPr>
        <w:t xml:space="preserve">‘</w:t>
      </w:r>
      <w:r>
        <w:rPr>
          <w:i/>
        </w:rPr>
        <w:t xml:space="preserve">built</w:t>
      </w:r>
      <w:r>
        <w:rPr>
          <w:i/>
        </w:rPr>
        <w:t xml:space="preserve">’</w:t>
      </w:r>
      <w:r>
        <w:rPr>
          <w:i/>
        </w:rPr>
        <w:t xml:space="preserve"> </w:t>
      </w:r>
      <w:r>
        <w:rPr>
          <w:i/>
        </w:rP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characterize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bookmarkStart w:id="46" w:name="isoprene-production"/>
    <w:p>
      <w:pPr>
        <w:pStyle w:val="Heading5"/>
      </w:pPr>
      <w:r>
        <w:t xml:space="preserve">Isoprene production</w:t>
      </w:r>
    </w:p>
    <w:p>
      <w:pPr>
        <w:numPr>
          <w:ilvl w:val="0"/>
          <w:numId w:val="1006"/>
        </w:numPr>
        <w:pStyle w:val="Compact"/>
      </w:pPr>
      <w:r>
        <w:t xml:space="preserve">Isoprene production</w:t>
      </w:r>
      <w:r>
        <w:t xml:space="preserve"> </w:t>
      </w:r>
      <w:r>
        <w:rPr>
          <w:i/>
        </w:rPr>
        <w:t xml:space="preserve">capability</w:t>
      </w:r>
      <w:r>
        <w:t xml:space="preserve"> </w:t>
      </w:r>
      <w:r>
        <w:t xml:space="preserve">as a trait</w:t>
      </w:r>
    </w:p>
    <w:bookmarkEnd w:id="46"/>
    <w:bookmarkEnd w:id="47"/>
    <w:bookmarkEnd w:id="48"/>
    <w:bookmarkStart w:id="54" w:name="leaf-temperature"/>
    <w:p>
      <w:pPr>
        <w:pStyle w:val="Heading2"/>
      </w:pPr>
      <w:r>
        <w:t xml:space="preserve">Leaf temperature</w:t>
      </w:r>
    </w:p>
    <w:bookmarkStart w:id="51"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(Fig. 2; Michaletz</w:t>
      </w:r>
      <w:r>
        <w:t xml:space="preserve"> </w:t>
      </w:r>
      <w:r>
        <w:rPr>
          <w:i/>
        </w:rPr>
        <w:t xml:space="preserve">et al.</w:t>
      </w:r>
      <w:r>
        <w:t xml:space="preserve">, 2015)</w:t>
      </w:r>
      <w:r>
        <w:t xml:space="preserv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w:t>
      </w:r>
      <w:r>
        <w:t xml:space="preserve"> </w:t>
      </w:r>
      <w:r>
        <w:t xml:space="preserve">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3.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49"/>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50">
        <w:r>
          <w:rPr>
            <w:rStyle w:val="Hyperlink"/>
          </w:rPr>
          <w:t xml:space="preserve">ISSUE #6</w:t>
        </w:r>
      </w:hyperlink>
      <w:r>
        <w:t xml:space="preserve">.</w:t>
      </w:r>
    </w:p>
    <w:bookmarkEnd w:id="51"/>
    <w:bookmarkStart w:id="53"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52">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8"/>
        </w:numPr>
        <w:pStyle w:val="Compact"/>
      </w:pPr>
      <w:r>
        <w:t xml:space="preserve">(Slot et al. 2019) and refs therein</w:t>
      </w:r>
    </w:p>
    <w:p>
      <w:pPr>
        <w:numPr>
          <w:ilvl w:val="0"/>
          <w:numId w:val="1008"/>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9"/>
        </w:numPr>
        <w:pStyle w:val="Compact"/>
      </w:pPr>
      <w:r>
        <w:t xml:space="preserve">Elsa: I came across these two studies that could be relevent in the evapotranspiration/temperature feedback section hinted at above:</w:t>
      </w:r>
    </w:p>
    <w:p>
      <w:pPr>
        <w:numPr>
          <w:ilvl w:val="0"/>
          <w:numId w:val="1009"/>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9"/>
        </w:numPr>
        <w:pStyle w:val="Compact"/>
      </w:pPr>
      <w:r>
        <w:t xml:space="preserve">Sellin, A. and Lubenets, K., 2010. Variation of transpiration within a canopy of silver birch: effect of canopy position and daily versus nightly water loss. Ecohydrology, 3(4), pp.467-477.</w:t>
      </w:r>
    </w:p>
    <w:bookmarkEnd w:id="53"/>
    <w:bookmarkEnd w:id="54"/>
    <w:bookmarkStart w:id="62"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5"/>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6"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56"/>
    <w:bookmarkStart w:id="57"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7"/>
    <w:bookmarkStart w:id="59"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9"/>
    <w:bookmarkStart w:id="61"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60">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1"/>
    <w:bookmarkEnd w:id="62"/>
    <w:bookmarkStart w:id="67" w:name="ecological-implications"/>
    <w:p>
      <w:pPr>
        <w:pStyle w:val="Heading2"/>
      </w:pPr>
      <w:r>
        <w:t xml:space="preserve">Ecological implications</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Vertical gradients in the biophysical environment shape which plant strategies, or sets of traits, are competitive in understory versus canopy conditions.</w:t>
      </w:r>
    </w:p>
    <w:bookmarkStart w:id="65" w:name="demography"/>
    <w:p>
      <w:pPr>
        <w:pStyle w:val="Heading3"/>
      </w:pPr>
      <w:r>
        <w:t xml:space="preserve">Demography</w:t>
      </w:r>
    </w:p>
    <w:p>
      <w:pPr>
        <w:pStyle w:val="FirstParagraph"/>
      </w:pPr>
      <w:r>
        <w:rPr>
          <w:b/>
        </w:rPr>
        <w:t xml:space="preserve">Vertical gradients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t xml:space="preserve">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w:t>
      </w:r>
      <w:r>
        <w:t xml:space="preserve"> </w:t>
      </w:r>
      <w:r>
        <w:rPr>
          <w:i/>
        </w:rPr>
        <w:t xml:space="preserve">et al.</w:t>
      </w:r>
      <w:r>
        <w:t xml:space="preserve">)</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3"/>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4">
        <w:r>
          <w:rPr>
            <w:rStyle w:val="Hyperlink"/>
          </w:rPr>
          <w:t xml:space="preserve">ISSUE # 29</w:t>
        </w:r>
      </w:hyperlink>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bookmarkEnd w:id="65"/>
    <w:bookmarkStart w:id="66" w:name="ecosystem-scale-implications"/>
    <w:p>
      <w:pPr>
        <w:pStyle w:val="Heading3"/>
      </w:pPr>
      <w:r>
        <w:t xml:space="preserve">Ecosystem Scale Implications</w:t>
      </w:r>
    </w:p>
    <w:p>
      <w:pPr>
        <w:pStyle w:val="FirstParagraph"/>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6"/>
    <w:bookmarkEnd w:id="67"/>
    <w:bookmarkStart w:id="70" w:name="implications"/>
    <w:p>
      <w:pPr>
        <w:pStyle w:val="Heading2"/>
      </w:pPr>
      <w:r>
        <w:t xml:space="preserve">Implications</w:t>
      </w:r>
    </w:p>
    <w:p>
      <w:pPr>
        <w:pStyle w:val="FirstParagraph"/>
      </w:pPr>
      <w:r>
        <w:rPr>
          <w:i/>
        </w:rPr>
        <w:t xml:space="preserve">(In this section, we consider implications of the patterns reviewed above for our understanding of the future of forests–both how we model them and what sorts of responses we can expect under climate change.)</w:t>
      </w:r>
    </w:p>
    <w:bookmarkStart w:id="68" w:name="X68d2420bbac0f497c7bc5bf40a0c8098f6400b1"/>
    <w:p>
      <w:pPr>
        <w:pStyle w:val="Heading3"/>
      </w:pPr>
      <w:r>
        <w:t xml:space="preserve">Representing Vertical Gradients in Models</w:t>
      </w:r>
    </w:p>
    <w:p>
      <w:pPr>
        <w:pStyle w:val="FirstParagraph"/>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8"/>
    <w:bookmarkStart w:id="69" w:name="climate-change-responses"/>
    <w:p>
      <w:pPr>
        <w:pStyle w:val="Heading3"/>
      </w:pPr>
      <w:r>
        <w:t xml:space="preserve">Climate change responses</w:t>
      </w:r>
    </w:p>
    <w:p>
      <w:pPr>
        <w:numPr>
          <w:ilvl w:val="0"/>
          <w:numId w:val="1010"/>
        </w:numPr>
        <w:pStyle w:val="Compact"/>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p>
      <w:pPr>
        <w:pStyle w:val="BodyText"/>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bookmarkEnd w:id="69"/>
    <w:bookmarkEnd w:id="70"/>
    <w:bookmarkStart w:id="71" w:name="conclusions"/>
    <w:p>
      <w:pPr>
        <w:pStyle w:val="Heading2"/>
      </w:pPr>
      <w:r>
        <w:t xml:space="preserve">Conclusions</w:t>
      </w:r>
    </w:p>
    <w:p>
      <w:pPr>
        <w:numPr>
          <w:ilvl w:val="0"/>
          <w:numId w:val="1011"/>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1"/>
        </w:numPr>
        <w:pStyle w:val="Compact"/>
      </w:pPr>
      <w:r>
        <w:t xml:space="preserve">a number of studies confirm that this is the case.</w:t>
      </w:r>
    </w:p>
    <w:p>
      <w:pPr>
        <w:numPr>
          <w:ilvl w:val="0"/>
          <w:numId w:val="1011"/>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1"/>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1"/>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1"/>
    <w:bookmarkStart w:id="72"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2"/>
    <w:bookmarkStart w:id="167" w:name="references"/>
    <w:p>
      <w:pPr>
        <w:pStyle w:val="Heading2"/>
      </w:pPr>
      <w:r>
        <w:t xml:space="preserve">References</w:t>
      </w:r>
    </w:p>
    <w:bookmarkStart w:id="166" w:name="refs"/>
    <w:bookmarkStart w:id="73"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3"/>
    <w:bookmarkStart w:id="74"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4"/>
    <w:bookmarkStart w:id="75"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75"/>
    <w:bookmarkStart w:id="76"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6"/>
    <w:bookmarkStart w:id="77"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77"/>
    <w:bookmarkStart w:id="78"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78"/>
    <w:bookmarkStart w:id="79"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79"/>
    <w:bookmarkStart w:id="80"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0"/>
    <w:bookmarkStart w:id="81"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1"/>
    <w:bookmarkStart w:id="82"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2"/>
    <w:bookmarkStart w:id="83"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3"/>
    <w:bookmarkStart w:id="84"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4"/>
    <w:bookmarkStart w:id="85"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85"/>
    <w:bookmarkStart w:id="86"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86"/>
    <w:bookmarkStart w:id="87"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87"/>
    <w:bookmarkStart w:id="88"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88"/>
    <w:bookmarkStart w:id="89"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89"/>
    <w:bookmarkStart w:id="90"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90"/>
    <w:bookmarkStart w:id="91"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91"/>
    <w:bookmarkStart w:id="92"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2"/>
    <w:bookmarkStart w:id="93"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93"/>
    <w:bookmarkStart w:id="94"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94"/>
    <w:bookmarkStart w:id="95"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95"/>
    <w:bookmarkStart w:id="96"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96"/>
    <w:bookmarkStart w:id="97"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97"/>
    <w:bookmarkStart w:id="98"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98"/>
    <w:bookmarkStart w:id="99"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99"/>
    <w:bookmarkStart w:id="100"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00"/>
    <w:bookmarkStart w:id="101"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01"/>
    <w:bookmarkStart w:id="102"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2"/>
    <w:bookmarkStart w:id="103"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03"/>
    <w:bookmarkStart w:id="104"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04"/>
    <w:bookmarkStart w:id="105"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05"/>
    <w:bookmarkStart w:id="106"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06"/>
    <w:bookmarkStart w:id="107"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07"/>
    <w:bookmarkStart w:id="108"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08"/>
    <w:bookmarkStart w:id="109"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09"/>
    <w:bookmarkStart w:id="110"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10"/>
    <w:bookmarkStart w:id="111"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11"/>
    <w:bookmarkStart w:id="112"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12"/>
    <w:bookmarkStart w:id="113"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3"/>
    <w:bookmarkStart w:id="114"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4"/>
    <w:bookmarkStart w:id="115"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15"/>
    <w:bookmarkStart w:id="116"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16"/>
    <w:bookmarkStart w:id="11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17"/>
    <w:bookmarkStart w:id="118"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18"/>
    <w:bookmarkStart w:id="119"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19"/>
    <w:bookmarkStart w:id="120"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20"/>
    <w:bookmarkStart w:id="121"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21"/>
    <w:bookmarkStart w:id="122"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22"/>
    <w:bookmarkStart w:id="123"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23"/>
    <w:bookmarkStart w:id="124"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24"/>
    <w:bookmarkStart w:id="125"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25"/>
    <w:bookmarkStart w:id="126"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26"/>
    <w:bookmarkStart w:id="127"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27"/>
    <w:bookmarkStart w:id="128"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28"/>
    <w:bookmarkStart w:id="129"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29"/>
    <w:bookmarkStart w:id="130"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30"/>
    <w:bookmarkStart w:id="131"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31"/>
    <w:bookmarkStart w:id="132"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32"/>
    <w:bookmarkStart w:id="133"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33"/>
    <w:bookmarkStart w:id="134"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34"/>
    <w:bookmarkStart w:id="135"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35"/>
    <w:bookmarkStart w:id="136"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36"/>
    <w:bookmarkStart w:id="137"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37"/>
    <w:bookmarkStart w:id="138"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38"/>
    <w:bookmarkStart w:id="139"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39"/>
    <w:bookmarkStart w:id="140"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40"/>
    <w:bookmarkStart w:id="141"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41"/>
    <w:bookmarkStart w:id="142"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42"/>
    <w:bookmarkStart w:id="143"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43"/>
    <w:bookmarkStart w:id="144"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44"/>
    <w:bookmarkStart w:id="145"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45"/>
    <w:bookmarkStart w:id="146"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46"/>
    <w:bookmarkStart w:id="147"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47"/>
    <w:bookmarkStart w:id="148"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48"/>
    <w:bookmarkStart w:id="149"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49"/>
    <w:bookmarkStart w:id="150"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50"/>
    <w:bookmarkStart w:id="151"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51"/>
    <w:bookmarkStart w:id="152"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52"/>
    <w:bookmarkStart w:id="153"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53"/>
    <w:bookmarkStart w:id="154"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54"/>
    <w:bookmarkStart w:id="155"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55"/>
    <w:bookmarkStart w:id="156"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56"/>
    <w:bookmarkStart w:id="157"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57"/>
    <w:bookmarkStart w:id="158"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58"/>
    <w:bookmarkStart w:id="159"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59"/>
    <w:bookmarkStart w:id="160"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60"/>
    <w:bookmarkStart w:id="161"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61"/>
    <w:bookmarkStart w:id="162"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62"/>
    <w:bookmarkStart w:id="163"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63"/>
    <w:bookmarkStart w:id="164"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64"/>
    <w:bookmarkStart w:id="165"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65"/>
    <w:bookmarkEnd w:id="166"/>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49" Target="media/rId49.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63" Target="media/rId63.png" /><Relationship Type="http://schemas.openxmlformats.org/officeDocument/2006/relationships/hyperlink" Id="rId50" Target="2020_12_draft" TargetMode="External" /><Relationship Type="http://schemas.openxmlformats.org/officeDocument/2006/relationships/hyperlink" Id="rId52" Target="http://dx.doi.org/10.1016/j.tree.2015.09.006" TargetMode="External" /><Relationship Type="http://schemas.openxmlformats.org/officeDocument/2006/relationships/hyperlink" Id="rId32" Target="https://doi.org/10.1016/S0065-2504(08)60119-1%22-M.Slot" TargetMode="External" /><Relationship Type="http://schemas.openxmlformats.org/officeDocument/2006/relationships/hyperlink" Id="rId60"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4" Target="https://github.com/EcoClimLab/vertical-thermal-review/issues/29" TargetMode="External" /><Relationship Type="http://schemas.openxmlformats.org/officeDocument/2006/relationships/hyperlink" Id="rId58" Target="https://github.com/EcoClimLab/vertical-thermal-review/issues/8" TargetMode="External" /><Relationship Type="http://schemas.openxmlformats.org/officeDocument/2006/relationships/hyperlink" Id="rId38"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0" Target="2020_12_draft" TargetMode="External" /><Relationship Type="http://schemas.openxmlformats.org/officeDocument/2006/relationships/hyperlink" Id="rId52" Target="http://dx.doi.org/10.1016/j.tree.2015.09.006" TargetMode="External" /><Relationship Type="http://schemas.openxmlformats.org/officeDocument/2006/relationships/hyperlink" Id="rId32" Target="https://doi.org/10.1016/S0065-2504(08)60119-1%22-M.Slot" TargetMode="External" /><Relationship Type="http://schemas.openxmlformats.org/officeDocument/2006/relationships/hyperlink" Id="rId60"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4" Target="https://github.com/EcoClimLab/vertical-thermal-review/issues/29" TargetMode="External" /><Relationship Type="http://schemas.openxmlformats.org/officeDocument/2006/relationships/hyperlink" Id="rId58" Target="https://github.com/EcoClimLab/vertical-thermal-review/issues/8" TargetMode="External" /><Relationship Type="http://schemas.openxmlformats.org/officeDocument/2006/relationships/hyperlink" Id="rId38"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2021-02-02T17:45:23Z</dcterms:created>
  <dcterms:modified xsi:type="dcterms:W3CDTF">2021-02-02T17:45:23Z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