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(e.g., Bonan, 2016;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Cs/>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Cs/>
          <w:i/>
        </w:rPr>
        <w:t xml:space="preserve">et al.</w:t>
      </w:r>
      <w:r>
        <w:t xml:space="preserve">, 1997;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Cs/>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Cs/>
          <w:i/>
        </w:rPr>
        <w:t xml:space="preserve">et al.</w:t>
      </w:r>
      <w:r>
        <w:t xml:space="preserve">, 2018, 2020; Jucker</w:t>
      </w:r>
      <w:r>
        <w:t xml:space="preserve"> </w:t>
      </w:r>
      <w:r>
        <w:rPr>
          <w:iCs/>
          <w:i/>
        </w:rPr>
        <w:t xml:space="preserve">et al.</w:t>
      </w:r>
      <w:r>
        <w:t xml:space="preserve">, 2018; McGregor</w:t>
      </w:r>
      <w:r>
        <w:t xml:space="preserve"> </w:t>
      </w:r>
      <w:r>
        <w:rPr>
          <w:iCs/>
          <w:i/>
        </w:rPr>
        <w:t xml:space="preserve">et al.</w:t>
      </w:r>
      <w:r>
        <w:t xml:space="preserve">, 2021; Muller</w:t>
      </w:r>
      <w:r>
        <w:t xml:space="preserve"> </w:t>
      </w:r>
      <w:r>
        <w:rPr>
          <w:iCs/>
          <w:i/>
        </w:rPr>
        <w:t xml:space="preserve">et al.</w:t>
      </w:r>
      <w:r>
        <w:t xml:space="preserve">, 2021)</w:t>
      </w:r>
      <w:r>
        <w:t xml:space="preserve"> </w:t>
      </w:r>
      <w:r>
        <w:t xml:space="preserve">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Cs/>
          <w:i/>
        </w:rPr>
        <w:t xml:space="preserve">et al.</w:t>
      </w:r>
      <w:r>
        <w:t xml:space="preserve">, 2018;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Banerjee</w:t>
      </w:r>
      <w:r>
        <w:t xml:space="preserve"> </w:t>
      </w:r>
      <w:r>
        <w:rPr>
          <w:iCs/>
          <w:i/>
        </w:rPr>
        <w:t xml:space="preserve">et al.</w:t>
      </w:r>
      <w:r>
        <w:t xml:space="preserve">, 2017; Curtis</w:t>
      </w:r>
      <w:r>
        <w:t xml:space="preserve"> </w:t>
      </w:r>
      <w:r>
        <w:rPr>
          <w:iCs/>
          <w:i/>
        </w:rPr>
        <w:t xml:space="preserve">et al.</w:t>
      </w:r>
      <w:r>
        <w:t xml:space="preserve">, 2019)</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883685"/>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883685"/>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432622"/>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432622"/>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3046451"/>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3046451"/>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Taylor et al. 2021; 48. Harley et al. 1997; 49. Niinemets and Sun, 2014; 50. Sharkey and Monson, 2014; 51. Saimpraga et al. 2013; 52. Zwieniecki et al. 2004; 53. Sack and Scoffoni, 2013; 54.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845926"/>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845926"/>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9328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9328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5007618"/>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5007618"/>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w:t>
      </w:r>
    </w:p>
    <w:p>
      <w:pPr>
        <w:pStyle w:val="BodyText"/>
      </w:pPr>
      <w:r>
        <w:t xml:space="preserve">** (</w:t>
      </w:r>
      <w:r>
        <w:rPr>
          <w:bCs/>
          <w:b/>
        </w:rPr>
        <w:t xml:space="preserve">NIDHI, we previously had a footnote here. I believe it’s the savanna site. I can’t find that, though.</w:t>
      </w:r>
      <w:r>
        <w:t xml:space="preserve">)</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2021-09-04T14:07:17Z</dcterms:created>
  <dcterms:modified xsi:type="dcterms:W3CDTF">2021-09-04T14:07:17Z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