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Thermal sensitivity of canopy versus understory leaves: patterns, mechanisms, and ecological implications</w:t>
      </w:r>
    </w:p>
    <w:p>
      <w:pPr>
        <w:pStyle w:val="BodyText"/>
      </w:pPr>
      <w:r>
        <w:rPr>
          <w:b/>
        </w:rPr>
        <w:t xml:space="preserve">Authors (so far):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pPr>
        <w:pStyle w:val="BodyText"/>
      </w:pPr>
      <w:r>
        <w:rPr>
          <w:b/>
        </w:rPr>
        <w:t xml:space="preserve">Author Affiliations:</w:t>
      </w:r>
    </w:p>
    <w:p>
      <w:pPr>
        <w:numPr>
          <w:numId w:val="1001"/>
          <w:ilvl w:val="0"/>
        </w:numPr>
      </w:pPr>
      <w:r>
        <w:t xml:space="preserve">Conservation Ecology Center; Smithsonian Conservation Biology Institute; Front Royal, VA 22630, USA</w:t>
      </w:r>
    </w:p>
    <w:p>
      <w:pPr>
        <w:numPr>
          <w:numId w:val="1001"/>
          <w:ilvl w:val="0"/>
        </w:numPr>
      </w:pPr>
      <w:r>
        <w:t xml:space="preserve">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pPr>
        <w:pStyle w:val="Heading2"/>
      </w:pPr>
      <w:bookmarkStart w:id="21" w:name="abstract"/>
      <w:r>
        <w:t xml:space="preserve">Abstract</w:t>
      </w:r>
      <w:bookmarkEnd w:id="21"/>
    </w:p>
    <w:p>
      <w:r>
        <w:br w:type="page"/>
      </w:r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rPr>
          <w:b/>
        </w:rPr>
        <w:t xml:space="preserve">As the climate warms, understanding forest responses to temperature is critical.</w:t>
      </w:r>
      <w:r>
        <w:t xml:space="preserve"> </w:t>
      </w:r>
      <w:r>
        <w:t xml:space="preserve">Forest canopy microclimate buffering is emerging as important for forest ecology in an era of climate change.</w:t>
      </w:r>
    </w:p>
    <w:p>
      <w:pPr>
        <w:pStyle w:val="Compact"/>
        <w:numPr>
          <w:numId w:val="1002"/>
          <w:ilvl w:val="0"/>
        </w:numPr>
      </w:pPr>
      <w:r>
        <w:t xml:space="preserve">Forest canopies buffer temperatures and other conditions</w:t>
      </w:r>
    </w:p>
    <w:p>
      <w:pPr>
        <w:pStyle w:val="Compact"/>
        <w:numPr>
          <w:numId w:val="1003"/>
          <w:ilvl w:val="1"/>
        </w:numPr>
      </w:pPr>
      <w:r>
        <w:t xml:space="preserve">Zellweger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(2020)</w:t>
      </w:r>
    </w:p>
    <w:p>
      <w:pPr>
        <w:pStyle w:val="FirstParagraph"/>
      </w:pPr>
      <w:r>
        <w:t xml:space="preserve">We’re seeing increasing evidence that this impacts the ecology, with potential feedbacks to climate change.</w:t>
      </w:r>
      <w:r>
        <w:t xml:space="preserve"> </w:t>
      </w:r>
      <w:r>
        <w:t xml:space="preserve">-</w:t>
      </w:r>
      <w:r>
        <w:t xml:space="preserve"> </w:t>
      </w:r>
      <w:r>
        <w:t xml:space="preserve">Zellweger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(2020)</w:t>
      </w:r>
      <w:r>
        <w:t xml:space="preserve"> </w:t>
      </w:r>
      <w:r>
        <w:t xml:space="preserve">- (Suggitt et al. 2018, Scheffers et. al 2014)</w:t>
      </w:r>
      <w:r>
        <w:t xml:space="preserve"> </w:t>
      </w:r>
      <w:r>
        <w:t xml:space="preserve">- Larger trees suffer more during drought (Bennett et al. 2015) and may be partially influenced by temperature</w:t>
      </w:r>
    </w:p>
    <w:p>
      <w:pPr>
        <w:pStyle w:val="BodyText"/>
      </w:pPr>
      <w:r>
        <w:rPr>
          <w:b/>
        </w:rPr>
        <w:t xml:space="preserve">However, we lack a systematic understanding of biophysical and biological patterns across this gradient, how these affect leaf-level processes, and in turn how it affects ecology (Fig. 1).</w:t>
      </w:r>
    </w:p>
    <w:p>
      <w:pPr>
        <w:pStyle w:val="BodyText"/>
      </w:pPr>
      <w:r>
        <w:t xml:space="preserve">This review addresses the following questions:</w:t>
      </w:r>
    </w:p>
    <w:p>
      <w:pPr>
        <w:numPr>
          <w:numId w:val="1004"/>
          <w:ilvl w:val="0"/>
        </w:numPr>
      </w:pPr>
      <w:r>
        <w:t xml:space="preserve">How does the biophysical environment vary with height in forests?</w:t>
      </w:r>
    </w:p>
    <w:p>
      <w:pPr>
        <w:numPr>
          <w:numId w:val="1004"/>
          <w:ilvl w:val="0"/>
        </w:numPr>
      </w:pPr>
      <w:r>
        <w:t xml:space="preserve">How do leaf traits vary with height (or between sun and shade leaves) in forests?</w:t>
      </w:r>
    </w:p>
    <w:p>
      <w:pPr>
        <w:numPr>
          <w:numId w:val="1004"/>
          <w:ilvl w:val="0"/>
        </w:numPr>
      </w:pPr>
      <w:r>
        <w:t xml:space="preserve">How do biophysical environment and traits combine to affect leaf temperature?</w:t>
      </w:r>
    </w:p>
    <w:p>
      <w:pPr>
        <w:numPr>
          <w:numId w:val="1004"/>
          <w:ilvl w:val="0"/>
        </w:numPr>
      </w:pPr>
      <w:r>
        <w:t xml:space="preserve">How does leaf metabolism respond to temperature in canopy and understory settings?</w:t>
      </w:r>
    </w:p>
    <w:p>
      <w:pPr>
        <w:numPr>
          <w:numId w:val="1004"/>
          <w:ilvl w:val="0"/>
        </w:numPr>
      </w:pPr>
      <w:r>
        <w:t xml:space="preserve">What are the implications of these patterns for the ecology and climate change responses of canopy versus understory trees?</w:t>
      </w:r>
    </w:p>
    <w:p>
      <w:pPr>
        <w:pStyle w:val="FirstParagraph"/>
      </w:pPr>
      <w:r>
        <w:t xml:space="preserve">*Our primary interest is the height gradient from the top of the canopy to the understory in forests. However,</w:t>
      </w:r>
    </w:p>
    <w:p>
      <w:pPr>
        <w:pStyle w:val="CaptionedFigure"/>
      </w:pPr>
      <w:r>
        <w:drawing>
          <wp:inline>
            <wp:extent cx="3798276" cy="4233096"/>
            <wp:effectExtent b="0" l="0" r="0" t="0"/>
            <wp:docPr descr="Figure 1. (schematic of a forest summarizing most important gradients. Current fig is just a rough illustration of how this might look – a draft figure that KAT had on hand illustrating hypotheses (ignore specific content). We could have a set of arrows for each of the major categories considered here. This would be a key figure, and should be beautifully illustrated—KAT could do a watercolor, or Nidhi could illustrate)." title="" id="1" name="Picture"/>
            <a:graphic>
              <a:graphicData uri="http://schemas.openxmlformats.org/drawingml/2006/picture">
                <pic:pic>
                  <pic:nvPicPr>
                    <pic:cNvPr descr="figures_tables/schemat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423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1. (schematic of a forest summarizing most important gradients.</w:t>
      </w:r>
      <w:r>
        <w:t xml:space="preserve"> </w:t>
      </w:r>
      <w:r>
        <w:t xml:space="preserve">Current fig is just a rough illustration of how this might look – a draft figure that KAT had on hand illustrating hypotheses (ignore specific content). We could have a set of arrows for each of the major categories considered here. This would be a key figure, and should be beautifully illustrated—KAT could do a watercolor, or Nidhi could illustrate).</w:t>
      </w:r>
    </w:p>
    <w:p>
      <w:pPr>
        <w:pStyle w:val="Heading2"/>
      </w:pPr>
      <w:bookmarkStart w:id="24" w:name="the-biophysical-environment"/>
      <w:r>
        <w:t xml:space="preserve">The biophysical environment</w:t>
      </w:r>
      <w:bookmarkEnd w:id="24"/>
    </w:p>
    <w:p>
      <w:pPr>
        <w:pStyle w:val="CaptionedFigure"/>
      </w:pPr>
      <w:r>
        <w:drawing>
          <wp:inline>
            <wp:extent cx="5334000" cy="2598615"/>
            <wp:effectExtent b="0" l="0" r="0" t="0"/>
            <wp:docPr descr="Figure 2. Vertical gradients in the biophysical environment, from NEON data. Current figure is old version from Ian McGregor’s in-review paper, showing NEON data from SCBI. We could modify his code to analyze all forested NEON sites. We obviously wouldn’t present this much info per site." title="" id="1" name="Picture"/>
            <a:graphic>
              <a:graphicData uri="http://schemas.openxmlformats.org/drawingml/2006/picture">
                <pic:pic>
                  <pic:nvPicPr>
                    <pic:cNvPr descr="NEON_height_profiles/NEON_height_profile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2. Vertical gradients in the biophysical environment, from NEON data.</w:t>
      </w:r>
      <w:r>
        <w:t xml:space="preserve"> </w:t>
      </w:r>
      <w:r>
        <w:t xml:space="preserve">Current figure is old version from Ian McGregor’s in-review paper, showing NEON data from SCBI. We could modify his code to analyze all forested NEON sites. We obviously wouldn’t present this much info per site.</w:t>
      </w:r>
    </w:p>
    <w:p>
      <w:pPr>
        <w:pStyle w:val="Heading2"/>
      </w:pPr>
      <w:bookmarkStart w:id="26" w:name="trait-variation"/>
      <w:r>
        <w:t xml:space="preserve">Trait variation</w:t>
      </w:r>
      <w:bookmarkEnd w:id="26"/>
    </w:p>
    <w:p>
      <w:pPr>
        <w:pStyle w:val="Heading2"/>
      </w:pPr>
      <w:bookmarkStart w:id="27" w:name="leaf-temperature"/>
      <w:r>
        <w:t xml:space="preserve">Leaf temperature</w:t>
      </w:r>
      <w:bookmarkEnd w:id="27"/>
    </w:p>
    <w:p>
      <w:pPr>
        <w:pStyle w:val="Heading2"/>
      </w:pPr>
      <w:bookmarkStart w:id="28" w:name="leaf-metabolism-and-thermal-stress"/>
      <w:r>
        <w:t xml:space="preserve">Leaf metabolism and thermal stress</w:t>
      </w:r>
      <w:bookmarkEnd w:id="28"/>
    </w:p>
    <w:p>
      <w:pPr>
        <w:pStyle w:val="Heading2"/>
      </w:pPr>
      <w:bookmarkStart w:id="29" w:name="ecology"/>
      <w:r>
        <w:t xml:space="preserve">Ecology</w:t>
      </w:r>
      <w:bookmarkEnd w:id="29"/>
    </w:p>
    <w:p>
      <w:pPr>
        <w:pStyle w:val="Heading2"/>
      </w:pPr>
      <w:bookmarkStart w:id="30" w:name="future-questions"/>
      <w:r>
        <w:t xml:space="preserve">Future Questions</w:t>
      </w:r>
      <w:bookmarkEnd w:id="30"/>
    </w:p>
    <w:p>
      <w:pPr>
        <w:pStyle w:val="Heading2"/>
      </w:pPr>
      <w:bookmarkStart w:id="31" w:name="conclusions"/>
      <w:r>
        <w:t xml:space="preserve">Conclusions</w:t>
      </w:r>
      <w:bookmarkEnd w:id="31"/>
    </w:p>
    <w:p>
      <w:r>
        <w:br w:type="page"/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34" w:name="refs"/>
    <w:bookmarkStart w:id="33" w:name="ref-zellweger_forest_2020"/>
    <w:p>
      <w:pPr>
        <w:pStyle w:val="Bibliography"/>
      </w:pPr>
      <w:r>
        <w:rPr>
          <w:b w:val="0"/>
          <w:b/>
        </w:rPr>
        <w:t xml:space="preserve">Zellweger F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De Frenne P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Lenoir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Vangansbeke P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Verheyen K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Bernhardt-Römermann M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Baeten L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Hédl 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Berki I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Brunet J</w:t>
      </w:r>
      <w:r>
        <w:rPr>
          <w:b/>
        </w:rPr>
        <w:t xml:space="preserve"> </w:t>
      </w:r>
      <w:r>
        <w:rPr>
          <w:i/>
          <w:b/>
        </w:rPr>
        <w:t xml:space="preserve">et al.</w:t>
      </w:r>
      <w:r>
        <w:t xml:space="preserve"> </w:t>
      </w:r>
      <w:r>
        <w:rPr>
          <w:b/>
        </w:rPr>
        <w:t xml:space="preserve">2020</w:t>
      </w:r>
      <w:r>
        <w:t xml:space="preserve">. Forest microclimate dynamics drive plant responses to warming.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rPr>
          <w:b/>
        </w:rPr>
        <w:t xml:space="preserve">368</w:t>
      </w:r>
      <w:r>
        <w:t xml:space="preserve">: 772–775.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7261b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2020-07-30T10:32:00Z</dcterms:created>
  <dcterms:modified xsi:type="dcterms:W3CDTF">2020-07-30T10:32:00Z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