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6.png" ContentType="image/png"/>
  <Override PartName="/word/media/rId35.png" ContentType="image/png"/>
  <Override PartName="/word/media/rId22.png" ContentType="image/png"/>
  <Override PartName="/word/media/rId32.png" ContentType="image/png"/>
  <Override PartName="/word/media/rId39.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 </w:t>
      </w:r>
      <w:r>
        <w:t xml:space="preserve">that will potentially reduce [forest] biomass accumulation, and disrupt photosynthesis and metabolic processes across plant species</w:t>
      </w:r>
      <w:r>
        <w:t xml:space="preserve"> </w:t>
      </w:r>
      <w:r>
        <w:t xml:space="preserve">(Sullivan</w:t>
      </w:r>
      <w:r>
        <w:t xml:space="preserve"> </w:t>
      </w:r>
      <w:r>
        <w:rPr>
          <w:i/>
        </w:rPr>
        <w:t xml:space="preserve">et al.</w:t>
      </w:r>
      <w:r>
        <w:t xml:space="preserve">, 2020)</w:t>
      </w:r>
      <w:r>
        <w:t xml:space="preserve">.</w:t>
      </w:r>
      <w:r>
        <w:t xml:space="preserve"> </w:t>
      </w:r>
      <w:r>
        <w:t xml:space="preserve">These changes are expected to have profound effects on forest biodiversity and ecosystem function (REFS; IPBES report), and 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t xml:space="preserve"> </w:t>
      </w:r>
      <w:r>
        <w:t xml:space="preserve">(Tibbitts, 1979; Perez &amp; Feeley, 2018)</w:t>
      </w:r>
    </w:p>
    <w:p>
      <w:pPr>
        <w:pStyle w:val="BodyText"/>
      </w:pPr>
      <w:r>
        <w:t xml:space="preserve">Frequent drought-related hydraulic limitation in forests alters species thermoregulation</w:t>
      </w:r>
      <w:r>
        <w:t xml:space="preserve"> </w:t>
      </w:r>
      <w:r>
        <w:t xml:space="preserve">(Sastry</w:t>
      </w:r>
      <w:r>
        <w:t xml:space="preserve"> </w:t>
      </w:r>
      <w:r>
        <w:rPr>
          <w:i/>
        </w:rPr>
        <w:t xml:space="preserve">et al.</w:t>
      </w:r>
      <w:r>
        <w:t xml:space="preserve">, 2018)</w:t>
      </w:r>
      <w:r>
        <w:t xml:space="preserve">, and also decreases tree canopy circumference</w:t>
      </w:r>
      <w:r>
        <w:t xml:space="preserve"> </w:t>
      </w:r>
      <w:r>
        <w:t xml:space="preserve">(Aussenac, 2000)</w:t>
      </w:r>
      <w:r>
        <w:t xml:space="preserve"> </w:t>
      </w:r>
      <w:r>
        <w:t xml:space="preserve">due to sensitivity of overstory trees to variability in water availability and precipitation</w:t>
      </w:r>
      <w:r>
        <w:t xml:space="preserve"> </w:t>
      </w:r>
      <w:r>
        <w:t xml:space="preserve">(Rollinson</w:t>
      </w:r>
      <w:r>
        <w:t xml:space="preserve"> </w:t>
      </w:r>
      <w:r>
        <w:rPr>
          <w:i/>
        </w:rPr>
        <w:t xml:space="preserve">et al.</w:t>
      </w:r>
      <w:r>
        <w:t xml:space="preserve">, p. 2020)</w:t>
      </w:r>
      <w: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t xml:space="preserve"> </w:t>
      </w:r>
      <w:r>
        <w:t xml:space="preserve">(Perez &amp; Feeley, 2018)</w:t>
      </w:r>
      <w:r>
        <w:t xml:space="preserve">.</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more sensitive to warming than canopy– showing earlier spring onset and later autumn senescense</w:t>
      </w:r>
      <w:r>
        <w:t xml:space="preserve"> </w:t>
      </w:r>
      <w:r>
        <w:t xml:space="preserve">(Zohner &amp; Renner, 2019)</w:t>
      </w:r>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1"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w:t>
      </w:r>
      <w:r>
        <w:t xml:space="preserve">Senf</w:t>
      </w:r>
      <w:r>
        <w:t xml:space="preserve"> </w:t>
      </w:r>
      <w:r>
        <w:rPr>
          <w:i/>
        </w:rPr>
        <w:t xml:space="preserve">et al.</w:t>
      </w:r>
      <w:r>
        <w:t xml:space="preserve"> </w:t>
      </w:r>
      <w:r>
        <w:t xml:space="preserve">(2018)</w:t>
      </w:r>
      <w:r>
        <w:t xml:space="preserve">)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 and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7">
        <w:r>
          <w:rPr>
            <w:rStyle w:val="Hyperlink"/>
          </w:rPr>
          <w:t xml:space="preserve">Issue 2</w:t>
        </w:r>
      </w:hyperlink>
      <w:r>
        <w:t xml:space="preserve"> </w:t>
      </w:r>
      <w:r>
        <w:t xml:space="preserve">and</w:t>
      </w:r>
      <w:r>
        <w:t xml:space="preserve"> </w:t>
      </w:r>
      <w:hyperlink r:id="rId28">
        <w:r>
          <w:rPr>
            <w:rStyle w:val="Hyperlink"/>
          </w:rPr>
          <w:t xml:space="preserve">issue 20</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9">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w:t>
      </w:r>
      <w:r>
        <w:t xml:space="preserve"> </w:t>
      </w:r>
      <w:hyperlink r:id="rId27">
        <w:r>
          <w:rPr>
            <w:rStyle w:val="Hyperlink"/>
          </w:rPr>
          <w:t xml:space="preserve">issue 2</w:t>
        </w:r>
      </w:hyperlink>
      <w:r>
        <w:t xml:space="preserve">.</w:t>
      </w:r>
    </w:p>
    <w:bookmarkEnd w:id="31"/>
    <w:bookmarkStart w:id="34"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w:t>
      </w:r>
      <w:r>
        <w:t xml:space="preserve"> </w:t>
      </w:r>
      <w:r>
        <w:t xml:space="preserve">(Rozendaal</w:t>
      </w:r>
      <w:r>
        <w:t xml:space="preserve"> </w:t>
      </w:r>
      <w:r>
        <w:rPr>
          <w:i/>
        </w:rPr>
        <w:t xml:space="preserve">et al.</w:t>
      </w:r>
      <w:r>
        <w:t xml:space="preserve">, 2006)</w:t>
      </w:r>
      <w:r>
        <w:t xml:space="preserve">. 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2"/>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 Quercus alba and Quercus velutina 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3">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4"/>
    <w:bookmarkStart w:id="38" w:name="leaf-temperature-and-hydraulics"/>
    <w:p>
      <w:pPr>
        <w:pStyle w:val="Heading2"/>
      </w:pPr>
      <w:r>
        <w:t xml:space="preserve">Leaf temperature and hydraulics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4.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5"/>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4.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6">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7">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38"/>
    <w:bookmarkStart w:id="4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9"/>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40">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1">
        <w:r>
          <w:rPr>
            <w:rStyle w:val="Hyperlink"/>
          </w:rPr>
          <w:t xml:space="preserve">https://doi.org/10.1111/pce.13564</w:t>
        </w:r>
      </w:hyperlink>
      <w:r>
        <w:t xml:space="preserve">).</w:t>
      </w:r>
      <w:r>
        <w:t xml:space="preserve"> </w:t>
      </w:r>
      <w:r>
        <w:t xml:space="preserve">- Within species, isporene production scales with light/ T; however regarless of light, isoprene emission increases with T such as in understory shaded leaves?</w:t>
      </w:r>
    </w:p>
    <w:bookmarkEnd w:id="42"/>
    <w:bookmarkStart w:id="47" w:name="ecosystem-scaling-implications"/>
    <w:p>
      <w:pPr>
        <w:pStyle w:val="Heading2"/>
      </w:pPr>
      <w:r>
        <w:t xml:space="preserve">Ecosystem Scaling &amp; implications</w:t>
      </w:r>
    </w:p>
    <w:bookmarkStart w:id="43"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3"/>
    <w:bookmarkStart w:id="46"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4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45">
        <w:r>
          <w:rPr>
            <w:rStyle w:val="Hyperlink"/>
          </w:rPr>
          <w:t xml:space="preserve">ISSUE # 29</w:t>
        </w:r>
      </w:hyperlink>
      <w:r>
        <w:t xml:space="preserve">.</w:t>
      </w:r>
    </w:p>
    <w:bookmarkEnd w:id="46"/>
    <w:bookmarkEnd w:id="47"/>
    <w:bookmarkStart w:id="49" w:name="Xe60e3a61b7b2e9abd8fe6c494a36108b87bace1"/>
    <w:p>
      <w:pPr>
        <w:pStyle w:val="Heading2"/>
      </w:pPr>
      <w:r>
        <w:t xml:space="preserve">Implications for Modeling / Scaling / Future Climate Projections</w:t>
      </w:r>
    </w:p>
    <w:p>
      <w:pPr>
        <w:pStyle w:val="FirstParagraph"/>
      </w:pPr>
      <w:r>
        <w:rPr>
          <w:i/>
        </w:rPr>
        <w:t xml:space="preserve">Ecosystem Scale Implications</w:t>
      </w:r>
      <w:r>
        <w:t xml:space="preserve"> </w:t>
      </w:r>
      <w:r>
        <w:t xml:space="preserve">(Elsa: I included info on ecosystem function here – e.g., transpiration, gpp)</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p>
      <w:pPr>
        <w:pStyle w:val="BodyText"/>
      </w:pPr>
      <w:r>
        <w:rPr>
          <w:i/>
        </w:rPr>
        <w:t xml:space="preserve">Representing Vertical Gradients in Models</w:t>
      </w:r>
      <w:r>
        <w:t xml:space="preserve"> </w:t>
      </w:r>
      <w:r>
        <w:t xml:space="preserve">[How do models currently integrate or not integrate these concepts and dynamics]</w:t>
      </w:r>
      <w:r>
        <w:t xml:space="preserve"> </w:t>
      </w:r>
      <w:r>
        <w:t xml:space="preserve">(</w:t>
      </w:r>
      <w:r>
        <w:t xml:space="preserve">(</w:t>
      </w:r>
      <w:r>
        <w:rPr>
          <w:b/>
        </w:rPr>
        <w:t xml:space="preserve">???</w:t>
      </w:r>
      <w:r>
        <w:t xml:space="preserve">)</w:t>
      </w:r>
      <w:r>
        <w:t xml:space="preserve"> </w:t>
      </w:r>
      <w:r>
        <w:t xml:space="preserve">&amp;</w:t>
      </w:r>
      <w:r>
        <w:t xml:space="preserve"> </w:t>
      </w:r>
      <w:r>
        <w:t xml:space="preserve">(</w:t>
      </w:r>
      <w:r>
        <w:rPr>
          <w:b/>
        </w:rPr>
        <w:t xml:space="preserve">???</w:t>
      </w:r>
      <w:r>
        <w:t xml:space="preserve">)</w:t>
      </w:r>
      <w: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p>
      <w:pPr>
        <w:pStyle w:val="BodyText"/>
      </w:pPr>
      <w:r>
        <w:rPr>
          <w:i/>
        </w:rPr>
        <w:t xml:space="preserve">Knowledge Gaps &amp; Future Research</w:t>
      </w:r>
      <w:r>
        <w:t xml:space="preserve"> </w:t>
      </w:r>
      <w:r>
        <w:t xml:space="preserve">- What do [current model abilities or inabilities to integrate these concepts] mean for about ability to predict/understand how forest ecosystems will respond in the future?</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Not sure where this section should go</w:t>
      </w:r>
    </w:p>
    <w:bookmarkStart w:id="48" w:name="X81231cce53188fe35f6d56730db0dc994d0c1d7"/>
    <w:p>
      <w:pPr>
        <w:pStyle w:val="Heading3"/>
      </w:pPr>
      <w:r>
        <w:t xml:space="preserve">Implications for climate change responses</w:t>
      </w:r>
    </w:p>
    <w:p>
      <w:pPr>
        <w:numPr>
          <w:ilvl w:val="0"/>
          <w:numId w:val="1010"/>
        </w:numPr>
      </w:pPr>
      <w:r>
        <w:t xml:space="preserve">CO2 may lead to denser understory (Martijn)</w:t>
      </w:r>
    </w:p>
    <w:p>
      <w:pPr>
        <w:numPr>
          <w:ilvl w:val="0"/>
          <w:numId w:val="1010"/>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8"/>
    <w:bookmarkEnd w:id="49"/>
    <w:bookmarkStart w:id="50" w:name="conclusions"/>
    <w:p>
      <w:pPr>
        <w:pStyle w:val="Heading2"/>
      </w:pPr>
      <w:r>
        <w:t xml:space="preserve">Conclusions</w:t>
      </w:r>
    </w:p>
    <w:bookmarkEnd w:id="50"/>
    <w:bookmarkStart w:id="51"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51"/>
    <w:bookmarkStart w:id="146" w:name="references"/>
    <w:p>
      <w:pPr>
        <w:pStyle w:val="Heading2"/>
      </w:pPr>
      <w:r>
        <w:t xml:space="preserve">References</w:t>
      </w:r>
    </w:p>
    <w:bookmarkStart w:id="145" w:name="refs"/>
    <w:bookmarkStart w:id="52"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2"/>
    <w:bookmarkStart w:id="53"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3"/>
    <w:bookmarkStart w:id="54"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4"/>
    <w:bookmarkStart w:id="55"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5"/>
    <w:bookmarkStart w:id="56"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6"/>
    <w:bookmarkStart w:id="57"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7"/>
    <w:bookmarkStart w:id="5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8"/>
    <w:bookmarkStart w:id="59"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9"/>
    <w:bookmarkStart w:id="60"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60"/>
    <w:bookmarkStart w:id="6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1"/>
    <w:bookmarkStart w:id="6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2"/>
    <w:bookmarkStart w:id="6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3"/>
    <w:bookmarkStart w:id="64"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64"/>
    <w:bookmarkStart w:id="65"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5"/>
    <w:bookmarkStart w:id="66"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6"/>
    <w:bookmarkStart w:id="67"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7"/>
    <w:bookmarkStart w:id="68"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68"/>
    <w:bookmarkStart w:id="69"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69"/>
    <w:bookmarkStart w:id="70"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70"/>
    <w:bookmarkStart w:id="7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71"/>
    <w:bookmarkStart w:id="72"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72"/>
    <w:bookmarkStart w:id="73"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73"/>
    <w:bookmarkStart w:id="74"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74"/>
    <w:bookmarkStart w:id="75"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5"/>
    <w:bookmarkStart w:id="76"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6"/>
    <w:bookmarkStart w:id="7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7"/>
    <w:bookmarkStart w:id="7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8"/>
    <w:bookmarkStart w:id="79"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9"/>
    <w:bookmarkStart w:id="80"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80"/>
    <w:bookmarkStart w:id="8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81"/>
    <w:bookmarkStart w:id="82"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82"/>
    <w:bookmarkStart w:id="8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83"/>
    <w:bookmarkStart w:id="8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84"/>
    <w:bookmarkStart w:id="85"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5"/>
    <w:bookmarkStart w:id="86"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6"/>
    <w:bookmarkStart w:id="8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7"/>
    <w:bookmarkStart w:id="8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8"/>
    <w:bookmarkStart w:id="8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9"/>
    <w:bookmarkStart w:id="9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90"/>
    <w:bookmarkStart w:id="91"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91"/>
    <w:bookmarkStart w:id="92"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2"/>
    <w:bookmarkStart w:id="93"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93"/>
    <w:bookmarkStart w:id="94"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94"/>
    <w:bookmarkStart w:id="95"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95"/>
    <w:bookmarkStart w:id="96"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7"/>
    <w:bookmarkStart w:id="9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8"/>
    <w:bookmarkStart w:id="9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9"/>
    <w:bookmarkStart w:id="10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00"/>
    <w:bookmarkStart w:id="101"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01"/>
    <w:bookmarkStart w:id="102"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02"/>
    <w:bookmarkStart w:id="103"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03"/>
    <w:bookmarkStart w:id="104"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04"/>
    <w:bookmarkStart w:id="105"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05"/>
    <w:bookmarkStart w:id="106"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06"/>
    <w:bookmarkStart w:id="107"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7"/>
    <w:bookmarkStart w:id="108"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8"/>
    <w:bookmarkStart w:id="109"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09"/>
    <w:bookmarkStart w:id="11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10"/>
    <w:bookmarkStart w:id="11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11"/>
    <w:bookmarkStart w:id="11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12"/>
    <w:bookmarkStart w:id="113"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13"/>
    <w:bookmarkStart w:id="114"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14"/>
    <w:bookmarkStart w:id="115"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15"/>
    <w:bookmarkStart w:id="11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16"/>
    <w:bookmarkStart w:id="11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17"/>
    <w:bookmarkStart w:id="11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18"/>
    <w:bookmarkStart w:id="11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19"/>
    <w:bookmarkStart w:id="12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20"/>
    <w:bookmarkStart w:id="121"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21"/>
    <w:bookmarkStart w:id="12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22"/>
    <w:bookmarkStart w:id="12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23"/>
    <w:bookmarkStart w:id="124"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24"/>
    <w:bookmarkStart w:id="12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25"/>
    <w:bookmarkStart w:id="12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26"/>
    <w:bookmarkStart w:id="12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27"/>
    <w:bookmarkStart w:id="12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28"/>
    <w:bookmarkStart w:id="12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29"/>
    <w:bookmarkStart w:id="13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30"/>
    <w:bookmarkStart w:id="13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31"/>
    <w:bookmarkStart w:id="132"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32"/>
    <w:bookmarkStart w:id="13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33"/>
    <w:bookmarkStart w:id="134"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34"/>
    <w:bookmarkStart w:id="135"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35"/>
    <w:bookmarkStart w:id="136"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36"/>
    <w:bookmarkStart w:id="137"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37"/>
    <w:bookmarkStart w:id="138"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38"/>
    <w:bookmarkStart w:id="139"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39"/>
    <w:bookmarkStart w:id="14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40"/>
    <w:bookmarkStart w:id="141"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41"/>
    <w:bookmarkStart w:id="142"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42"/>
    <w:bookmarkStart w:id="14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43"/>
    <w:bookmarkStart w:id="144"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hyperlink" Id="rId37" Target="http://dx.doi.org/10.1016/j.tree.2015.09.006" TargetMode="External" /><Relationship Type="http://schemas.openxmlformats.org/officeDocument/2006/relationships/hyperlink" Id="rId29"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28"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dx.doi.org/10.1016/j.tree.2015.09.006" TargetMode="External" /><Relationship Type="http://schemas.openxmlformats.org/officeDocument/2006/relationships/hyperlink" Id="rId29" Target="https://doi.org/10.1016/S0065-2504(08)60119-1%22-M.Slot" TargetMode="External" /><Relationship Type="http://schemas.openxmlformats.org/officeDocument/2006/relationships/hyperlink" Id="rId41"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28"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45" Target="https://github.com/EcoClimLab/vertical-thermal-review/issues/29"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40" Target="https://github.com/EcoClimLab/vertical-thermal-review/issues/8" TargetMode="External" /><Relationship Type="http://schemas.openxmlformats.org/officeDocument/2006/relationships/hyperlink" Id="rId3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2021-01-26T14:37:38Z</dcterms:created>
  <dcterms:modified xsi:type="dcterms:W3CDTF">2021-01-26T14:37:38Z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