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42.png" ContentType="image/png"/>
  <Override PartName="/word/media/rId22.png" ContentType="image/png"/>
  <Override PartName="/word/media/rId38.png" ContentType="image/png"/>
  <Override PartName="/word/media/rId48.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[REFS].</w:t>
      </w:r>
      <w:r>
        <w:t xml:space="preserve"> </w:t>
      </w:r>
      <w:r>
        <w:t xml:space="preserve">These changes are expected to have profound effects on tree metabolism and forest ecosystem function (REFS; IPBES report), including</w:t>
      </w:r>
      <w:r>
        <w:t xml:space="preserve"> </w:t>
      </w:r>
      <w:r>
        <w:rPr>
          <w:i/>
        </w:rPr>
        <w:t xml:space="preserve">(altered rates of photosynthesis and respiration)</w:t>
      </w:r>
      <w:r>
        <w:t xml:space="preserve"> </w:t>
      </w:r>
      <w:r>
        <w:t xml:space="preserve">[REF], foliar damage during heat waves [],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rPr>
          <w:strike/>
        </w:rPr>
        <w:t xml:space="preserve">The capacity of buffering largely depends on canopy cover and water availability</w:t>
      </w:r>
      <w:r>
        <w:rPr>
          <w:strike/>
        </w:rPr>
        <w:t xml:space="preserve"> </w:t>
      </w:r>
      <w:r>
        <w:rPr>
          <w:strike/>
        </w:rPr>
        <w:t xml:space="preserve">(Davis</w:t>
      </w:r>
      <w:r>
        <w:rPr>
          <w:strike/>
        </w:rPr>
        <w:t xml:space="preserve"> </w:t>
      </w:r>
      <w:r>
        <w:rPr>
          <w:i/>
          <w:strike/>
        </w:rPr>
        <w:t xml:space="preserve">et al.</w:t>
      </w:r>
      <w:r>
        <w:rPr>
          <w:strike/>
        </w:rPr>
        <w:t xml:space="preserve">, 2019)</w:t>
      </w:r>
      <w:r>
        <w:rPr>
          <w:strike/>
        </w:rPr>
        <w:t xml:space="preserve">, each of which is subjected to change through climate-driven disturbances such as drought, deforestation, fire and related disruptions</w:t>
      </w:r>
      <w:r>
        <w:rPr>
          <w:strike/>
        </w:rPr>
        <w:t xml:space="preserve"> </w:t>
      </w:r>
      <w:r>
        <w:rPr>
          <w:strike/>
        </w:rPr>
        <w:t xml:space="preserve">(Senf</w:t>
      </w:r>
      <w:r>
        <w:rPr>
          <w:strike/>
        </w:rPr>
        <w:t xml:space="preserve"> </w:t>
      </w:r>
      <w:r>
        <w:rPr>
          <w:i/>
          <w:strike/>
        </w:rPr>
        <w:t xml:space="preserve">et al.</w:t>
      </w:r>
      <w:r>
        <w:rPr>
          <w:strike/>
        </w:rPr>
        <w:t xml:space="preserve">, 2018)</w:t>
      </w:r>
      <w:r>
        <w:rPr>
          <w:strike/>
        </w:rP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rPr>
          <w:strike/>
        </w:rPr>
        <w:t xml:space="preserve"> </w:t>
      </w:r>
      <w:r>
        <w:rPr>
          <w:strike/>
        </w:rPr>
        <w:t xml:space="preserve">(Mau</w:t>
      </w:r>
      <w:r>
        <w:rPr>
          <w:strike/>
        </w:rPr>
        <w:t xml:space="preserve"> </w:t>
      </w:r>
      <w:r>
        <w:rPr>
          <w:i/>
          <w:strike/>
        </w:rPr>
        <w:t xml:space="preserve">et al.</w:t>
      </w:r>
      <w:r>
        <w:rPr>
          <w:strike/>
        </w:rPr>
        <w:t xml:space="preserve">, 2018a; Huang</w:t>
      </w:r>
      <w:r>
        <w:rPr>
          <w:strike/>
        </w:rPr>
        <w:t xml:space="preserve"> </w:t>
      </w:r>
      <w:r>
        <w:rPr>
          <w:i/>
          <w:strike/>
        </w:rPr>
        <w:t xml:space="preserve">et al.</w:t>
      </w:r>
      <w:r>
        <w:rPr>
          <w:strike/>
        </w:rPr>
        <w:t xml:space="preserve">, 2019)</w:t>
      </w:r>
      <w:r>
        <w:rPr>
          <w:strike/>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strike/>
        </w:rPr>
        <w:t xml:space="preserve"> </w:t>
      </w:r>
      <w:r>
        <w:rPr>
          <w:strike/>
        </w:rPr>
        <w:t xml:space="preserve">(Tibbitts, 1979; Perez &amp; Feeley, 2018)</w:t>
      </w:r>
    </w:p>
    <w:p>
      <w:pPr>
        <w:pStyle w:val="BodyText"/>
      </w:pPr>
      <w:r>
        <w:rPr>
          <w:strike/>
        </w:rPr>
        <w:t xml:space="preserve">Frequent drought-related hydraulic limitation in forests alters species thermoregulation</w:t>
      </w:r>
      <w:r>
        <w:rPr>
          <w:strike/>
        </w:rPr>
        <w:t xml:space="preserve"> </w:t>
      </w:r>
      <w:r>
        <w:rPr>
          <w:strike/>
        </w:rPr>
        <w:t xml:space="preserve">(Sastry</w:t>
      </w:r>
      <w:r>
        <w:rPr>
          <w:strike/>
        </w:rPr>
        <w:t xml:space="preserve"> </w:t>
      </w:r>
      <w:r>
        <w:rPr>
          <w:i/>
          <w:strike/>
        </w:rPr>
        <w:t xml:space="preserve">et al.</w:t>
      </w:r>
      <w:r>
        <w:rPr>
          <w:strike/>
        </w:rPr>
        <w:t xml:space="preserve">, 2018)</w:t>
      </w:r>
      <w:r>
        <w:rPr>
          <w:strike/>
        </w:rPr>
        <w:t xml:space="preserve">, and also decreases tree canopy circumference</w:t>
      </w:r>
      <w:r>
        <w:rPr>
          <w:strike/>
        </w:rPr>
        <w:t xml:space="preserve"> </w:t>
      </w:r>
      <w:r>
        <w:rPr>
          <w:strike/>
        </w:rPr>
        <w:t xml:space="preserve">(Aussenac, 2000)</w:t>
      </w:r>
      <w:r>
        <w:rPr>
          <w:strike/>
        </w:rPr>
        <w:t xml:space="preserve"> </w:t>
      </w:r>
      <w:r>
        <w:rPr>
          <w:strike/>
        </w:rPr>
        <w:t xml:space="preserve">due to sensitivity of overstory trees to variability in water availability and precipitation</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strike/>
        </w:rPr>
        <w:t xml:space="preserve"> </w:t>
      </w:r>
      <w:r>
        <w:rPr>
          <w:strike/>
        </w:rPr>
        <w:t xml:space="preserve">(McDowell</w:t>
      </w:r>
      <w:r>
        <w:rPr>
          <w:strike/>
        </w:rPr>
        <w:t xml:space="preserve"> </w:t>
      </w:r>
      <w:r>
        <w:rPr>
          <w:i/>
          <w:strike/>
        </w:rPr>
        <w:t xml:space="preserve">et al.</w:t>
      </w:r>
      <w:r>
        <w:rPr>
          <w:strike/>
        </w:rPr>
        <w:t xml:space="preserve">, 2008; Brienen et al. 2015; Bennett</w:t>
      </w:r>
      <w:r>
        <w:rPr>
          <w:strike/>
        </w:rPr>
        <w:t xml:space="preserve"> </w:t>
      </w:r>
      <w:r>
        <w:rPr>
          <w:i/>
          <w:strike/>
        </w:rPr>
        <w:t xml:space="preserve">et al.</w:t>
      </w:r>
      <w:r>
        <w:rPr>
          <w:strike/>
        </w:rPr>
        <w:t xml:space="preserve">, 2015; Stovall</w:t>
      </w:r>
      <w:r>
        <w:rPr>
          <w:strike/>
        </w:rPr>
        <w:t xml:space="preserve"> </w:t>
      </w:r>
      <w:r>
        <w:rPr>
          <w:i/>
          <w:strike/>
        </w:rPr>
        <w:t xml:space="preserve">et al.</w:t>
      </w:r>
      <w:r>
        <w:rPr>
          <w:strike/>
        </w:rPr>
        <w:t xml:space="preserve">, 2019)</w:t>
      </w:r>
      <w:r>
        <w:rPr>
          <w:strike/>
        </w:rPr>
        <w:t xml:space="preserve">. Increases in loss of canopy cover</w:t>
      </w:r>
      <w:r>
        <w:rPr>
          <w:strike/>
        </w:rPr>
        <w:t xml:space="preserve"> </w:t>
      </w:r>
      <w:r>
        <w:rPr>
          <w:strike/>
        </w:rPr>
        <w:t xml:space="preserve">(Senf</w:t>
      </w:r>
      <w:r>
        <w:rPr>
          <w:strike/>
        </w:rPr>
        <w:t xml:space="preserve"> </w:t>
      </w:r>
      <w:r>
        <w:rPr>
          <w:i/>
          <w:strike/>
        </w:rPr>
        <w:t xml:space="preserve">et al.</w:t>
      </w:r>
      <w:r>
        <w:rPr>
          <w:strike/>
        </w:rPr>
        <w:t xml:space="preserve">, 2018; Senf &amp; Seidl, 2020)</w:t>
      </w:r>
      <w:r>
        <w:rPr>
          <w:strike/>
        </w:rPr>
        <w:t xml:space="preserve"> </w:t>
      </w:r>
      <w:r>
        <w:rPr>
          <w:strike/>
        </w:rPr>
        <w:t xml:space="preserve">are also associated with reduced canopy structural complexity, altering microclimates with local heating effects and surface energy balance components</w:t>
      </w:r>
      <w:r>
        <w:rPr>
          <w:strike/>
        </w:rPr>
        <w:t xml:space="preserve"> </w:t>
      </w:r>
      <w:r>
        <w:rPr>
          <w:strike/>
        </w:rPr>
        <w:t xml:space="preserve">(Stark</w:t>
      </w:r>
      <w:r>
        <w:rPr>
          <w:strike/>
        </w:rPr>
        <w:t xml:space="preserve"> </w:t>
      </w:r>
      <w:r>
        <w:rPr>
          <w:i/>
          <w:strike/>
        </w:rPr>
        <w:t xml:space="preserve">et al.</w:t>
      </w:r>
      <w:r>
        <w:rPr>
          <w:strike/>
        </w:rPr>
        <w:t xml:space="preserve">, 2020; Zellweger</w:t>
      </w:r>
      <w:r>
        <w:rPr>
          <w:strike/>
        </w:rPr>
        <w:t xml:space="preserve"> </w:t>
      </w:r>
      <w:r>
        <w:rPr>
          <w:i/>
          <w:strike/>
        </w:rPr>
        <w:t xml:space="preserve">et al.</w:t>
      </w:r>
      <w:r>
        <w:rPr>
          <w:strike/>
        </w:rPr>
        <w:t xml:space="preserve">, 2020a)</w:t>
      </w:r>
      <w:r>
        <w:rPr>
          <w:strike/>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strike/>
        </w:rPr>
        <w:t xml:space="preserve"> </w:t>
      </w:r>
      <w:r>
        <w:rPr>
          <w:strike/>
        </w:rPr>
        <w:t xml:space="preserve">(Perez &amp; Feeley, 2018)</w:t>
      </w:r>
      <w:r>
        <w:rPr>
          <w:strike/>
        </w:rPr>
        <w:t xml:space="preserve">.</w:t>
      </w:r>
    </w:p>
    <w:p>
      <w:pPr>
        <w:pStyle w:val="BodyText"/>
      </w:pPr>
      <w:r>
        <w:rPr>
          <w:strike/>
        </w:rPr>
        <w:t xml:space="preserve">While forest microclimates are insulated from macroclimatic extremes, they are still subjected to warming trends</w:t>
      </w:r>
      <w:r>
        <w:rPr>
          <w:strike/>
        </w:rPr>
        <w:t xml:space="preserve"> </w:t>
      </w:r>
      <w:r>
        <w:rPr>
          <w:strike/>
        </w:rPr>
        <w:t xml:space="preserve">(Bertrand</w:t>
      </w:r>
      <w:r>
        <w:rPr>
          <w:strike/>
        </w:rPr>
        <w:t xml:space="preserve"> </w:t>
      </w:r>
      <w:r>
        <w:rPr>
          <w:i/>
          <w:strike/>
        </w:rPr>
        <w:t xml:space="preserve">et al.</w:t>
      </w:r>
      <w:r>
        <w:rPr>
          <w:strike/>
        </w:rPr>
        <w:t xml:space="preserve">, 2020)</w:t>
      </w:r>
      <w:r>
        <w:rPr>
          <w:strike/>
        </w:rPr>
        <w:t xml:space="preserve">. Understories experience a distinct set of pressures as microclimatic warming combines with conditions of limited light and related foliar traits, inter-species resource competition, and herbivory</w:t>
      </w:r>
      <w:r>
        <w:rPr>
          <w:strike/>
        </w:rPr>
        <w:t xml:space="preserve"> </w:t>
      </w:r>
      <w:r>
        <w:rPr>
          <w:strike/>
        </w:rPr>
        <w:t xml:space="preserve">(Bartholomew</w:t>
      </w:r>
      <w:r>
        <w:rPr>
          <w:strike/>
        </w:rPr>
        <w:t xml:space="preserve"> </w:t>
      </w:r>
      <w:r>
        <w:rPr>
          <w:i/>
          <w:strike/>
        </w:rPr>
        <w:t xml:space="preserve">et al.</w:t>
      </w:r>
      <w:r>
        <w:rPr>
          <w:strike/>
        </w:rPr>
        <w:t xml:space="preserve">, 2020; Niinemets, 2010)</w:t>
      </w:r>
      <w:r>
        <w:rPr>
          <w:strike/>
        </w:rPr>
        <w:t xml:space="preserve">. Since temperature sensitivity is directly linked with plant metabolic processes and performance, even around 1 degree of warming can lead to changes in plant species composition and growth</w:t>
      </w:r>
      <w:r>
        <w:rPr>
          <w:strike/>
        </w:rPr>
        <w:t xml:space="preserve"> </w:t>
      </w:r>
      <w:r>
        <w:rPr>
          <w:strike/>
        </w:rPr>
        <w:t xml:space="preserve">(Bertrand</w:t>
      </w:r>
      <w:r>
        <w:rPr>
          <w:strike/>
        </w:rPr>
        <w:t xml:space="preserve"> </w:t>
      </w:r>
      <w:r>
        <w:rPr>
          <w:i/>
          <w:strike/>
        </w:rPr>
        <w:t xml:space="preserve">et al.</w:t>
      </w:r>
      <w:r>
        <w:rPr>
          <w:strike/>
        </w:rPr>
        <w:t xml:space="preserve">, 2011, 2020)</w:t>
      </w:r>
      <w:r>
        <w:rPr>
          <w:strike/>
        </w:rPr>
        <w:t xml:space="preserve">. Plant communities in forest microclimates are already undergoing thermophilization</w:t>
      </w:r>
      <w:r>
        <w:rPr>
          <w:strike/>
        </w:rPr>
        <w:t xml:space="preserve"> </w:t>
      </w:r>
      <w:r>
        <w:rPr>
          <w:strike/>
        </w:rPr>
        <w:t xml:space="preserve">(Zellweger</w:t>
      </w:r>
      <w:r>
        <w:rPr>
          <w:strike/>
        </w:rPr>
        <w:t xml:space="preserve"> </w:t>
      </w:r>
      <w:r>
        <w:rPr>
          <w:i/>
          <w:strike/>
        </w:rPr>
        <w:t xml:space="preserve">et al.</w:t>
      </w:r>
      <w:r>
        <w:rPr>
          <w:strike/>
        </w:rPr>
        <w:t xml:space="preserve">, 2019, 2020a; De Frenne</w:t>
      </w:r>
      <w:r>
        <w:rPr>
          <w:strike/>
        </w:rPr>
        <w:t xml:space="preserve"> </w:t>
      </w:r>
      <w:r>
        <w:rPr>
          <w:i/>
          <w:strike/>
        </w:rPr>
        <w:t xml:space="preserve">et al.</w:t>
      </w:r>
      <w:r>
        <w:rPr>
          <w:strike/>
        </w:rPr>
        <w:t xml:space="preserve">, 2013; Duque</w:t>
      </w:r>
      <w:r>
        <w:rPr>
          <w:strike/>
        </w:rPr>
        <w:t xml:space="preserve"> </w:t>
      </w:r>
      <w:r>
        <w:rPr>
          <w:i/>
          <w:strike/>
        </w:rPr>
        <w:t xml:space="preserve">et al.</w:t>
      </w:r>
      <w:r>
        <w:rPr>
          <w:strike/>
        </w:rPr>
        <w:t xml:space="preserve">, 2015)</w:t>
      </w:r>
      <w:r>
        <w:rPr>
          <w:strike/>
        </w:rPr>
        <w:t xml:space="preserve">. Tree-ring analysis in mesic temperate forests shows reduced growth of understory trees relative to overstory with warming temperatures</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In addition, understory growth phenology is more sensitive to warming than canopy– showing earlier spring onset and later autumn senescense</w:t>
      </w:r>
      <w:r>
        <w:rPr>
          <w:strike/>
        </w:rPr>
        <w:t xml:space="preserve"> </w:t>
      </w:r>
      <w:r>
        <w:rPr>
          <w:strike/>
        </w:rPr>
        <w:t xml:space="preserve">(Zohner &amp; Renner, 2019)</w:t>
      </w:r>
      <w:r>
        <w:rPr>
          <w:strike/>
        </w:rPr>
        <w:t xml:space="preserve">.</w:t>
      </w:r>
    </w:p>
    <w:p>
      <w:pPr>
        <w:pStyle w:val="BodyText"/>
      </w:pPr>
      <w:r>
        <w:rPr>
          <w:strike/>
        </w:rPr>
        <w:t xml:space="preserve">Microclimate warming has implications for forest regeneration</w:t>
      </w:r>
      <w:r>
        <w:rPr>
          <w:strike/>
        </w:rPr>
        <w:t xml:space="preserve"> </w:t>
      </w:r>
      <w:r>
        <w:rPr>
          <w:strike/>
        </w:rPr>
        <w:t xml:space="preserve">(von Arx</w:t>
      </w:r>
      <w:r>
        <w:rPr>
          <w:strike/>
        </w:rPr>
        <w:t xml:space="preserve"> </w:t>
      </w:r>
      <w:r>
        <w:rPr>
          <w:i/>
          <w:strike/>
        </w:rPr>
        <w:t xml:space="preserve">et al.</w:t>
      </w:r>
      <w:r>
        <w:rPr>
          <w:strike/>
        </w:rPr>
        <w:t xml:space="preserve">, 2012)</w:t>
      </w:r>
      <w:r>
        <w:rPr>
          <w:strike/>
        </w:rPr>
        <w:t xml:space="preserve">. Temperature driven photosynthesis limitation is reducing tree growth rates, accompanying a global trend towards more frequently disturbed forests dominanted by younger trees</w:t>
      </w:r>
      <w:r>
        <w:rPr>
          <w:strike/>
        </w:rPr>
        <w:t xml:space="preserve"> </w:t>
      </w:r>
      <w:r>
        <w:rPr>
          <w:strike/>
        </w:rPr>
        <w:t xml:space="preserve">(McDowell</w:t>
      </w:r>
      <w:r>
        <w:rPr>
          <w:strike/>
        </w:rPr>
        <w:t xml:space="preserve"> </w:t>
      </w:r>
      <w:r>
        <w:rPr>
          <w:i/>
          <w:strike/>
        </w:rPr>
        <w:t xml:space="preserve">et al.</w:t>
      </w:r>
      <w:r>
        <w:rPr>
          <w:strike/>
        </w:rPr>
        <w:t xml:space="preserve">, 2020)</w:t>
      </w:r>
      <w:r>
        <w:rPr>
          <w:strike/>
        </w:rPr>
        <w:t xml:space="preserve">. Reductions in canopy cover can lead to non-linear threshold responses, causing dramatic shifts from one forest state to another (e.g., transition from forest to savanna-like vegetation in tropical forest regions through</w:t>
      </w:r>
      <w:r>
        <w:rPr>
          <w:strike/>
        </w:rPr>
        <w:t xml:space="preserve"> </w:t>
      </w:r>
      <w:r>
        <w:rPr>
          <w:strike/>
        </w:rPr>
        <w:t xml:space="preserve">“</w:t>
      </w:r>
      <w:r>
        <w:rPr>
          <w:strike/>
        </w:rPr>
        <w:t xml:space="preserve">savannization</w:t>
      </w:r>
      <w:r>
        <w:rPr>
          <w:strike/>
        </w:rPr>
        <w:t xml:space="preserve">”</w:t>
      </w:r>
      <w:r>
        <w:rPr>
          <w:strike/>
        </w:rPr>
        <w:t xml:space="preserve">), with energy balance impacts and implications for forest-atmosphere interactions</w:t>
      </w:r>
      <w:r>
        <w:rPr>
          <w:strike/>
        </w:rPr>
        <w:t xml:space="preserve"> </w:t>
      </w:r>
      <w:r>
        <w:rPr>
          <w:strike/>
        </w:rPr>
        <w:t xml:space="preserve">(Stark</w:t>
      </w:r>
      <w:r>
        <w:rPr>
          <w:strike/>
        </w:rPr>
        <w:t xml:space="preserve"> </w:t>
      </w:r>
      <w:r>
        <w:rPr>
          <w:i/>
          <w:strike/>
        </w:rPr>
        <w:t xml:space="preserve">et al.</w:t>
      </w:r>
      <w:r>
        <w:rPr>
          <w:strike/>
        </w:rPr>
        <w:t xml:space="preserve">, 2020)</w:t>
      </w:r>
      <w:r>
        <w:rPr>
          <w:strike/>
        </w:rP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Here we review biophysical and biological patterns across the vertical canopy gradient in forests, how these gradients affect leaf-level processes and, in turn, whole plant performance (Fig. 1), and the implications for understanding forest ecosystem responses and feedbacks to climate change .</w:t>
      </w:r>
    </w:p>
    <w:p>
      <w:pPr>
        <w:numPr>
          <w:ilvl w:val="0"/>
          <w:numId w:val="1002"/>
        </w:numPr>
      </w:pPr>
      <w:r>
        <w:t xml:space="preserve">How does the biophysical environment vary with height in forests?</w:t>
      </w:r>
    </w:p>
    <w:p>
      <w:pPr>
        <w:numPr>
          <w:ilvl w:val="0"/>
          <w:numId w:val="1002"/>
        </w:numPr>
      </w:pPr>
      <w:r>
        <w:t xml:space="preserve">How do the leaf traits that most strongly influence leaf temperature and metabolism vary with height (or between sun and shade leaves) in forests?</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3"/>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Carbon dioxide (CO</w:t>
      </w:r>
      <w:r>
        <w:rPr>
          <w:vertAlign w:val="subscript"/>
          <w:b/>
        </w:rPr>
        <w:t xml:space="preserve">2</w:t>
      </w:r>
      <w:r>
        <w:rPr>
          <w:b/>
        </w:rPr>
        <w:t xml:space="preserve">) concentrations tend to be higher in the understory, primarily at night.</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w:t>
      </w:r>
      <w:r>
        <w:t xml:space="preserve"> </w:t>
      </w:r>
      <w:r>
        <w:rPr>
          <w:strike/>
        </w:rPr>
        <w:t xml:space="preserve">Furthermore, increases in mortality of big trees (e.g. </w:t>
      </w:r>
      <w:r>
        <w:rPr>
          <w:strike/>
        </w:rPr>
        <w:t xml:space="preserve">Senf</w:t>
      </w:r>
      <w:r>
        <w:rPr>
          <w:strike/>
        </w:rPr>
        <w:t xml:space="preserve"> </w:t>
      </w:r>
      <w:r>
        <w:rPr>
          <w:i/>
          <w:strike/>
        </w:rPr>
        <w:t xml:space="preserve">et al.</w:t>
      </w:r>
      <w:r>
        <w:rPr>
          <w:strike/>
        </w:rPr>
        <w:t xml:space="preserve"> </w:t>
      </w:r>
      <w:r>
        <w:rPr>
          <w:strike/>
        </w:rPr>
        <w:t xml:space="preserve">(2018)</w:t>
      </w:r>
      <w:r>
        <w:rPr>
          <w:strike/>
        </w:rPr>
        <w:t xml:space="preserve">) would increase canopy roughness and prevent build-up of CO</w:t>
      </w:r>
      <w:r>
        <w:rPr>
          <w:vertAlign w:val="subscript"/>
          <w:strike/>
        </w:rPr>
        <w:t xml:space="preserve">2</w:t>
      </w:r>
      <w:r>
        <w:rPr>
          <w:strike/>
        </w:rPr>
        <w:t xml:space="preserve"> </w:t>
      </w:r>
      <w:r>
        <w:rPr>
          <w:strike/>
        </w:rPr>
        <w:t xml:space="preserve">concentration gradients.</w:t>
      </w:r>
      <w:r>
        <w:t xml:space="preserve"> </w:t>
      </w:r>
      <w:r>
        <w:t xml:space="preserve">(</w:t>
      </w:r>
      <w:r>
        <w:rPr>
          <w:i/>
        </w:rPr>
        <w:t xml:space="preserve">but make the point about big tree mort elsewhere</w:t>
      </w:r>
      <w:r>
        <w:t xml:space="preserve">)</w:t>
      </w:r>
    </w:p>
    <w:p>
      <w:pPr>
        <w:pStyle w:val="BodyText"/>
      </w:pPr>
      <w:r>
        <w:t xml:space="preserve">(</w:t>
      </w:r>
      <w:r>
        <w:rPr>
          <w:i/>
        </w:rPr>
        <w:t xml:space="preserve">keep discussion of CO2 to what’s in the paragraph above. Definitely don’t want to go beyond a brief mention of warming effects on soil respiration</w:t>
      </w:r>
      <w:r>
        <w:t xml:space="preserve">): (Elsa: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41" w:name="trait-variation"/>
    <w:p>
      <w:pPr>
        <w:pStyle w:val="Heading2"/>
      </w:pPr>
      <w:r>
        <w:t xml:space="preserve">Trait variation</w:t>
      </w:r>
    </w:p>
    <w:p>
      <w:pPr>
        <w:pStyle w:val="FirstParagraph"/>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i/>
        </w:rPr>
        <w:t xml:space="preserve">(KAT: put intra-specific variation first, as we know a lot more about that. Then, add a brief section in inter-specific variation)</w:t>
      </w:r>
    </w:p>
    <w:bookmarkStart w:id="37" w:name="Xde014ef59d855133d0dbb594c210b1b58ec6d81"/>
    <w:p>
      <w:pPr>
        <w:pStyle w:val="Heading3"/>
      </w:pPr>
      <w:r>
        <w:t xml:space="preserve">Inter-species vertical gradient leaf trait variation</w:t>
      </w:r>
    </w:p>
    <w:p>
      <w:pPr>
        <w:pStyle w:val="FirstParagraph"/>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End w:id="37"/>
    <w:bookmarkStart w:id="40" w:name="X437fc0bac707f13d5fb2e7f1dc8918ed65126e3"/>
    <w:p>
      <w:pPr>
        <w:pStyle w:val="Heading3"/>
      </w:pPr>
      <w:r>
        <w:t xml:space="preserve">Intra-canopy on the same species leaf trait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8"/>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9">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4"/>
        </w:numPr>
        <w:pStyle w:val="Compact"/>
      </w:pPr>
      <w:r>
        <w:t xml:space="preserve">antioxidant scavenging function- protect against cellular damage</w:t>
      </w:r>
    </w:p>
    <w:p>
      <w:pPr>
        <w:numPr>
          <w:ilvl w:val="0"/>
          <w:numId w:val="1004"/>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40"/>
    <w:bookmarkEnd w:id="41"/>
    <w:bookmarkStart w:id="47" w:name="leaf-temperature"/>
    <w:p>
      <w:pPr>
        <w:pStyle w:val="Heading2"/>
      </w:pPr>
      <w:r>
        <w:t xml:space="preserve">Leaf temperature</w:t>
      </w:r>
    </w:p>
    <w:bookmarkStart w:id="44"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2"/>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43">
        <w:r>
          <w:rPr>
            <w:rStyle w:val="Hyperlink"/>
          </w:rPr>
          <w:t xml:space="preserve">ISSUE #6</w:t>
        </w:r>
      </w:hyperlink>
      <w:r>
        <w:t xml:space="preserve">.</w:t>
      </w:r>
    </w:p>
    <w:bookmarkEnd w:id="44"/>
    <w:bookmarkStart w:id="46"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6"/>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45">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7"/>
        </w:numPr>
        <w:pStyle w:val="Compact"/>
      </w:pPr>
      <w:r>
        <w:t xml:space="preserve">(Slot et al. 2019) and refs therein</w:t>
      </w:r>
    </w:p>
    <w:p>
      <w:pPr>
        <w:numPr>
          <w:ilvl w:val="0"/>
          <w:numId w:val="1007"/>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46"/>
    <w:bookmarkEnd w:id="47"/>
    <w:bookmarkStart w:id="5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4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49">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49">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0">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51"/>
    <w:bookmarkStart w:id="56" w:name="implications-for-ecology-demography"/>
    <w:p>
      <w:pPr>
        <w:pStyle w:val="Heading2"/>
      </w:pPr>
      <w:r>
        <w:t xml:space="preserve">Implications for ecology/ demography</w:t>
      </w:r>
    </w:p>
    <w:bookmarkStart w:id="52"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52"/>
    <w:bookmarkStart w:id="55"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53"/>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54">
        <w:r>
          <w:rPr>
            <w:rStyle w:val="Hyperlink"/>
          </w:rPr>
          <w:t xml:space="preserve">ISSUE # 29</w:t>
        </w:r>
      </w:hyperlink>
      <w:r>
        <w:t xml:space="preserve">.</w:t>
      </w:r>
    </w:p>
    <w:bookmarkEnd w:id="55"/>
    <w:bookmarkEnd w:id="56"/>
    <w:bookmarkStart w:id="58"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57" w:name="X81231cce53188fe35f6d56730db0dc994d0c1d7"/>
    <w:p>
      <w:pPr>
        <w:pStyle w:val="Heading3"/>
      </w:pPr>
      <w:r>
        <w:t xml:space="preserve">Implications for climate change responses</w:t>
      </w:r>
    </w:p>
    <w:p>
      <w:pPr>
        <w:numPr>
          <w:ilvl w:val="0"/>
          <w:numId w:val="1009"/>
        </w:numPr>
      </w:pPr>
      <w:r>
        <w:t xml:space="preserve">CO2 may lead to denser understory (Martijn)</w:t>
      </w:r>
    </w:p>
    <w:p>
      <w:pPr>
        <w:numPr>
          <w:ilvl w:val="0"/>
          <w:numId w:val="1009"/>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57"/>
    <w:bookmarkEnd w:id="58"/>
    <w:bookmarkStart w:id="59" w:name="conclusions"/>
    <w:p>
      <w:pPr>
        <w:pStyle w:val="Heading2"/>
      </w:pPr>
      <w:r>
        <w:t xml:space="preserve">Conclusions</w:t>
      </w:r>
    </w:p>
    <w:bookmarkEnd w:id="59"/>
    <w:bookmarkStart w:id="60"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60"/>
    <w:bookmarkStart w:id="155" w:name="references"/>
    <w:p>
      <w:pPr>
        <w:pStyle w:val="Heading2"/>
      </w:pPr>
      <w:r>
        <w:t xml:space="preserve">References</w:t>
      </w:r>
    </w:p>
    <w:bookmarkStart w:id="154" w:name="refs"/>
    <w:bookmarkStart w:id="61"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61"/>
    <w:bookmarkStart w:id="62"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62"/>
    <w:bookmarkStart w:id="63"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63"/>
    <w:bookmarkStart w:id="64"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64"/>
    <w:bookmarkStart w:id="65"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65"/>
    <w:bookmarkStart w:id="66"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66"/>
    <w:bookmarkStart w:id="67"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67"/>
    <w:bookmarkStart w:id="68"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68"/>
    <w:bookmarkStart w:id="69"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69"/>
    <w:bookmarkStart w:id="70"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70"/>
    <w:bookmarkStart w:id="71"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71"/>
    <w:bookmarkStart w:id="72"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72"/>
    <w:bookmarkStart w:id="73"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73"/>
    <w:bookmarkStart w:id="74"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74"/>
    <w:bookmarkStart w:id="75"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75"/>
    <w:bookmarkStart w:id="76"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76"/>
    <w:bookmarkStart w:id="77"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77"/>
    <w:bookmarkStart w:id="78"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78"/>
    <w:bookmarkStart w:id="79"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79"/>
    <w:bookmarkStart w:id="80"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80"/>
    <w:bookmarkStart w:id="81"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81"/>
    <w:bookmarkStart w:id="82"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82"/>
    <w:bookmarkStart w:id="83"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83"/>
    <w:bookmarkStart w:id="84"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84"/>
    <w:bookmarkStart w:id="85"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85"/>
    <w:bookmarkStart w:id="86"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86"/>
    <w:bookmarkStart w:id="87"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87"/>
    <w:bookmarkStart w:id="88"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88"/>
    <w:bookmarkStart w:id="89"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89"/>
    <w:bookmarkStart w:id="90"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90"/>
    <w:bookmarkStart w:id="91"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91"/>
    <w:bookmarkStart w:id="92"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92"/>
    <w:bookmarkStart w:id="93"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93"/>
    <w:bookmarkStart w:id="94"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94"/>
    <w:bookmarkStart w:id="95"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95"/>
    <w:bookmarkStart w:id="96"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96"/>
    <w:bookmarkStart w:id="97"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97"/>
    <w:bookmarkStart w:id="98"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98"/>
    <w:bookmarkStart w:id="9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99"/>
    <w:bookmarkStart w:id="100"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00"/>
    <w:bookmarkStart w:id="101"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1"/>
    <w:bookmarkStart w:id="102"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2"/>
    <w:bookmarkStart w:id="103"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03"/>
    <w:bookmarkStart w:id="104"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04"/>
    <w:bookmarkStart w:id="105"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05"/>
    <w:bookmarkStart w:id="106"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06"/>
    <w:bookmarkStart w:id="107"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07"/>
    <w:bookmarkStart w:id="10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08"/>
    <w:bookmarkStart w:id="109"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09"/>
    <w:bookmarkStart w:id="110"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10"/>
    <w:bookmarkStart w:id="111"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11"/>
    <w:bookmarkStart w:id="112"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12"/>
    <w:bookmarkStart w:id="113"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13"/>
    <w:bookmarkStart w:id="114"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14"/>
    <w:bookmarkStart w:id="115"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15"/>
    <w:bookmarkStart w:id="116"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16"/>
    <w:bookmarkStart w:id="117"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17"/>
    <w:bookmarkStart w:id="118"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18"/>
    <w:bookmarkStart w:id="119"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19"/>
    <w:bookmarkStart w:id="120"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20"/>
    <w:bookmarkStart w:id="121"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21"/>
    <w:bookmarkStart w:id="122"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22"/>
    <w:bookmarkStart w:id="123"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23"/>
    <w:bookmarkStart w:id="124"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24"/>
    <w:bookmarkStart w:id="125"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25"/>
    <w:bookmarkStart w:id="126"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26"/>
    <w:bookmarkStart w:id="127"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27"/>
    <w:bookmarkStart w:id="128"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28"/>
    <w:bookmarkStart w:id="129"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29"/>
    <w:bookmarkStart w:id="130"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30"/>
    <w:bookmarkStart w:id="131"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31"/>
    <w:bookmarkStart w:id="132"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32"/>
    <w:bookmarkStart w:id="133"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33"/>
    <w:bookmarkStart w:id="134"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34"/>
    <w:bookmarkStart w:id="135"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35"/>
    <w:bookmarkStart w:id="136"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36"/>
    <w:bookmarkStart w:id="137"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37"/>
    <w:bookmarkStart w:id="138"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38"/>
    <w:bookmarkStart w:id="139"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39"/>
    <w:bookmarkStart w:id="140"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40"/>
    <w:bookmarkStart w:id="141"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41"/>
    <w:bookmarkStart w:id="14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42"/>
    <w:bookmarkStart w:id="143"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43"/>
    <w:bookmarkStart w:id="144"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44"/>
    <w:bookmarkStart w:id="145"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45"/>
    <w:bookmarkStart w:id="146"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46"/>
    <w:bookmarkStart w:id="147"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47"/>
    <w:bookmarkStart w:id="148"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48"/>
    <w:bookmarkStart w:id="149"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49"/>
    <w:bookmarkStart w:id="150"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50"/>
    <w:bookmarkStart w:id="151"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51"/>
    <w:bookmarkStart w:id="152"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52"/>
    <w:bookmarkStart w:id="153"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53"/>
    <w:bookmarkEnd w:id="154"/>
    <w:bookmarkEnd w:id="1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0"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49"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0"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49"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2021-01-27T19:02:50Z</dcterms:created>
  <dcterms:modified xsi:type="dcterms:W3CDTF">2021-01-27T19:02:50Z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