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2.png" ContentType="image/png"/>
  <Override PartName="/word/media/rId48.png" ContentType="image/png"/>
  <Override PartName="/word/media/rId55.png" ContentType="image/png"/>
  <Override PartName="/word/media/rId30.png" ContentType="image/png"/>
  <Override PartName="/word/media/rId31.png" ContentType="image/png"/>
  <Override PartName="/word/media/rId38.png" ContentType="image/png"/>
  <Override PartName="/word/media/rId39.png" ContentType="image/png"/>
  <Override PartName="/word/media/rId40.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497</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(200 word limit, no bullet points )</w:t>
      </w:r>
    </w:p>
    <w:p>
      <w:pPr>
        <w:pStyle w:val="BodyText"/>
      </w:pPr>
      <w:r>
        <w:t xml:space="preserve">Clean version implementing the changes below (198 words):</w:t>
      </w:r>
    </w:p>
    <w:p>
      <w:pPr>
        <w:pStyle w:val="BodyText"/>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3" w:name="introduction"/>
    <w:p>
      <w:pPr>
        <w:pStyle w:val="Heading1"/>
      </w:pPr>
      <w:r>
        <w:t xml:space="preserve">Introduction</w:t>
      </w:r>
    </w:p>
    <w:p>
      <w:pPr>
        <w:pStyle w:val="FirstParagraph"/>
      </w:pPr>
      <w:r>
        <w:rPr>
          <w:bCs/>
          <w:b/>
        </w:rPr>
        <w:t xml:space="preserve">Forest responses and feedbacks to climate change will have a critical influence on the future of Earth’s climate.</w:t>
      </w:r>
      <w:r>
        <w:t xml:space="preserve"> </w:t>
      </w:r>
      <w:r>
        <w:t xml:space="preserve">Globally, temperatures have risen</w:t>
      </w:r>
      <w:r>
        <w:t xml:space="preserve"> </w:t>
      </w:r>
      <m:oMath>
        <m:sSup>
          <m:e>
            <m:r>
              <m:t>1.2</m:t>
            </m:r>
          </m:e>
          <m:sup>
            <m:r>
              <m:rPr>
                <m:sty m:val="p"/>
              </m:rPr>
              <m:t>∘</m:t>
            </m:r>
          </m:sup>
        </m:sSup>
      </m:oMath>
      <w:r>
        <w:t xml:space="preserve">C since 1900</w:t>
      </w:r>
      <w:r>
        <w:t xml:space="preserve"> </w:t>
      </w:r>
      <w:r>
        <w:t xml:space="preserve">(Rohde &amp; Hausfather, 2020)</w:t>
      </w:r>
      <w:r>
        <w:t xml:space="preserve"> </w:t>
      </w:r>
      <w:r>
        <w:t xml:space="preserve">and are expected to reach or even exceed an average of</w:t>
      </w:r>
      <w:r>
        <w:t xml:space="preserve"> </w:t>
      </w:r>
      <m:oMath>
        <m:sSup>
          <m:e>
            <m:r>
              <m:t>1.5</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(Rollinson</w:t>
      </w:r>
      <w:r>
        <w:t xml:space="preserve"> </w:t>
      </w:r>
      <w:r>
        <w:rPr>
          <w:iCs/>
          <w:i/>
        </w:rPr>
        <w:t xml:space="preserve">et al.</w:t>
      </w:r>
      <w:r>
        <w:t xml:space="preserve">, 2020; McDowell</w:t>
      </w:r>
      <w:r>
        <w:t xml:space="preserve"> </w:t>
      </w:r>
      <w:r>
        <w:rPr>
          <w:iCs/>
          <w:i/>
        </w:rPr>
        <w:t xml:space="preserve">et al.</w:t>
      </w:r>
      <w:r>
        <w:t xml:space="preserve">, 2020; Breshears</w:t>
      </w:r>
      <w:r>
        <w:t xml:space="preserve"> </w:t>
      </w:r>
      <w:r>
        <w:rPr>
          <w:iCs/>
          <w:i/>
        </w:rPr>
        <w:t xml:space="preserve">et al.</w:t>
      </w:r>
      <w:r>
        <w:t xml:space="preserve">, 2021)</w:t>
      </w:r>
      <w:r>
        <w:t xml:space="preserve">. Collectively, these impacts may lead to reduction of forest carbon sequestration, as has already occurred in some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rPr>
          <w:bCs/>
          <w:b/>
        </w:rPr>
        <w:t xml:space="preserve">A great measure of uncertainity arises due to the differential impacts of rising temperatures on trees of differential size and canopy position, especially as small understory trees exist in microenvironments that are substantially buffered by more exposed canopy trees</w:t>
      </w:r>
      <w:r>
        <w:rPr>
          <w:bCs/>
          <w:b/>
        </w:rPr>
        <w:t xml:space="preserve"> </w:t>
      </w:r>
      <w:r>
        <w:rPr>
          <w:bCs/>
          <w:b/>
        </w:rPr>
        <w:t xml:space="preserve">(Davis</w:t>
      </w:r>
      <w:r>
        <w:rPr>
          <w:bCs/>
          <w:b/>
        </w:rPr>
        <w:t xml:space="preserve"> </w:t>
      </w:r>
      <w:r>
        <w:rPr>
          <w:iCs/>
          <w:i/>
          <w:bCs/>
          <w:b/>
        </w:rPr>
        <w:t xml:space="preserve">et al.</w:t>
      </w:r>
      <w:r>
        <w:rPr>
          <w:bCs/>
          <w:b/>
        </w:rPr>
        <w:t xml:space="preserve">, 2019a; Zellweger</w:t>
      </w:r>
      <w:r>
        <w:rPr>
          <w:bCs/>
          <w:b/>
        </w:rPr>
        <w:t xml:space="preserve"> </w:t>
      </w:r>
      <w:r>
        <w:rPr>
          <w:iCs/>
          <w:i/>
          <w:bCs/>
          <w:b/>
        </w:rPr>
        <w:t xml:space="preserve">et al.</w:t>
      </w:r>
      <w:r>
        <w:rPr>
          <w:bCs/>
          <w:b/>
        </w:rPr>
        <w:t xml:space="preserve">, 2019)</w:t>
      </w:r>
      <w:r>
        <w:rPr>
          <w:bCs/>
          <w:b/>
        </w:rPr>
        <w:t xml:space="preserve">.</w:t>
      </w:r>
      <w:r>
        <w:t xml:space="preserve"> </w:t>
      </w:r>
      <w:r>
        <w:t xml:space="preserve">Forests are vertically and horizontally stratified, containg trees of different sizes along various successional stages.</w:t>
      </w:r>
      <w:r>
        <w:t xml:space="preserve"> </w:t>
      </w:r>
      <w:r>
        <w:t xml:space="preserve">Overstory canopies play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 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rPr>
          <w:bCs/>
          <w:b/>
        </w:rP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rPr>
          <w:iCs/>
          <w:i/>
        </w:rP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w:t>
      </w:r>
      <w:r>
        <w:t xml:space="preserve"> </w:t>
      </w:r>
      <w:r>
        <w:t xml:space="preserve">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p>
    <w:bookmarkEnd w:id="23"/>
    <w:bookmarkStart w:id="329" w:name="review-of-vertical-gradients"/>
    <w:p>
      <w:pPr>
        <w:pStyle w:val="Heading1"/>
      </w:pPr>
      <w:r>
        <w:t xml:space="preserve">Review of vertical gradients</w:t>
      </w:r>
    </w:p>
    <w:bookmarkStart w:id="25" w:name="the-biophysical-environment"/>
    <w:p>
      <w:pPr>
        <w:pStyle w:val="Heading2"/>
      </w:pPr>
      <w:r>
        <w:t xml:space="preserve">The biophysical environment</w:t>
      </w:r>
    </w:p>
    <w:p>
      <w:pPr>
        <w:pStyle w:val="FirstParagraph"/>
      </w:pPr>
      <w:r>
        <w:rPr>
          <w:bCs/>
          <w:b/>
        </w:rP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w:t>
      </w:r>
      <w:r>
        <w:t xml:space="preserve"> </w:t>
      </w:r>
      <w:r>
        <w:t xml:space="preserve">(NEON; Fig. 2, Supporting Information Figure S1; Supporting Information Methods S1, Schimel</w:t>
      </w:r>
      <w:r>
        <w:t xml:space="preserve"> </w:t>
      </w:r>
      <w:r>
        <w:rPr>
          <w:iCs/>
          <w:i/>
        </w:rPr>
        <w:t xml:space="preserve">et al.</w:t>
      </w:r>
      <w:r>
        <w:t xml:space="preserve">, 2007)</w:t>
      </w:r>
      <w:r>
        <w:t xml:space="preserve">.</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with contrasting forest structures in the National Ecological Observatory Network (NEON).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 T_{air}, and (h) maximum biological temperature, T_{bio}.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Supporting Information Figure S1. Further site information is given in Supporting Information Table S1, and analysis details in Supporting Information Methods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with contrasting forest structures in the National Ecological Observatory Network (NEON)</w:t>
      </w:r>
      <w:r>
        <w:t xml:space="preserve">.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Supporting Information Figure S1. Further site information is given in Supporting Information Table S1, and analysis details in Supporting Information Methods S1.</w:t>
      </w:r>
    </w:p>
    <w:p>
      <w:pPr>
        <w:pStyle w:val="BodyText"/>
      </w:pPr>
      <w:r>
        <w:rPr>
          <w:bCs/>
          <w:b/>
        </w:rP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Foliage distribution within a forest is determined by the distribution of tree sizes and tree architecture, along the vertical gradient by leaf area density (LAD;</w:t>
      </w:r>
      <w:r>
        <w:t xml:space="preserve"> </w:t>
      </w:r>
      <w:r>
        <w:rPr>
          <w:iCs/>
          <w:i/>
        </w:rPr>
        <w:t xml:space="preserve">i.e.</w:t>
      </w:r>
      <w:r>
        <w:t xml:space="preserve">, leaf area per unit volume) patterns that are heterogeneous across forests (Fig. 2a-b, Supporting Information Figure S1).</w:t>
      </w:r>
      <w:r>
        <w:t xml:space="preserve"> </w:t>
      </w:r>
      <w:r>
        <w:t xml:space="preserve">Dense canopy forests composed of broadleaf trees can have high LAD in the upper canopy layers, as well as in the understory (e.g., SCBI, SERC and HARV, Fig. 2a) – a pattern also common in tropical forests</w:t>
      </w:r>
      <w:r>
        <w:t xml:space="preserve"> </w:t>
      </w:r>
      <w:r>
        <w:t xml:space="preserve">(Ashton &amp; Hall, 1992; Koike &amp; Syahbuddin, 1993)</w:t>
      </w:r>
      <w:r>
        <w:t xml:space="preserve">.</w:t>
      </w:r>
      <w:r>
        <w:t xml:space="preserve"> </w:t>
      </w:r>
      <w:r>
        <w:t xml:space="preserve">In temperate forests, although LAD is generally more concentrated in the upper-canopy, undualting patterns are formed by conifers and top- vs. bottom-heavy foliage trees, and sometimes by dense understories</w:t>
      </w:r>
      <w:r>
        <w:t xml:space="preserve"> </w:t>
      </w:r>
      <w:r>
        <w:t xml:space="preserve">(Terborgh, 1985; e.g., SCBI, Fig. 2a, Parker</w:t>
      </w:r>
      <w:r>
        <w:t xml:space="preserve"> </w:t>
      </w:r>
      <w:r>
        <w:rPr>
          <w:iCs/>
          <w:i/>
        </w:rPr>
        <w:t xml:space="preserve">et al.</w:t>
      </w:r>
      <w:r>
        <w:t xml:space="preserve">, 1989, 2002; Ishii</w:t>
      </w:r>
      <w:r>
        <w:t xml:space="preserve"> </w:t>
      </w:r>
      <w:r>
        <w:rPr>
          <w:iCs/>
          <w:i/>
        </w:rPr>
        <w:t xml:space="preserve">et al.</w:t>
      </w:r>
      <w: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(Bonan, 2016; e.g.,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Cs/>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Cs/>
          <w:b/>
        </w:rPr>
        <w:t xml:space="preserve"> </w:t>
      </w:r>
      <w:r>
        <w:rPr>
          <w:bCs/>
          <w:b/>
        </w:rPr>
        <w:t xml:space="preserve">(Fig. 2a-d, Supporting Information Figure S1, Koike</w:t>
      </w:r>
      <w:r>
        <w:rPr>
          <w:bCs/>
          <w:b/>
        </w:rPr>
        <w:t xml:space="preserve"> </w:t>
      </w:r>
      <w:r>
        <w:rPr>
          <w:iCs/>
          <w:i/>
          <w:bCs/>
          <w:b/>
        </w:rPr>
        <w:t xml:space="preserve">et al.</w:t>
      </w:r>
      <w:r>
        <w:rPr>
          <w:bCs/>
          <w:b/>
        </w:rPr>
        <w:t xml:space="preserve">, 2001)</w:t>
      </w:r>
      <w:r>
        <w:rPr>
          <w:bCs/>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(Chazdon &amp; Fetcher, 1984; Baldocchi</w:t>
      </w:r>
      <w:r>
        <w:t xml:space="preserve"> </w:t>
      </w:r>
      <w:r>
        <w:rPr>
          <w:iCs/>
          <w:i/>
        </w:rPr>
        <w:t xml:space="preserve">et al.</w:t>
      </w:r>
      <w:r>
        <w:t xml:space="preserve">, 1997; e.g., OSBS, PUUM, and WREF, Fig. 2d, Supporting Information Figure S1,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Cs/>
          <w:b/>
        </w:rPr>
        <w:t xml:space="preserve">Wind speeds are also higher at the top of the canopy, owing to the buffering effect of the canopy</w:t>
      </w:r>
      <w:r>
        <w:rPr>
          <w:bCs/>
          <w:b/>
        </w:rPr>
        <w:t xml:space="preserve"> </w:t>
      </w:r>
      <w:r>
        <w:rPr>
          <w:bCs/>
          <w:b/>
        </w:rPr>
        <w:t xml:space="preserve">(Jucker</w:t>
      </w:r>
      <w:r>
        <w:rPr>
          <w:bCs/>
          <w:b/>
        </w:rPr>
        <w:t xml:space="preserve"> </w:t>
      </w:r>
      <w:r>
        <w:rPr>
          <w:iCs/>
          <w:i/>
          <w:bCs/>
          <w:b/>
        </w:rPr>
        <w:t xml:space="preserve">et al.</w:t>
      </w:r>
      <w:r>
        <w:rPr>
          <w:bCs/>
          <w:b/>
        </w:rPr>
        <w:t xml:space="preserve">, 2018)</w:t>
      </w:r>
      <w:r>
        <w:rPr>
          <w:bCs/>
          <w:b/>
        </w:rPr>
        <w:t xml:space="preserve">.</w:t>
      </w:r>
      <w:r>
        <w:t xml:space="preserve"> </w:t>
      </w:r>
      <w:r>
        <w:t xml:space="preserve">Wind speeds increase with height across forest types [Fig. 2e, Supporting Information Figure S1;</w:t>
      </w:r>
      <w:r>
        <w:t xml:space="preserve"> </w:t>
      </w:r>
      <w:r>
        <w:t xml:space="preserve">Barnard &amp; Bauerle (2016)</w:t>
      </w:r>
      <w:r>
        <w:t xml:space="preserve">;</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Jucker</w:t>
      </w:r>
      <w:r>
        <w:t xml:space="preserve"> </w:t>
      </w:r>
      <w:r>
        <w:rPr>
          <w:iCs/>
          <w:i/>
        </w:rPr>
        <w:t xml:space="preserve">et al.</w:t>
      </w:r>
      <w:r>
        <w:t xml:space="preserve"> </w:t>
      </w:r>
      <w:r>
        <w:t xml:space="preserve">(2018)</w:t>
      </w:r>
      <w:r>
        <w:t xml:space="preserve">;</w:t>
      </w:r>
      <w:r>
        <w:t xml:space="preserve"> </w:t>
      </w:r>
      <w:r>
        <w:t xml:space="preserve">Muller</w:t>
      </w:r>
      <w:r>
        <w:t xml:space="preserve"> </w:t>
      </w:r>
      <w:r>
        <w:rPr>
          <w:iCs/>
          <w:i/>
        </w:rPr>
        <w:t xml:space="preserve">et al.</w:t>
      </w:r>
      <w:r>
        <w:t xml:space="preserve"> </w:t>
      </w:r>
      <w:r>
        <w:t xml:space="preserve">(2021)</w:t>
      </w:r>
      <w:r>
        <w:t xml:space="preserve">;</w:t>
      </w:r>
      <w:r>
        <w:t xml:space="preserve"> </w:t>
      </w:r>
      <w:r>
        <w:t xml:space="preserve">Hanberry</w:t>
      </w:r>
      <w:r>
        <w:t xml:space="preserve"> </w:t>
      </w:r>
      <w:r>
        <w:rPr>
          <w:iCs/>
          <w:i/>
        </w:rPr>
        <w:t xml:space="preserve">et al.</w:t>
      </w:r>
      <w:r>
        <w:t xml:space="preserve"> </w:t>
      </w:r>
      <w:r>
        <w:t xml:space="preserve">(2020)</w:t>
      </w:r>
      <w:r>
        <w:t xml:space="preserve">;</w:t>
      </w:r>
      <w:r>
        <w:t xml:space="preserve"> </w:t>
      </w:r>
      <w:r>
        <w:t xml:space="preserve">Hanberry</w:t>
      </w:r>
      <w:r>
        <w:t xml:space="preserve"> </w:t>
      </w:r>
      <w:r>
        <w:rPr>
          <w:iCs/>
          <w:i/>
        </w:rPr>
        <w:t xml:space="preserve">et al.</w:t>
      </w:r>
      <w:r>
        <w:t xml:space="preserve"> </w:t>
      </w:r>
      <w:r>
        <w:t xml:space="preserve">(2018)</w:t>
      </w:r>
      <w:r>
        <w:t xml:space="preserve">] 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Cs/>
          <w:b/>
        </w:rPr>
        <w:t xml:space="preserve">Atmospheric concentrations of carbon dioxide (CO</w:t>
      </w:r>
      <w:r>
        <w:rPr>
          <w:vertAlign w:val="subscript"/>
          <w:bCs/>
          <w:b/>
        </w:rPr>
        <w:t xml:space="preserve">2</w:t>
      </w:r>
      <w:r>
        <w:rPr>
          <w:bCs/>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(Jucker</w:t>
      </w:r>
      <w:r>
        <w:t xml:space="preserve"> </w:t>
      </w:r>
      <w:r>
        <w:rPr>
          <w:iCs/>
          <w:i/>
        </w:rPr>
        <w:t xml:space="preserve">et al.</w:t>
      </w:r>
      <w:r>
        <w:t xml:space="preserve">, 2018; Fig. 2f, Supporting Information Figure S1, e.g.,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p>
    <w:p>
      <w:pPr>
        <w:pStyle w:val="BodyText"/>
      </w:pPr>
      <w:r>
        <w:rPr>
          <w:bCs/>
          <w:b/>
        </w:rPr>
        <w:t xml:space="preserve">Air temperature (</w:t>
      </w:r>
      <m:oMath>
        <m:sSub>
          <m:e>
            <m:r>
              <m:t>T</m:t>
            </m:r>
          </m:e>
          <m:sub>
            <m:r>
              <m:t>a</m:t>
            </m:r>
            <m:r>
              <m:t>i</m:t>
            </m:r>
            <m:r>
              <m:t>r</m:t>
            </m:r>
          </m:sub>
        </m:sSub>
      </m:oMath>
      <w:r>
        <w:rPr>
          <w:bCs/>
          <w:b/>
        </w:rP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e.g., OSBS, Fig. 2g, Supporting Information Figure S1b, Banerjee</w:t>
      </w:r>
      <w:r>
        <w:t xml:space="preserve"> </w:t>
      </w:r>
      <w:r>
        <w:rPr>
          <w:iCs/>
          <w:i/>
        </w:rPr>
        <w:t xml:space="preserve">et al.</w:t>
      </w:r>
      <w:r>
        <w:t xml:space="preserve">, 2017; Curtis</w:t>
      </w:r>
      <w:r>
        <w:t xml:space="preserve"> </w:t>
      </w:r>
      <w:r>
        <w:rPr>
          <w:iCs/>
          <w:i/>
        </w:rPr>
        <w:t xml:space="preserve">et al.</w:t>
      </w:r>
      <w:r>
        <w:t xml:space="preserve">, 2019)</w:t>
      </w:r>
      <w:r>
        <w:t xml:space="preserve">.</w:t>
      </w:r>
    </w:p>
    <w:bookmarkEnd w:id="25"/>
    <w:bookmarkStart w:id="29"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7"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Model parameters for biophysical conditions are given in Supplementary Information Table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6"/>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 Model parameters for biophysical conditions are given in Supplementary Information Table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7"/>
    <w:bookmarkStart w:id="28"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8"/>
    <w:bookmarkEnd w:id="29"/>
    <w:bookmarkStart w:id="37"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5"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r>
        <w:br w:type="page"/>
      </w:r>
    </w:p>
    <w:p>
      <w:pPr>
        <w:pStyle w:val="BodyText"/>
      </w:pPr>
      <w:r>
        <w:rPr>
          <w:bCs/>
          <w:b/>
        </w:rPr>
        <w:t xml:space="preserve">Table 1.</w:t>
      </w:r>
      <w:r>
        <w:t xml:space="preserve"> </w:t>
      </w:r>
      <w:r>
        <w:t xml:space="preserve">Studies listed here were compiled using a systematic review process, as described in Supplementary Information Methods S3.</w:t>
      </w:r>
    </w:p>
    <w:p>
      <w:pPr>
        <w:pStyle w:val="BodyText"/>
      </w:pPr>
      <w:r>
        <w:drawing>
          <wp:inline>
            <wp:extent cx="5334000" cy="6914444"/>
            <wp:effectExtent b="0" l="0" r="0" t="0"/>
            <wp:docPr descr="" title="" id="1" name="Picture"/>
            <a:graphic>
              <a:graphicData uri="http://schemas.openxmlformats.org/drawingml/2006/picture">
                <pic:pic>
                  <pic:nvPicPr>
                    <pic:cNvPr descr="table1a.png" id="0" name="Picture"/>
                    <pic:cNvPicPr>
                      <a:picLocks noChangeArrowheads="1" noChangeAspect="1"/>
                    </pic:cNvPicPr>
                  </pic:nvPicPr>
                  <pic:blipFill>
                    <a:blip r:embed="rId30"/>
                    <a:stretch>
                      <a:fillRect/>
                    </a:stretch>
                  </pic:blipFill>
                  <pic:spPr bwMode="auto">
                    <a:xfrm>
                      <a:off x="0" y="0"/>
                      <a:ext cx="5334000" cy="6914444"/>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7123993"/>
            <wp:effectExtent b="0" l="0" r="0" t="0"/>
            <wp:docPr descr="" title="" id="1" name="Picture"/>
            <a:graphic>
              <a:graphicData uri="http://schemas.openxmlformats.org/drawingml/2006/picture">
                <pic:pic>
                  <pic:nvPicPr>
                    <pic:cNvPr descr="table1b.png" id="0" name="Picture"/>
                    <pic:cNvPicPr>
                      <a:picLocks noChangeArrowheads="1" noChangeAspect="1"/>
                    </pic:cNvPicPr>
                  </pic:nvPicPr>
                  <pic:blipFill>
                    <a:blip r:embed="rId31"/>
                    <a:stretch>
                      <a:fillRect/>
                    </a:stretch>
                  </pic:blipFill>
                  <pic:spPr bwMode="auto">
                    <a:xfrm>
                      <a:off x="0" y="0"/>
                      <a:ext cx="5334000" cy="7123993"/>
                    </a:xfrm>
                    <a:prstGeom prst="rect">
                      <a:avLst/>
                    </a:prstGeom>
                    <a:noFill/>
                    <a:ln w="9525">
                      <a:noFill/>
                      <a:headEnd/>
                      <a:tailEnd/>
                    </a:ln>
                  </pic:spPr>
                </pic:pic>
              </a:graphicData>
            </a:graphic>
          </wp:inline>
        </w:drawing>
      </w:r>
    </w:p>
    <w:p>
      <w:pPr>
        <w:pStyle w:val="BodyText"/>
      </w:pPr>
      <w:r>
        <w:t xml:space="preserve">*1. Mau et al. 2018; 2. Coble and Cavaleri 2014; 3. Sack et al. 2006; 4. Chin and Sillett 2019; 5. Wyka et al. 2012; 6. Atherton et al. 2017; 7. Kenzo et al. 2015; 8. Kusi and Karasi 2020; 9. Dang et al. 1997; 10. Gebauer et al. 2015; 11. Marenco et al. 2017; 12.Kafuti et al. 2020; 13. Van Wittenberghe et al. 2012; 14. Zhang et al. 2019; 15. Weerasinghe et al. 2014; 16. Oldham et al. 2010; 17. Ichie et al. 2016; 18. Gregoriou et al. 2007; 19. Levizou et al. 2005; 20. Liakoura 1997; 21. Fauset et al. 2018; 22. Niinemets et al. 1998, 23. Ishida et al. 1998; 24. Millen and Clendon 1979; 25. Smith and Carter, 1988; 26. Hadley and Smith 1987; 27. Panditharathna et al. 2008; 28. Baltzer and Thomas 2005; 29. Dietz et al. 2007; 30. Coble et al. 2016; 31. Scartazza et al. 2016; 32. Duursma and Marshall, 2006; 33. Harley et al. 1996; 34. Hernandez et al. 2020; 35. Turnbull et al. 2003; 36. Chen et al. 2020; 37. van de Weg et al. 2012; 38. M.A Cavaleri et al. 2008; 39. Koniger et al. 1995; 40. Mastubara et al. 2009; 41. Harris and Medina 2013; 42. Hansen et al. 2001; 43. Poorter et al. 1995; 44. Coble et al. 2017; 45. Niinemets et al. 2004; 46. Poorter et al. 2000</w:t>
      </w:r>
    </w:p>
    <w:bookmarkStart w:id="32"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2"/>
    <w:bookmarkStart w:id="33"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3"/>
    <w:bookmarkStart w:id="34"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4"/>
    <w:bookmarkEnd w:id="35"/>
    <w:bookmarkStart w:id="36"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6"/>
    <w:bookmarkEnd w:id="37"/>
    <w:bookmarkStart w:id="45"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r>
        <w:br w:type="page"/>
      </w:r>
    </w:p>
    <w:p>
      <w:pPr>
        <w:pStyle w:val="BodyText"/>
      </w:pPr>
      <w:r>
        <w:rPr>
          <w:bCs/>
          <w:b/>
        </w:rPr>
        <w:t xml:space="preserve">Table 2.</w:t>
      </w:r>
      <w:r>
        <w:t xml:space="preserve"> </w:t>
      </w:r>
      <w:r>
        <w:t xml:space="preserve">Summary of observed variation in leaf metabolism and thermal responses across the vertical gradient and/or between sun and shade leaves. Studies listed here were compiled using a systematic review process, as described in Supplementary Information Methods S3.</w:t>
      </w:r>
    </w:p>
    <w:p>
      <w:pPr>
        <w:pStyle w:val="BodyText"/>
      </w:pPr>
      <w:r>
        <w:drawing>
          <wp:inline>
            <wp:extent cx="5334000" cy="6676571"/>
            <wp:effectExtent b="0" l="0" r="0" t="0"/>
            <wp:docPr descr="" title="" id="1" name="Picture"/>
            <a:graphic>
              <a:graphicData uri="http://schemas.openxmlformats.org/drawingml/2006/picture">
                <pic:pic>
                  <pic:nvPicPr>
                    <pic:cNvPr descr="table2a.png" id="0" name="Picture"/>
                    <pic:cNvPicPr>
                      <a:picLocks noChangeArrowheads="1" noChangeAspect="1"/>
                    </pic:cNvPicPr>
                  </pic:nvPicPr>
                  <pic:blipFill>
                    <a:blip r:embed="rId38"/>
                    <a:stretch>
                      <a:fillRect/>
                    </a:stretch>
                  </pic:blipFill>
                  <pic:spPr bwMode="auto">
                    <a:xfrm>
                      <a:off x="0" y="0"/>
                      <a:ext cx="5334000" cy="6676571"/>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7197686"/>
            <wp:effectExtent b="0" l="0" r="0" t="0"/>
            <wp:docPr descr="" title="" id="1" name="Picture"/>
            <a:graphic>
              <a:graphicData uri="http://schemas.openxmlformats.org/drawingml/2006/picture">
                <pic:pic>
                  <pic:nvPicPr>
                    <pic:cNvPr descr="table2b.png" id="0" name="Picture"/>
                    <pic:cNvPicPr>
                      <a:picLocks noChangeArrowheads="1" noChangeAspect="1"/>
                    </pic:cNvPicPr>
                  </pic:nvPicPr>
                  <pic:blipFill>
                    <a:blip r:embed="rId39"/>
                    <a:stretch>
                      <a:fillRect/>
                    </a:stretch>
                  </pic:blipFill>
                  <pic:spPr bwMode="auto">
                    <a:xfrm>
                      <a:off x="0" y="0"/>
                      <a:ext cx="5334000" cy="7197686"/>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6612029"/>
            <wp:effectExtent b="0" l="0" r="0" t="0"/>
            <wp:docPr descr="" title="" id="1" name="Picture"/>
            <a:graphic>
              <a:graphicData uri="http://schemas.openxmlformats.org/drawingml/2006/picture">
                <pic:pic>
                  <pic:nvPicPr>
                    <pic:cNvPr descr="table2c.png" id="0" name="Picture"/>
                    <pic:cNvPicPr>
                      <a:picLocks noChangeArrowheads="1" noChangeAspect="1"/>
                    </pic:cNvPicPr>
                  </pic:nvPicPr>
                  <pic:blipFill>
                    <a:blip r:embed="rId40"/>
                    <a:stretch>
                      <a:fillRect/>
                    </a:stretch>
                  </pic:blipFill>
                  <pic:spPr bwMode="auto">
                    <a:xfrm>
                      <a:off x="0" y="0"/>
                      <a:ext cx="5334000" cy="6612029"/>
                    </a:xfrm>
                    <a:prstGeom prst="rect">
                      <a:avLst/>
                    </a:prstGeom>
                    <a:noFill/>
                    <a:ln w="9525">
                      <a:noFill/>
                      <a:headEnd/>
                      <a:tailEnd/>
                    </a:ln>
                  </pic:spPr>
                </pic:pic>
              </a:graphicData>
            </a:graphic>
          </wp:inline>
        </w:drawing>
      </w:r>
    </w:p>
    <w:p>
      <w:pPr>
        <w:pStyle w:val="BodyText"/>
      </w:pPr>
      <w:r>
        <w:t xml:space="preserve">*1. Kafuti et al. 2020; 2. Van Wittenberghe et al. 2012; 3. Roberts et al. 1990; 4. Dang et al. 1997; 5. Marenco et al. 2017; 6. Ambrose et al. 2015; 7. Zweifel et al. 2001; 8. Slot et al. 2019; 9. Hernandez et al. 2020; 10. Urban et al. 2007; 11. Carter and Cavaleri 2018; 12. Martin et al. 1999; 13. Mau et al. 2018; 14. Kosugi et al. 2012; 15. Niinemets et al. 2015; 16. Bachofen et al. 2020; 17. Hamerlynck and Knapp 1994; 18. Coble et al. 2017; 19. Wyka et al. 2012; 20. Rijkerse et al. 2000; 21. Ishida et al. 1999; 22. Weerasinghe et al. 2014; 23. Scartazza et al. 2016; 24. Miller et al. 2021; 25. Harris and Medina 2013; 26. Legner et al. 2014; 27. Kitao et al. 2012; 28. Fauset et al. 2018; 29. Rey-Sanchez et al. 2016; 30. Muller et al. 2021; 31. Curtis et al. 2019; 32. Mier et al. 2001; 33. Turnbull et al. 2003; 34. Araki et al. 2017; 35. Bolstad et al. 1999; 36. Kenzo et al. 2015; 37. Harley et al. 1996; 38. Xu and Griffin 2006; 39. Harley et al. 1997; 40. Niinemets and Sun, 2014; 41. Sharkey and Monson, 2014; 42. Saimpraga et al. 2013; 43. Atherton et al. 2017; 44. Carter et al. 2021</w:t>
      </w:r>
    </w:p>
    <w:bookmarkStart w:id="41"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but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41"/>
    <w:bookmarkStart w:id="42"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2"/>
    <w:bookmarkStart w:id="43"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3"/>
    <w:bookmarkStart w:id="44"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4"/>
    <w:bookmarkEnd w:id="45"/>
    <w:bookmarkStart w:id="50"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7"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6"/>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7"/>
    <w:bookmarkStart w:id="49"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w:t>
      </w:r>
      <w:r>
        <w:t xml:space="preserve"> </w:t>
      </w:r>
      <w:r>
        <w:t xml:space="preserve">Kunert</w:t>
      </w:r>
      <w:r>
        <w:t xml:space="preserve"> </w:t>
      </w:r>
      <w:r>
        <w:rPr>
          <w:iCs/>
          <w:i/>
        </w:rPr>
        <w:t xml:space="preserve">et al.</w:t>
      </w:r>
      <w:r>
        <w:t xml:space="preserve"> </w:t>
      </w:r>
      <w:r>
        <w:t xml:space="preserve">(2017)</w:t>
      </w:r>
      <w:r>
        <w:t xml:space="preserve">],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w:t>
      </w:r>
      <w:r>
        <w:t xml:space="preserve"> </w:t>
      </w:r>
      <w:r>
        <w:t xml:space="preserve">(Fig. 5b,</w:t>
      </w:r>
      <w:r>
        <w:t xml:space="preserve"> </w:t>
      </w:r>
      <w:r>
        <w:rPr>
          <w:bCs/>
          <w:b/>
        </w:rPr>
        <w:t xml:space="preserve">piponiot_sizerelated_inreview?</w:t>
      </w:r>
      <w:r>
        <w:t xml:space="preserve">)</w:t>
      </w:r>
      <w:r>
        <w:t xml:space="preserve">.</w:t>
      </w:r>
    </w:p>
    <w:p>
      <w:pPr>
        <w:pStyle w:val="CaptionedFigure"/>
      </w:pPr>
      <w:r>
        <w:drawing>
          <wp:inline>
            <wp:extent cx="5334000" cy="7111999"/>
            <wp:effectExtent b="0" l="0" r="0" t="0"/>
            <wp:docPr descr="Figure 5. Vertical partitioning of (a) evapotranspiration and (b) C fluxes in tropical forests. Panel (a) is from Kunert et al. (2017); panel (b) presents averages for 42 tropical forests from (piponiot_sizerelated_inreview?)."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8"/>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w:t>
      </w:r>
      <w:r>
        <w:t xml:space="preserve"> </w:t>
      </w:r>
      <w:r>
        <w:t xml:space="preserve">Kunert</w:t>
      </w:r>
      <w:r>
        <w:t xml:space="preserve"> </w:t>
      </w:r>
      <w:r>
        <w:rPr>
          <w:iCs/>
          <w:i/>
        </w:rPr>
        <w:t xml:space="preserve">et al.</w:t>
      </w:r>
      <w:r>
        <w:t xml:space="preserve"> </w:t>
      </w:r>
      <w:r>
        <w:t xml:space="preserve">(2017)</w:t>
      </w:r>
      <w:r>
        <w:t xml:space="preserve">; panel (b) presents averages for 42 tropical forests from</w:t>
      </w:r>
      <w:r>
        <w:t xml:space="preserve"> </w:t>
      </w:r>
      <w:r>
        <w:t xml:space="preserve">(</w:t>
      </w:r>
      <w:r>
        <w:rPr>
          <w:bCs/>
          <w:b/>
        </w:rPr>
        <w:t xml:space="preserve">piponiot_sizerelated_inreview?</w:t>
      </w:r>
      <w:r>
        <w:t xml:space="preserve">)</w:t>
      </w:r>
      <w:r>
        <w:t xml:space="preserve">.</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49"/>
    <w:bookmarkEnd w:id="50"/>
    <w:bookmarkStart w:id="51" w:name="implications"/>
    <w:p>
      <w:pPr>
        <w:pStyle w:val="Heading2"/>
      </w:pPr>
      <w:r>
        <w:t xml:space="preserve">Implications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51"/>
    <w:bookmarkStart w:id="54"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2"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w:t>
      </w:r>
      <w:r>
        <w:t xml:space="preserve"> </w:t>
      </w:r>
      <w:r>
        <w:t xml:space="preserve">(McDowell</w:t>
      </w:r>
      <w:r>
        <w:t xml:space="preserve"> </w:t>
      </w:r>
      <w:r>
        <w:rPr>
          <w:iCs/>
          <w:i/>
        </w:rPr>
        <w:t xml:space="preserve">et al.</w:t>
      </w:r>
      <w:r>
        <w:t xml:space="preserve">, 2020)</w:t>
      </w:r>
      <w:r>
        <w:t xml:space="preserve"> </w:t>
      </w:r>
      <w:r>
        <w:t xml:space="preserve">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2"/>
    <w:bookmarkStart w:id="53"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particularly in wetter environments with dense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3"/>
    <w:bookmarkEnd w:id="54"/>
    <w:bookmarkStart w:id="57" w:name="scaling-across-space-and-time"/>
    <w:p>
      <w:pPr>
        <w:pStyle w:val="Heading2"/>
      </w:pPr>
      <w:r>
        <w:t xml:space="preserve">Scaling across space and time</w:t>
      </w:r>
    </w:p>
    <w:bookmarkStart w:id="56"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5"/>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6"/>
    <w:bookmarkEnd w:id="57"/>
    <w:bookmarkStart w:id="58"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8"/>
    <w:bookmarkStart w:id="59"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59"/>
    <w:bookmarkStart w:id="60"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Table S2. (Tealeaves parameters)</w:t>
      </w:r>
    </w:p>
    <w:p>
      <w:pPr>
        <w:pStyle w:val="BodyText"/>
      </w:pPr>
      <w:r>
        <w:t xml:space="preserve">Figure S1. Vertical gradients in micrometeorological conditions for all forested sites in the National Ecological Observatory Network (NEON)</w:t>
      </w:r>
    </w:p>
    <w:p>
      <w:r>
        <w:br w:type="page"/>
      </w:r>
    </w:p>
    <w:bookmarkEnd w:id="60"/>
    <w:bookmarkStart w:id="328" w:name="references"/>
    <w:p>
      <w:pPr>
        <w:pStyle w:val="Heading2"/>
      </w:pPr>
      <w:r>
        <w:t xml:space="preserve">References</w:t>
      </w:r>
    </w:p>
    <w:bookmarkStart w:id="327" w:name="refs"/>
    <w:bookmarkStart w:id="61"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61"/>
    <w:bookmarkStart w:id="62"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2"/>
    <w:bookmarkStart w:id="63"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3"/>
    <w:bookmarkStart w:id="64"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4"/>
    <w:bookmarkStart w:id="65"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5"/>
    <w:bookmarkStart w:id="66"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6"/>
    <w:bookmarkStart w:id="67"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7"/>
    <w:bookmarkStart w:id="68"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8"/>
    <w:bookmarkStart w:id="69"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69"/>
    <w:bookmarkStart w:id="70"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70"/>
    <w:bookmarkStart w:id="71"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1"/>
    <w:bookmarkStart w:id="72"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2"/>
    <w:bookmarkStart w:id="73"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3"/>
    <w:bookmarkStart w:id="74"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4"/>
    <w:bookmarkStart w:id="75"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5"/>
    <w:bookmarkStart w:id="76"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6"/>
    <w:bookmarkStart w:id="77"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7"/>
    <w:bookmarkStart w:id="78"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8"/>
    <w:bookmarkStart w:id="79"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79"/>
    <w:bookmarkStart w:id="80"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80"/>
    <w:bookmarkStart w:id="81"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81"/>
    <w:bookmarkStart w:id="82"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2"/>
    <w:bookmarkStart w:id="83"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3"/>
    <w:bookmarkStart w:id="84"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4"/>
    <w:bookmarkStart w:id="85"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5"/>
    <w:bookmarkStart w:id="86"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6"/>
    <w:bookmarkStart w:id="87"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7"/>
    <w:bookmarkStart w:id="88"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8"/>
    <w:bookmarkStart w:id="89"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89"/>
    <w:bookmarkStart w:id="90"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90"/>
    <w:bookmarkStart w:id="91"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91"/>
    <w:bookmarkStart w:id="92"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2"/>
    <w:bookmarkStart w:id="93"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3"/>
    <w:bookmarkStart w:id="94"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4"/>
    <w:bookmarkStart w:id="95"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5"/>
    <w:bookmarkStart w:id="96"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6"/>
    <w:bookmarkStart w:id="97"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7"/>
    <w:bookmarkStart w:id="98"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8"/>
    <w:bookmarkStart w:id="99"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9"/>
    <w:bookmarkStart w:id="100"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100"/>
    <w:bookmarkStart w:id="101"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1"/>
    <w:bookmarkStart w:id="102"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2"/>
    <w:bookmarkStart w:id="103"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3"/>
    <w:bookmarkStart w:id="104"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4"/>
    <w:bookmarkStart w:id="105"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5"/>
    <w:bookmarkStart w:id="106"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6"/>
    <w:bookmarkStart w:id="107"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7"/>
    <w:bookmarkStart w:id="108"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8"/>
    <w:bookmarkStart w:id="109"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09"/>
    <w:bookmarkStart w:id="110"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10"/>
    <w:bookmarkStart w:id="111"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1"/>
    <w:bookmarkStart w:id="112"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2"/>
    <w:bookmarkStart w:id="113"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3"/>
    <w:bookmarkStart w:id="114"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4"/>
    <w:bookmarkStart w:id="115"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5"/>
    <w:bookmarkStart w:id="116"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6"/>
    <w:bookmarkStart w:id="117"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7"/>
    <w:bookmarkStart w:id="118"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8"/>
    <w:bookmarkStart w:id="119"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19"/>
    <w:bookmarkStart w:id="120"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20"/>
    <w:bookmarkStart w:id="121"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1"/>
    <w:bookmarkStart w:id="122"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2"/>
    <w:bookmarkStart w:id="123"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3"/>
    <w:bookmarkStart w:id="124"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4"/>
    <w:bookmarkStart w:id="125"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5"/>
    <w:bookmarkStart w:id="126"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6"/>
    <w:bookmarkStart w:id="127"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7"/>
    <w:bookmarkStart w:id="128"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8"/>
    <w:bookmarkStart w:id="129"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29"/>
    <w:bookmarkStart w:id="130"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30"/>
    <w:bookmarkStart w:id="131"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1"/>
    <w:bookmarkStart w:id="132"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2"/>
    <w:bookmarkStart w:id="133"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3"/>
    <w:bookmarkStart w:id="134"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4"/>
    <w:bookmarkStart w:id="135"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5"/>
    <w:bookmarkStart w:id="136"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6"/>
    <w:bookmarkStart w:id="137"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7"/>
    <w:bookmarkStart w:id="138"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8"/>
    <w:bookmarkStart w:id="139"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39"/>
    <w:bookmarkStart w:id="140"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40"/>
    <w:bookmarkStart w:id="141"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1"/>
    <w:bookmarkStart w:id="142"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2"/>
    <w:bookmarkStart w:id="143"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3"/>
    <w:bookmarkStart w:id="144"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4"/>
    <w:bookmarkStart w:id="145"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5"/>
    <w:bookmarkStart w:id="146"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6"/>
    <w:bookmarkStart w:id="147"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7"/>
    <w:bookmarkStart w:id="148"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8"/>
    <w:bookmarkStart w:id="149"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49"/>
    <w:bookmarkStart w:id="150"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50"/>
    <w:bookmarkStart w:id="151"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1"/>
    <w:bookmarkStart w:id="152"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2"/>
    <w:bookmarkStart w:id="153"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3"/>
    <w:bookmarkStart w:id="154"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4"/>
    <w:bookmarkStart w:id="155"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5"/>
    <w:bookmarkStart w:id="156"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6"/>
    <w:bookmarkStart w:id="157"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7"/>
    <w:bookmarkStart w:id="158"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8"/>
    <w:bookmarkStart w:id="159"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59"/>
    <w:bookmarkStart w:id="160"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60"/>
    <w:bookmarkStart w:id="161"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1"/>
    <w:bookmarkStart w:id="162"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2"/>
    <w:bookmarkStart w:id="163"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3"/>
    <w:bookmarkStart w:id="164"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4"/>
    <w:bookmarkStart w:id="165"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5"/>
    <w:bookmarkStart w:id="166"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6"/>
    <w:bookmarkStart w:id="167"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7"/>
    <w:bookmarkStart w:id="168"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8"/>
    <w:bookmarkStart w:id="169"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69"/>
    <w:bookmarkStart w:id="170"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70"/>
    <w:bookmarkStart w:id="171"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1"/>
    <w:bookmarkStart w:id="172"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2"/>
    <w:bookmarkStart w:id="173"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3"/>
    <w:bookmarkStart w:id="174"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4"/>
    <w:bookmarkStart w:id="175"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5"/>
    <w:bookmarkStart w:id="176"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6"/>
    <w:bookmarkStart w:id="177"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7"/>
    <w:bookmarkStart w:id="178"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8"/>
    <w:bookmarkStart w:id="179"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79"/>
    <w:bookmarkStart w:id="180"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80"/>
    <w:bookmarkStart w:id="181"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1"/>
    <w:bookmarkStart w:id="182"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2"/>
    <w:bookmarkStart w:id="183"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3"/>
    <w:bookmarkStart w:id="184"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4"/>
    <w:bookmarkStart w:id="185"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5"/>
    <w:bookmarkStart w:id="186"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6"/>
    <w:bookmarkStart w:id="187"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7"/>
    <w:bookmarkStart w:id="188"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8"/>
    <w:bookmarkStart w:id="189"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89"/>
    <w:bookmarkStart w:id="190"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90"/>
    <w:bookmarkStart w:id="191"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1"/>
    <w:bookmarkStart w:id="192"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2"/>
    <w:bookmarkStart w:id="193"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3"/>
    <w:bookmarkStart w:id="194"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4"/>
    <w:bookmarkStart w:id="195"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5"/>
    <w:bookmarkStart w:id="196"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6"/>
    <w:bookmarkStart w:id="197"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7"/>
    <w:bookmarkStart w:id="198"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8"/>
    <w:bookmarkStart w:id="199"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199"/>
    <w:bookmarkStart w:id="200"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200"/>
    <w:bookmarkStart w:id="201"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1"/>
    <w:bookmarkStart w:id="202"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2"/>
    <w:bookmarkStart w:id="203"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3"/>
    <w:bookmarkStart w:id="204"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4"/>
    <w:bookmarkStart w:id="205"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5"/>
    <w:bookmarkStart w:id="206"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6"/>
    <w:bookmarkStart w:id="207"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7"/>
    <w:bookmarkStart w:id="208"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8"/>
    <w:bookmarkStart w:id="209"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09"/>
    <w:bookmarkStart w:id="210"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10"/>
    <w:bookmarkStart w:id="211"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1"/>
    <w:bookmarkStart w:id="212"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2"/>
    <w:bookmarkStart w:id="213"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3"/>
    <w:bookmarkStart w:id="214"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4"/>
    <w:bookmarkStart w:id="215"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5"/>
    <w:bookmarkStart w:id="216"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6"/>
    <w:bookmarkStart w:id="217"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7"/>
    <w:bookmarkStart w:id="218"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8"/>
    <w:bookmarkStart w:id="219"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19"/>
    <w:bookmarkStart w:id="220"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20"/>
    <w:bookmarkStart w:id="221"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1"/>
    <w:bookmarkStart w:id="222"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2"/>
    <w:bookmarkStart w:id="223"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3"/>
    <w:bookmarkStart w:id="224"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4"/>
    <w:bookmarkStart w:id="225"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5"/>
    <w:bookmarkStart w:id="226"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6"/>
    <w:bookmarkStart w:id="227"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7"/>
    <w:bookmarkStart w:id="228"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8"/>
    <w:bookmarkStart w:id="229"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29"/>
    <w:bookmarkStart w:id="230"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30"/>
    <w:bookmarkStart w:id="231"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1"/>
    <w:bookmarkStart w:id="232"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2"/>
    <w:bookmarkStart w:id="233"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3"/>
    <w:bookmarkStart w:id="234"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4"/>
    <w:bookmarkStart w:id="235"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5"/>
    <w:bookmarkStart w:id="236"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6"/>
    <w:bookmarkStart w:id="237"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7"/>
    <w:bookmarkStart w:id="238"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8"/>
    <w:bookmarkStart w:id="239"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39"/>
    <w:bookmarkStart w:id="240"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40"/>
    <w:bookmarkStart w:id="241"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1"/>
    <w:bookmarkStart w:id="242"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2"/>
    <w:bookmarkStart w:id="243"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3"/>
    <w:bookmarkStart w:id="244"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4"/>
    <w:bookmarkStart w:id="245"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5"/>
    <w:bookmarkStart w:id="246"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6"/>
    <w:bookmarkStart w:id="247"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7"/>
    <w:bookmarkStart w:id="248"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8"/>
    <w:bookmarkStart w:id="249"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49"/>
    <w:bookmarkStart w:id="250"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50"/>
    <w:bookmarkStart w:id="251"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1"/>
    <w:bookmarkStart w:id="252"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2"/>
    <w:bookmarkStart w:id="253"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3"/>
    <w:bookmarkStart w:id="254"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4"/>
    <w:bookmarkStart w:id="255"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5"/>
    <w:bookmarkStart w:id="256"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6"/>
    <w:bookmarkStart w:id="257"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7"/>
    <w:bookmarkStart w:id="258"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8"/>
    <w:bookmarkStart w:id="259"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59"/>
    <w:bookmarkStart w:id="260"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60"/>
    <w:bookmarkStart w:id="261"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61"/>
    <w:bookmarkStart w:id="262"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2"/>
    <w:bookmarkStart w:id="263"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3"/>
    <w:bookmarkStart w:id="264"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4"/>
    <w:bookmarkStart w:id="265"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5"/>
    <w:bookmarkStart w:id="266"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6"/>
    <w:bookmarkStart w:id="267"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7"/>
    <w:bookmarkStart w:id="268" w:name="X37866945a1514e5304353b865dab4d70276132f"/>
    <w:p>
      <w:pPr>
        <w:pStyle w:val="Bibliography"/>
      </w:pPr>
      <w:r>
        <w:rPr>
          <w:bCs/>
          <w:b/>
          <w:bCs/>
          <w:b/>
        </w:rPr>
        <w:t xml:space="preserve">Schimel D</w:t>
      </w:r>
      <w:r>
        <w:rPr>
          <w:bCs/>
          <w:b/>
        </w:rPr>
        <w:t xml:space="preserve">,</w:t>
      </w:r>
      <w:r>
        <w:rPr>
          <w:bCs/>
          <w:b/>
        </w:rPr>
        <w:t xml:space="preserve"> </w:t>
      </w:r>
      <w:r>
        <w:rPr>
          <w:bCs/>
          <w:b/>
          <w:bCs/>
          <w:b/>
        </w:rPr>
        <w:t xml:space="preserve">Hargrove W</w:t>
      </w:r>
      <w:r>
        <w:rPr>
          <w:bCs/>
          <w:b/>
        </w:rPr>
        <w:t xml:space="preserve">,</w:t>
      </w:r>
      <w:r>
        <w:rPr>
          <w:bCs/>
          <w:b/>
        </w:rPr>
        <w:t xml:space="preserve"> </w:t>
      </w:r>
      <w:r>
        <w:rPr>
          <w:bCs/>
          <w:b/>
          <w:bCs/>
          <w:b/>
        </w:rPr>
        <w:t xml:space="preserve">Hoffman F</w:t>
      </w:r>
      <w:r>
        <w:rPr>
          <w:bCs/>
          <w:b/>
        </w:rPr>
        <w:t xml:space="preserve">,</w:t>
      </w:r>
      <w:r>
        <w:rPr>
          <w:bCs/>
          <w:b/>
        </w:rPr>
        <w:t xml:space="preserve"> </w:t>
      </w:r>
      <w:r>
        <w:rPr>
          <w:bCs/>
          <w:b/>
          <w:bCs/>
          <w:b/>
        </w:rPr>
        <w:t xml:space="preserve">MacMahon J</w:t>
      </w:r>
      <w:r>
        <w:t xml:space="preserve">.</w:t>
      </w:r>
      <w:r>
        <w:t xml:space="preserve"> </w:t>
      </w:r>
      <w:r>
        <w:rPr>
          <w:bCs/>
          <w:b/>
        </w:rPr>
        <w:t xml:space="preserve">2007</w:t>
      </w:r>
      <w:r>
        <w:t xml:space="preserve">.</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59–59.</w:t>
      </w:r>
    </w:p>
    <w:bookmarkEnd w:id="268"/>
    <w:bookmarkStart w:id="269"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9"/>
    <w:bookmarkStart w:id="270"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70"/>
    <w:bookmarkStart w:id="271"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1"/>
    <w:bookmarkStart w:id="272"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2"/>
    <w:bookmarkStart w:id="273"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3"/>
    <w:bookmarkStart w:id="274"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4"/>
    <w:bookmarkStart w:id="275"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5"/>
    <w:bookmarkStart w:id="276"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6"/>
    <w:bookmarkStart w:id="277"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7"/>
    <w:bookmarkStart w:id="278"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8"/>
    <w:bookmarkStart w:id="279"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9"/>
    <w:bookmarkStart w:id="280"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80"/>
    <w:bookmarkStart w:id="281"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1"/>
    <w:bookmarkStart w:id="282"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2"/>
    <w:bookmarkStart w:id="283"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3"/>
    <w:bookmarkStart w:id="284"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4"/>
    <w:bookmarkStart w:id="285"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5"/>
    <w:bookmarkStart w:id="286"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6"/>
    <w:bookmarkStart w:id="287"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7"/>
    <w:bookmarkStart w:id="288"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8"/>
    <w:bookmarkStart w:id="289"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9"/>
    <w:bookmarkStart w:id="290"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90"/>
    <w:bookmarkStart w:id="291"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1"/>
    <w:bookmarkStart w:id="292"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2"/>
    <w:bookmarkStart w:id="293"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3"/>
    <w:bookmarkStart w:id="294"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4"/>
    <w:bookmarkStart w:id="295"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5"/>
    <w:bookmarkStart w:id="296"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6"/>
    <w:bookmarkStart w:id="297"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7"/>
    <w:bookmarkStart w:id="298"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8"/>
    <w:bookmarkStart w:id="299"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9"/>
    <w:bookmarkStart w:id="300"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300"/>
    <w:bookmarkStart w:id="301"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1"/>
    <w:bookmarkStart w:id="302"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2"/>
    <w:bookmarkStart w:id="303"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3"/>
    <w:bookmarkStart w:id="304"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4"/>
    <w:bookmarkStart w:id="305"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5"/>
    <w:bookmarkStart w:id="306"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6"/>
    <w:bookmarkStart w:id="307"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7"/>
    <w:bookmarkStart w:id="308"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8"/>
    <w:bookmarkStart w:id="309"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9"/>
    <w:bookmarkStart w:id="310"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10"/>
    <w:bookmarkStart w:id="311"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11"/>
    <w:bookmarkStart w:id="312"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2"/>
    <w:bookmarkStart w:id="313"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3"/>
    <w:bookmarkStart w:id="314"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4"/>
    <w:bookmarkStart w:id="315"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5"/>
    <w:bookmarkStart w:id="316"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6"/>
    <w:bookmarkStart w:id="317"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7"/>
    <w:bookmarkStart w:id="318"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8"/>
    <w:bookmarkStart w:id="319"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9"/>
    <w:bookmarkStart w:id="320"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20"/>
    <w:bookmarkStart w:id="321"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21"/>
    <w:bookmarkStart w:id="322"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2"/>
    <w:bookmarkStart w:id="323"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3"/>
    <w:bookmarkStart w:id="324"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4"/>
    <w:bookmarkStart w:id="325"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5"/>
    <w:bookmarkStart w:id="326"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6"/>
    <w:bookmarkEnd w:id="327"/>
    <w:bookmarkEnd w:id="328"/>
    <w:bookmarkEnd w:id="3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2021-09-02T20:54:47Z</dcterms:created>
  <dcterms:modified xsi:type="dcterms:W3CDTF">2021-09-02T20:54:47Z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