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rPr>
                <m:sty m:val="p"/>
              </m:rP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w:t>
      </w:r>
      <w:r>
        <w:t xml:space="preserve">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(McDowell</w:t>
      </w:r>
      <w:r>
        <w:t xml:space="preserve"> </w:t>
      </w:r>
      <w:r>
        <w:rPr>
          <w:iCs/>
          <w:i/>
        </w:rPr>
        <w:t xml:space="preserve">et al.</w:t>
      </w:r>
      <w:r>
        <w:t xml:space="preserve">, 2020; Breshears</w:t>
      </w:r>
      <w:r>
        <w:t xml:space="preserve"> </w:t>
      </w:r>
      <w:r>
        <w:rPr>
          <w:iCs/>
          <w:i/>
        </w:rPr>
        <w:t xml:space="preserve">et al.</w:t>
      </w:r>
      <w:r>
        <w:t xml:space="preserve">, 2021)</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 Anderson-Teixeira</w:t>
      </w:r>
      <w:r>
        <w:t xml:space="preserve"> </w:t>
      </w:r>
      <w:r>
        <w:rPr>
          <w:iCs/>
          <w:i/>
        </w:rPr>
        <w:t xml:space="preserve">et al.</w:t>
      </w:r>
      <w:r>
        <w:t xml:space="preserve">, 2021)</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Cs/>
          <w:i/>
        </w:rPr>
        <w:t xml:space="preserve">et al.</w:t>
      </w:r>
      <w:r>
        <w:t xml:space="preserve">, 2019a; Zellweger</w:t>
      </w:r>
      <w:r>
        <w:t xml:space="preserve"> </w:t>
      </w:r>
      <w:r>
        <w:rPr>
          <w:iCs/>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w:t>
      </w:r>
      <m:oMath>
        <m:sSub>
          <m:e>
            <m:r>
              <m:t>T</m:t>
            </m:r>
          </m:e>
          <m:sub>
            <m:r>
              <m:t>l</m:t>
            </m:r>
            <m:r>
              <m:t>e</m:t>
            </m:r>
            <m:r>
              <m:t>a</m:t>
            </m:r>
            <m:r>
              <m:t>f</m:t>
            </m:r>
          </m:sub>
        </m:sSub>
      </m:oMath>
      <w:r>
        <w:rPr>
          <w:bCs/>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Cs/>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Cs/>
          <w:i/>
        </w:rPr>
        <w:t xml:space="preserve">(Terborgh, 1985; Parker</w:t>
      </w:r>
      <w:r>
        <w:rPr>
          <w:iCs/>
          <w:i/>
        </w:rPr>
        <w:t xml:space="preserve"> </w:t>
      </w:r>
      <w:r>
        <w:rPr>
          <w:iCs/>
          <w:i/>
          <w:iCs/>
          <w:i/>
        </w:rPr>
        <w:t xml:space="preserve">et al.</w:t>
      </w:r>
      <w:r>
        <w:rPr>
          <w:iCs/>
          <w:i/>
        </w:rPr>
        <w:t xml:space="preserve">, 1989, 2002; Ishii</w:t>
      </w:r>
      <w:r>
        <w:rPr>
          <w:iCs/>
          <w:i/>
        </w:rPr>
        <w:t xml:space="preserve"> </w:t>
      </w:r>
      <w:r>
        <w:rPr>
          <w:iCs/>
          <w:i/>
          <w:iCs/>
          <w:i/>
        </w:rPr>
        <w:t xml:space="preserve">et al.</w:t>
      </w:r>
      <w:r>
        <w:rPr>
          <w:iCs/>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(e.g., Bonan, 2016;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Cs/>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Cs/>
          <w:i/>
        </w:rPr>
        <w:t xml:space="preserve">et al.</w:t>
      </w:r>
      <w:r>
        <w:t xml:space="preserve">, 1997;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Cs/>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Cs/>
          <w:i/>
        </w:rPr>
        <w:t xml:space="preserve">et al.</w:t>
      </w:r>
      <w:r>
        <w:t xml:space="preserve">, 2018, 2020; Jucker</w:t>
      </w:r>
      <w:r>
        <w:t xml:space="preserve"> </w:t>
      </w:r>
      <w:r>
        <w:rPr>
          <w:iCs/>
          <w:i/>
        </w:rPr>
        <w:t xml:space="preserve">et al.</w:t>
      </w:r>
      <w:r>
        <w:t xml:space="preserve">, 2018; McGregor</w:t>
      </w:r>
      <w:r>
        <w:t xml:space="preserve"> </w:t>
      </w:r>
      <w:r>
        <w:rPr>
          <w:iCs/>
          <w:i/>
        </w:rPr>
        <w:t xml:space="preserve">et al.</w:t>
      </w:r>
      <w:r>
        <w:t xml:space="preserve">, 2021; Muller</w:t>
      </w:r>
      <w:r>
        <w:t xml:space="preserve"> </w:t>
      </w:r>
      <w:r>
        <w:rPr>
          <w:iCs/>
          <w:i/>
        </w:rPr>
        <w:t xml:space="preserve">et al.</w:t>
      </w:r>
      <w:r>
        <w:t xml:space="preserve">, 2021)</w:t>
      </w:r>
      <w:r>
        <w:t xml:space="preserve"> </w:t>
      </w:r>
      <w:r>
        <w:t xml:space="preserve">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Cs/>
          <w:i/>
        </w:rPr>
        <w:t xml:space="preserve">et al.</w:t>
      </w:r>
      <w:r>
        <w:t xml:space="preserve">, 2018;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Banerjee</w:t>
      </w:r>
      <w:r>
        <w:t xml:space="preserve"> </w:t>
      </w:r>
      <w:r>
        <w:rPr>
          <w:iCs/>
          <w:i/>
        </w:rPr>
        <w:t xml:space="preserve">et al.</w:t>
      </w:r>
      <w:r>
        <w:t xml:space="preserve">, 2017; Curtis</w:t>
      </w:r>
      <w:r>
        <w:t xml:space="preserve"> </w:t>
      </w:r>
      <w:r>
        <w:rPr>
          <w:iCs/>
          <w:i/>
        </w:rPr>
        <w:t xml:space="preserve">et al.</w:t>
      </w:r>
      <w:r>
        <w:t xml:space="preserve">, 2019)</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w:t>
      </w:r>
      <w:r>
        <w:t xml:space="preserve"> </w:t>
      </w:r>
      <w:r>
        <w:t xml:space="preserve">“</w:t>
      </w:r>
      <w:r>
        <w:t xml:space="preserve">Leaf traits</w:t>
      </w:r>
      <w:r>
        <w:t xml:space="preserve">”</w:t>
      </w:r>
      <w:r>
        <w:t xml:space="preserve"> </w:t>
      </w:r>
      <w:r>
        <w:t xml:space="preserve">and</w:t>
      </w:r>
      <w:r>
        <w:t xml:space="preserve"> </w:t>
      </w:r>
      <w:r>
        <w:t xml:space="preserve">“</w:t>
      </w:r>
      <w:r>
        <w:t xml:space="preserve">Leaf metabolism and thermal responses</w:t>
      </w:r>
      <w:r>
        <w:t xml:space="preserve">”</w:t>
      </w:r>
      <w:r>
        <w:t xml:space="preserve">)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under some daytime conditions (cloudy skies, high windspeeds, and high</w:t>
      </w:r>
      <w:r>
        <w:t xml:space="preserve"> </w:t>
      </w:r>
      <m:oMath>
        <m:sSub>
          <m:e>
            <m:r>
              <m:t>T</m:t>
            </m:r>
          </m:e>
          <m:sub>
            <m:r>
              <m:t>a</m:t>
            </m:r>
            <m:r>
              <m:t>i</m:t>
            </m:r>
            <m:r>
              <m:t>r</m:t>
            </m:r>
          </m:sub>
        </m:sSub>
      </m:oMath>
      <w:r>
        <w:t xml:space="preserve">).</w:t>
      </w:r>
      <w:r>
        <w:t xml:space="preserve"> </w:t>
      </w:r>
      <w:r>
        <w:t xml:space="preserve">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t xml:space="preserve">Fundamentally,</w:t>
      </w:r>
      <w:r>
        <w:t xml:space="preserve"> </w:t>
      </w:r>
      <m:oMath>
        <m:sSub>
          <m:e>
            <m:r>
              <m:t>T</m:t>
            </m:r>
          </m:e>
          <m:sub>
            <m:r>
              <m:t>l</m:t>
            </m:r>
            <m:r>
              <m:t>e</m:t>
            </m:r>
            <m:r>
              <m:t>a</m:t>
            </m:r>
            <m:r>
              <m:t>f</m:t>
            </m:r>
          </m:sub>
        </m:sSub>
      </m:oMath>
      <w:r>
        <w:t xml:space="preserve"> </w:t>
      </w:r>
      <w:r>
        <w:t xml:space="preserve">is determined by the energy balance of a leaf and can be estimated based on biophysical principles, where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is a function of energy input from net radiation (</w:t>
      </w:r>
      <m:oMath>
        <m:sSub>
          <m:e>
            <m:r>
              <m:t>R</m:t>
            </m:r>
          </m:e>
          <m:sub>
            <m:r>
              <m:t>n</m:t>
            </m:r>
          </m:sub>
        </m:sSub>
      </m:oMath>
      <w:r>
        <w:t xml:space="preserve">, including shortwave and longwave) minus heat lost to the environment</w:t>
      </w:r>
      <w:r>
        <w:t xml:space="preserve"> </w:t>
      </w:r>
      <w:r>
        <w:t xml:space="preserve">(Fig. 3, Campbell &amp; Norman, 1998; Muir, 2019)</w:t>
      </w:r>
      <w: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w:t>
      </w:r>
      <w:r>
        <w:t xml:space="preserve"> </w:t>
      </w:r>
      <w:r>
        <w:t xml:space="preserve">Sensible heat flux between leaf and air is regulated by leaf boundary layer conductance, which is greater in smaller leaves (Fig. 3d) and higher wind speeds (Fig. 3b).</w:t>
      </w:r>
      <w:r>
        <w:t xml:space="preserve"> </w:t>
      </w:r>
      <w:r>
        <w:t xml:space="preserve">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where</w:t>
      </w:r>
      <w:r>
        <w:t xml:space="preserve"> </w:t>
      </w:r>
      <m:oMath>
        <m:sSub>
          <m:e>
            <m:r>
              <m:t>g</m:t>
            </m:r>
          </m:e>
          <m:sub>
            <m:r>
              <m:t>b</m:t>
            </m:r>
          </m:sub>
        </m:sSub>
      </m:oMath>
      <w:r>
        <w:t xml:space="preserve"> </w:t>
      </w:r>
      <w:r>
        <w:t xml:space="preserve">increases with wind speed and</w:t>
      </w:r>
      <w:r>
        <w:t xml:space="preserve"> </w:t>
      </w:r>
      <m:oMath>
        <m:sSub>
          <m:e>
            <m:r>
              <m:t>g</m:t>
            </m:r>
          </m:e>
          <m:sub>
            <m:r>
              <m:t>s</m:t>
            </m:r>
          </m:sub>
        </m:sSub>
      </m:oMath>
      <w:r>
        <w:t xml:space="preserve"> </w:t>
      </w:r>
      <w:r>
        <w:t xml:space="preserve">can decline at high VPD due to stomatal closure.</w:t>
      </w:r>
      <w:r>
        <w:t xml:space="preserve"> </w:t>
      </w:r>
      <w:r>
        <w:t xml:space="preserve">Therefore,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 wind speed</w:t>
      </w:r>
      <w:r>
        <w:t xml:space="preserve"> </w:t>
      </w:r>
      <w:r>
        <w:t xml:space="preserve">(Fig. 3b, Daudet</w:t>
      </w:r>
      <w:r>
        <w:t xml:space="preserve"> </w:t>
      </w:r>
      <w:r>
        <w:rPr>
          <w:iCs/>
          <w:i/>
        </w:rPr>
        <w:t xml:space="preserve">et al.</w:t>
      </w:r>
      <w:r>
        <w:t xml:space="preserve">, 1999)</w:t>
      </w:r>
      <w:r>
        <w:t xml:space="preserve">, increases with RH (Fig. 3c), increases with leaf size (Fig. 3d), and decreases with</w:t>
      </w:r>
      <w:r>
        <w:t xml:space="preserve"> </w:t>
      </w:r>
      <m:oMath>
        <m:sSub>
          <m:e>
            <m:r>
              <m:t>g</m:t>
            </m:r>
          </m:e>
          <m:sub>
            <m:r>
              <m:t>s</m:t>
            </m:r>
          </m:sub>
        </m:sSub>
      </m:oMath>
      <w:r>
        <w:t xml:space="preserve"> </w:t>
      </w:r>
      <w:r>
        <w:t xml:space="preserve">(Fig. 3e).</w:t>
      </w:r>
    </w:p>
    <w:p>
      <w:pPr>
        <w:pStyle w:val="CaptionedFigure"/>
      </w:pPr>
      <w:r>
        <w:drawing>
          <wp:inline>
            <wp:extent cx="5334000" cy="2773051"/>
            <wp:effectExtent b="0" l="0" r="0" t="0"/>
            <wp:docPr descr="Figure 3. Theoretical expectations for variation in the difference between leaf and air temperatures,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2); ws = windspeed (m/s); rh= relative humidity; lw = leaf width (cm); gs = stomatal conductance (mmol m2/s)."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 the difference between leaf and air temperatures,</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in response to (a) shortwave radiation, (b) wind speed, (c) relative humidity, (d) leaf width, and (e) stomatal conductance.</w:t>
      </w:r>
      <w:r>
        <w:t xml:space="preserve"> </w:t>
      </w:r>
      <w:r>
        <w:t xml:space="preserve">Leaf temperatures were modeled using the</w:t>
      </w:r>
      <w:r>
        <w:t xml:space="preserve"> </w:t>
      </w:r>
      <w:r>
        <w:rPr>
          <w:iCs/>
          <w:i/>
        </w:rPr>
        <w:t xml:space="preserve">tealeaves</w:t>
      </w:r>
      <w:r>
        <w:t xml:space="preserve"> </w:t>
      </w:r>
      <w:r>
        <w:t xml:space="preserve">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w:t>
      </w:r>
      <w:r>
        <w:rPr>
          <w:vertAlign w:val="superscript"/>
        </w:rPr>
        <w:t xml:space="preserve">2</w:t>
      </w:r>
      <w:r>
        <w:t xml:space="preserve">); ws = windspeed (m/s); rh= relative humidity; lw = leaf width (cm); gs = stomatal conductance (mmol m</w:t>
      </w:r>
      <w:r>
        <w:rPr>
          <w:vertAlign w:val="superscript"/>
        </w:rPr>
        <w:t xml:space="preserve">2</w:t>
      </w:r>
      <w:r>
        <w:t xml:space="preserve">/s).</w:t>
      </w:r>
    </w:p>
    <w:p>
      <w:pPr>
        <w:pStyle w:val="BodyText"/>
      </w:pPr>
      <w:r>
        <w:t xml:space="preserve">Under hot and dry conditions, leaves face a trade-off between</w:t>
      </w:r>
      <w:r>
        <w:t xml:space="preserve"> </w:t>
      </w:r>
      <m:oMath>
        <m:sSub>
          <m:e>
            <m:r>
              <m:t>T</m:t>
            </m:r>
          </m:e>
          <m:sub>
            <m:r>
              <m:t>l</m:t>
            </m:r>
            <m:r>
              <m:t>e</m:t>
            </m:r>
            <m:r>
              <m:t>a</m:t>
            </m:r>
            <m:r>
              <m:t>f</m:t>
            </m:r>
          </m:sub>
        </m:sSub>
      </m:oMath>
      <w:r>
        <w:t xml:space="preserve"> </w:t>
      </w:r>
      <w:r>
        <w:t xml:space="preserve">regulation and water conservation</w:t>
      </w:r>
      <w:r>
        <w:t xml:space="preserve"> </w:t>
      </w:r>
      <w:r>
        <w:t xml:space="preserve">(Koch</w:t>
      </w:r>
      <w:r>
        <w:t xml:space="preserve"> </w:t>
      </w:r>
      <w:r>
        <w:rPr>
          <w:iCs/>
          <w:i/>
        </w:rPr>
        <w:t xml:space="preserve">et al.</w:t>
      </w:r>
      <w:r>
        <w:t xml:space="preserve">, 1994; Fauset</w:t>
      </w:r>
      <w:r>
        <w:t xml:space="preserve"> </w:t>
      </w:r>
      <w:r>
        <w:rPr>
          <w:iCs/>
          <w:i/>
        </w:rPr>
        <w:t xml:space="preserve">et al.</w:t>
      </w:r>
      <w:r>
        <w:t xml:space="preserve">, 2018)</w:t>
      </w:r>
      <w:r>
        <w:t xml:space="preserve">.</w:t>
      </w:r>
      <w:r>
        <w:t xml:space="preserve"> </w:t>
      </w:r>
      <w:r>
        <w:t xml:space="preserve">With adequate water, high</w:t>
      </w:r>
      <w:r>
        <w:t xml:space="preserve"> </w:t>
      </w:r>
      <m:oMath>
        <m:r>
          <m:t>λ</m:t>
        </m:r>
        <m:r>
          <m:t>E</m:t>
        </m:r>
      </m:oMath>
      <w:r>
        <w:t xml:space="preserve"> </w:t>
      </w:r>
      <w:r>
        <w:t xml:space="preserve">can facilitate heat dissipation, particularly for leaves with smaller size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However, when leaf water demand (influenced by VPD and stomatal opening) exceeds the rate of supply, conservation of water (</w:t>
      </w:r>
      <m:oMath>
        <m:sSub>
          <m:e>
            <m:r>
              <m:t>g</m:t>
            </m:r>
          </m:e>
          <m:sub>
            <m:r>
              <m:t>s</m:t>
            </m:r>
          </m:sub>
        </m:sSub>
      </m:oMath>
      <w:r>
        <w:t xml:space="preserve"> </w:t>
      </w:r>
      <w:r>
        <w:t xml:space="preserve">- 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 </w:t>
      </w:r>
      <w:r>
        <w:t xml:space="preserve">- 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487297"/>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487297"/>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059448"/>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059448"/>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1637862"/>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1637862"/>
                    </a:xfrm>
                    <a:prstGeom prst="rect">
                      <a:avLst/>
                    </a:prstGeom>
                    <a:noFill/>
                    <a:ln w="9525">
                      <a:noFill/>
                      <a:headEnd/>
                      <a:tailEnd/>
                    </a:ln>
                  </pic:spPr>
                </pic:pic>
              </a:graphicData>
            </a:graphic>
          </wp:inline>
        </w:drawing>
      </w:r>
    </w:p>
    <w:p>
      <w:pPr>
        <w:pStyle w:val="BodyText"/>
      </w:pPr>
      <w:r>
        <w:t xml:space="preserve">*Responses across height and light gradients are summarized, with up and down arrows indicating significant increasing or decreasing trends, respectively,</w:t>
      </w:r>
      <w:r>
        <w:t xml:space="preserve"> </w:t>
      </w:r>
      <m:oMath>
        <m:r>
          <m:rPr>
            <m:sty m:val="p"/>
          </m:rPr>
          <m:t>≈</m:t>
        </m:r>
      </m:oMath>
      <w:r>
        <w:t xml:space="preserve"> </w:t>
      </w:r>
      <w:r>
        <w:t xml:space="preserve">indicates lack of any notable directional variation, and</w:t>
      </w:r>
      <w:r>
        <w:t xml:space="preserve"> </w:t>
      </w:r>
      <m:oMath>
        <m:r>
          <m:rPr>
            <m:sty m:val="p"/>
          </m:rPr>
          <m:t>≈</m:t>
        </m:r>
        <m:r>
          <m:rPr>
            <m:sty m:val="p"/>
          </m:rPr>
          <m:t>↑</m:t>
        </m:r>
      </m:oMath>
      <w:r>
        <w:t xml:space="preserve"> </w:t>
      </w:r>
      <w:r>
        <w:t xml:space="preserve">or</w:t>
      </w:r>
      <w:r>
        <w:t xml:space="preserve"> </w:t>
      </w:r>
      <m:oMath>
        <m:r>
          <m:rPr>
            <m:sty m:val="p"/>
          </m:rPr>
          <m:t>≈</m:t>
        </m:r>
        <m:r>
          <m:rPr>
            <m:sty m:val="p"/>
          </m:rPr>
          <m:t>↓</m:t>
        </m:r>
      </m:oMath>
      <w:r>
        <w:t xml:space="preserve"> </w:t>
      </w:r>
      <w:r>
        <w:t xml:space="preserve">indicate non-significant or mixed trends (e.g., significant in some but not all species studied).</w:t>
      </w:r>
    </w:p>
    <w:p>
      <w:pPr>
        <w:pStyle w:val="BodyText"/>
      </w:pPr>
      <m:oMath>
        <m:r>
          <m:rPr>
            <m:sty m:val="p"/>
          </m:rPr>
          <m:t>†</m:t>
        </m:r>
      </m:oMath>
      <w:r>
        <w:t xml:space="preserve"> </w:t>
      </w:r>
      <w:r>
        <w:t xml:space="preserve">Forest types are coded as follows: TrB = tropical broadleaf; TeB = temperate broadleaf; TeN = temperate needleleaf (conifer); BoN= boreal needleleaf (conifer).</w:t>
      </w:r>
    </w:p>
    <w:p>
      <w:pPr>
        <w:pStyle w:val="BodyText"/>
      </w:pPr>
      <m:oMath>
        <m:r>
          <m:rPr>
            <m:sty m:val="p"/>
          </m:rPr>
          <m:t>‡</m:t>
        </m:r>
      </m:oMath>
      <w:r>
        <w:t xml:space="preserve"> </w:t>
      </w: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Zwieniecki et al. 2004; 48. Sack and Scoffoni, 2013; 49.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Cs/>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926791"/>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92679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1356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1356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765073"/>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6765073"/>
                    </a:xfrm>
                    <a:prstGeom prst="rect">
                      <a:avLst/>
                    </a:prstGeom>
                    <a:noFill/>
                    <a:ln w="9525">
                      <a:noFill/>
                      <a:headEnd/>
                      <a:tailEnd/>
                    </a:ln>
                  </pic:spPr>
                </pic:pic>
              </a:graphicData>
            </a:graphic>
          </wp:inline>
        </w:drawing>
      </w:r>
    </w:p>
    <w:p>
      <w:pPr>
        <w:pStyle w:val="BodyText"/>
      </w:pPr>
      <w:r>
        <w:t xml:space="preserve">*Responses across height and light gradients are summarized, with up and down arrows indicating significant increasing or decreasing trends, respectively,</w:t>
      </w:r>
      <w:r>
        <w:t xml:space="preserve"> </w:t>
      </w:r>
      <m:oMath>
        <m:r>
          <m:rPr>
            <m:sty m:val="p"/>
          </m:rPr>
          <m:t>≈</m:t>
        </m:r>
      </m:oMath>
      <w:r>
        <w:t xml:space="preserve"> </w:t>
      </w:r>
      <w:r>
        <w:t xml:space="preserve">indicates lack of any notable directional variation, and</w:t>
      </w:r>
      <w:r>
        <w:t xml:space="preserve"> </w:t>
      </w:r>
      <m:oMath>
        <m:r>
          <m:rPr>
            <m:sty m:val="p"/>
          </m:rPr>
          <m:t>≈</m:t>
        </m:r>
        <m:r>
          <m:rPr>
            <m:sty m:val="p"/>
          </m:rPr>
          <m:t>↑</m:t>
        </m:r>
      </m:oMath>
      <w:r>
        <w:t xml:space="preserve"> </w:t>
      </w:r>
      <w:r>
        <w:t xml:space="preserve">or</w:t>
      </w:r>
      <w:r>
        <w:t xml:space="preserve"> </w:t>
      </w:r>
      <m:oMath>
        <m:r>
          <m:rPr>
            <m:sty m:val="p"/>
          </m:rPr>
          <m:t>≈</m:t>
        </m:r>
        <m:r>
          <m:rPr>
            <m:sty m:val="p"/>
          </m:rPr>
          <m:t>↓</m:t>
        </m:r>
      </m:oMath>
      <w:r>
        <w:t xml:space="preserve"> </w:t>
      </w:r>
      <w:r>
        <w:t xml:space="preserve">indicate non-significant or mixed trends (e.g., significant in some but not all species studied).</w:t>
      </w:r>
    </w:p>
    <w:p>
      <w:pPr>
        <w:pStyle w:val="BodyText"/>
      </w:pPr>
      <m:oMath>
        <m:r>
          <m:rPr>
            <m:sty m:val="p"/>
          </m:rPr>
          <m:t>†</m:t>
        </m:r>
      </m:oMath>
      <w:r>
        <w:t xml:space="preserve"> </w:t>
      </w:r>
      <w:r>
        <w:t xml:space="preserve">Forest types are coded as follows: TrB = tropical broadleaf; TeB = temperate broadleaf; TeN = temperate needleleaf (conifer); BoN= boreal needleleaf (conifer).</w:t>
      </w:r>
    </w:p>
    <w:p>
      <w:pPr>
        <w:pStyle w:val="BodyText"/>
      </w:pPr>
      <m:oMath>
        <m:r>
          <m:rPr>
            <m:sty m:val="p"/>
          </m:rPr>
          <m:t>‡</m:t>
        </m:r>
      </m:oMath>
      <w:r>
        <w:t xml:space="preserve"> </w:t>
      </w: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 42. Taylor et al. 2021; 43. Harley et al. 1997; 44. Niinemets and Sun, 2014; 45. Sharkey and Monson, 2014; 46. Saimpraga et al. 2013</w:t>
      </w:r>
    </w:p>
    <w:p>
      <w:pPr>
        <w:pStyle w:val="BodyText"/>
      </w:pPr>
      <w:r>
        <w:t xml:space="preserve">** composite climatic stress variable from canopy temperature, vapour pressure deficit, and relative humidity is higher in lower canopy</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42"/>
    <w:bookmarkStart w:id="43"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62"/>
    <w:bookmarkStart w:id="63"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3"/>
    <w:bookmarkStart w:id="64"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4"/>
    <w:bookmarkStart w:id="65"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5"/>
    <w:bookmarkStart w:id="66"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6"/>
    <w:bookmarkStart w:id="67"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7"/>
    <w:bookmarkStart w:id="68"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8"/>
    <w:bookmarkStart w:id="69"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9"/>
    <w:bookmarkStart w:id="70"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70"/>
    <w:bookmarkStart w:id="71"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71"/>
    <w:bookmarkStart w:id="72"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72"/>
    <w:bookmarkStart w:id="73"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3"/>
    <w:bookmarkStart w:id="74"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4"/>
    <w:bookmarkStart w:id="75"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5"/>
    <w:bookmarkStart w:id="76"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6"/>
    <w:bookmarkStart w:id="77"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7"/>
    <w:bookmarkStart w:id="78"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8"/>
    <w:bookmarkStart w:id="79"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9"/>
    <w:bookmarkStart w:id="80"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80"/>
    <w:bookmarkStart w:id="81"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81"/>
    <w:bookmarkStart w:id="82"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82"/>
    <w:bookmarkStart w:id="83"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3"/>
    <w:bookmarkStart w:id="84"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4"/>
    <w:bookmarkStart w:id="85"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5"/>
    <w:bookmarkStart w:id="86"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6"/>
    <w:bookmarkStart w:id="87"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7"/>
    <w:bookmarkStart w:id="88"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8"/>
    <w:bookmarkStart w:id="89"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9"/>
    <w:bookmarkStart w:id="90"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90"/>
    <w:bookmarkStart w:id="91"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91"/>
    <w:bookmarkStart w:id="92"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92"/>
    <w:bookmarkStart w:id="93"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3"/>
    <w:bookmarkStart w:id="94"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4"/>
    <w:bookmarkStart w:id="95"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5"/>
    <w:bookmarkStart w:id="96"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6"/>
    <w:bookmarkStart w:id="97"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7"/>
    <w:bookmarkStart w:id="98"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8"/>
    <w:bookmarkStart w:id="99"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9"/>
    <w:bookmarkStart w:id="100"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100"/>
    <w:bookmarkStart w:id="101"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101"/>
    <w:bookmarkStart w:id="102"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2"/>
    <w:bookmarkStart w:id="103"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3"/>
    <w:bookmarkStart w:id="104"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4"/>
    <w:bookmarkStart w:id="105"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5"/>
    <w:bookmarkStart w:id="106"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6"/>
    <w:bookmarkStart w:id="107"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7"/>
    <w:bookmarkStart w:id="108"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8"/>
    <w:bookmarkStart w:id="109"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9"/>
    <w:bookmarkStart w:id="110"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10"/>
    <w:bookmarkStart w:id="111"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1"/>
    <w:bookmarkStart w:id="112"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2"/>
    <w:bookmarkStart w:id="113"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3"/>
    <w:bookmarkStart w:id="114"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4"/>
    <w:bookmarkStart w:id="115"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5"/>
    <w:bookmarkStart w:id="116"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6"/>
    <w:bookmarkStart w:id="117"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7"/>
    <w:bookmarkStart w:id="118"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8"/>
    <w:bookmarkStart w:id="119"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9"/>
    <w:bookmarkStart w:id="120"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20"/>
    <w:bookmarkStart w:id="121"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1"/>
    <w:bookmarkStart w:id="122"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2"/>
    <w:bookmarkStart w:id="123"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3"/>
    <w:bookmarkStart w:id="124"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4"/>
    <w:bookmarkStart w:id="125"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5"/>
    <w:bookmarkStart w:id="126"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6"/>
    <w:bookmarkStart w:id="127"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7"/>
    <w:bookmarkStart w:id="128"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8"/>
    <w:bookmarkStart w:id="129"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9"/>
    <w:bookmarkStart w:id="130"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30"/>
    <w:bookmarkStart w:id="131"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1"/>
    <w:bookmarkStart w:id="132"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2"/>
    <w:bookmarkStart w:id="133"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3"/>
    <w:bookmarkStart w:id="134"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4"/>
    <w:bookmarkStart w:id="135"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5"/>
    <w:bookmarkStart w:id="136"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6"/>
    <w:bookmarkStart w:id="137"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7"/>
    <w:bookmarkStart w:id="138"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8"/>
    <w:bookmarkStart w:id="139"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9"/>
    <w:bookmarkStart w:id="140"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40"/>
    <w:bookmarkStart w:id="141"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1"/>
    <w:bookmarkStart w:id="142"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2"/>
    <w:bookmarkStart w:id="143"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3"/>
    <w:bookmarkStart w:id="144"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4"/>
    <w:bookmarkStart w:id="145"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5"/>
    <w:bookmarkStart w:id="146"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6"/>
    <w:bookmarkStart w:id="147"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7"/>
    <w:bookmarkStart w:id="148"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8"/>
    <w:bookmarkStart w:id="149"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9"/>
    <w:bookmarkStart w:id="150"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50"/>
    <w:bookmarkStart w:id="151"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51"/>
    <w:bookmarkStart w:id="152"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2"/>
    <w:bookmarkStart w:id="153"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3"/>
    <w:bookmarkStart w:id="154"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4"/>
    <w:bookmarkStart w:id="155"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5"/>
    <w:bookmarkStart w:id="156"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6"/>
    <w:bookmarkStart w:id="157"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7"/>
    <w:bookmarkStart w:id="158"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8"/>
    <w:bookmarkStart w:id="159"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9"/>
    <w:bookmarkStart w:id="160"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60"/>
    <w:bookmarkStart w:id="161"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61"/>
    <w:bookmarkStart w:id="162"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2"/>
    <w:bookmarkStart w:id="163"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3"/>
    <w:bookmarkStart w:id="164"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4"/>
    <w:bookmarkStart w:id="165"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5"/>
    <w:bookmarkStart w:id="166"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6"/>
    <w:bookmarkStart w:id="167"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7"/>
    <w:bookmarkStart w:id="168"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8"/>
    <w:bookmarkStart w:id="169"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9"/>
    <w:bookmarkStart w:id="170"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70"/>
    <w:bookmarkStart w:id="171"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71"/>
    <w:bookmarkStart w:id="172"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2"/>
    <w:bookmarkStart w:id="173"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3"/>
    <w:bookmarkStart w:id="174"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4"/>
    <w:bookmarkStart w:id="175"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5"/>
    <w:bookmarkStart w:id="176"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6"/>
    <w:bookmarkStart w:id="177"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7"/>
    <w:bookmarkStart w:id="178"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8"/>
    <w:bookmarkStart w:id="179"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9"/>
    <w:bookmarkStart w:id="180"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80"/>
    <w:bookmarkStart w:id="181"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81"/>
    <w:bookmarkStart w:id="182"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2"/>
    <w:bookmarkStart w:id="183"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3"/>
    <w:bookmarkStart w:id="184"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4"/>
    <w:bookmarkStart w:id="185"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5"/>
    <w:bookmarkStart w:id="186"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6"/>
    <w:bookmarkStart w:id="187"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7"/>
    <w:bookmarkStart w:id="188"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8"/>
    <w:bookmarkStart w:id="189"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9"/>
    <w:bookmarkStart w:id="190"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90"/>
    <w:bookmarkStart w:id="191"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91"/>
    <w:bookmarkStart w:id="192"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2"/>
    <w:bookmarkStart w:id="193"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3"/>
    <w:bookmarkStart w:id="194"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4"/>
    <w:bookmarkStart w:id="195"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5"/>
    <w:bookmarkStart w:id="196"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6"/>
    <w:bookmarkStart w:id="197"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7"/>
    <w:bookmarkStart w:id="198"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8"/>
    <w:bookmarkStart w:id="199"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9"/>
    <w:bookmarkStart w:id="200"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200"/>
    <w:bookmarkStart w:id="201"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1"/>
    <w:bookmarkStart w:id="202"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2"/>
    <w:bookmarkStart w:id="203"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3"/>
    <w:bookmarkStart w:id="204"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4"/>
    <w:bookmarkStart w:id="205"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5"/>
    <w:bookmarkStart w:id="206"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6"/>
    <w:bookmarkStart w:id="207"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7"/>
    <w:bookmarkStart w:id="208"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8"/>
    <w:bookmarkStart w:id="209"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9"/>
    <w:bookmarkStart w:id="210"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10"/>
    <w:bookmarkStart w:id="211"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1"/>
    <w:bookmarkStart w:id="212"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2"/>
    <w:bookmarkStart w:id="213"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3"/>
    <w:bookmarkStart w:id="214"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4"/>
    <w:bookmarkStart w:id="215"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5"/>
    <w:bookmarkStart w:id="216"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6"/>
    <w:bookmarkStart w:id="217"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7"/>
    <w:bookmarkStart w:id="218"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8"/>
    <w:bookmarkStart w:id="219"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9"/>
    <w:bookmarkStart w:id="220"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20"/>
    <w:bookmarkStart w:id="221"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1"/>
    <w:bookmarkStart w:id="222"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2"/>
    <w:bookmarkStart w:id="223"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3"/>
    <w:bookmarkStart w:id="224"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4"/>
    <w:bookmarkStart w:id="225"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5"/>
    <w:bookmarkStart w:id="226"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6"/>
    <w:bookmarkStart w:id="227"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7"/>
    <w:bookmarkStart w:id="228"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8"/>
    <w:bookmarkStart w:id="229"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9"/>
    <w:bookmarkStart w:id="230"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30"/>
    <w:bookmarkStart w:id="231"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31"/>
    <w:bookmarkStart w:id="232"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2"/>
    <w:bookmarkStart w:id="233"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3"/>
    <w:bookmarkStart w:id="234"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4"/>
    <w:bookmarkStart w:id="235"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5"/>
    <w:bookmarkStart w:id="236"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6"/>
    <w:bookmarkStart w:id="237"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7"/>
    <w:bookmarkStart w:id="238"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8"/>
    <w:bookmarkStart w:id="239"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9"/>
    <w:bookmarkStart w:id="240"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40"/>
    <w:bookmarkStart w:id="241"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41"/>
    <w:bookmarkStart w:id="242"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2"/>
    <w:bookmarkStart w:id="243"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3"/>
    <w:bookmarkStart w:id="244"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4"/>
    <w:bookmarkStart w:id="245"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5"/>
    <w:bookmarkStart w:id="246"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6"/>
    <w:bookmarkStart w:id="247"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7"/>
    <w:bookmarkStart w:id="248"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8"/>
    <w:bookmarkStart w:id="249"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9"/>
    <w:bookmarkStart w:id="250"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50"/>
    <w:bookmarkStart w:id="251"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51"/>
    <w:bookmarkStart w:id="252"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2"/>
    <w:bookmarkStart w:id="253"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3"/>
    <w:bookmarkStart w:id="254"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4"/>
    <w:bookmarkStart w:id="255"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5"/>
    <w:bookmarkStart w:id="256"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6"/>
    <w:bookmarkStart w:id="257"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7"/>
    <w:bookmarkStart w:id="258"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8"/>
    <w:bookmarkStart w:id="259"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9"/>
    <w:bookmarkStart w:id="260"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60"/>
    <w:bookmarkStart w:id="261"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61"/>
    <w:bookmarkStart w:id="262"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62"/>
    <w:bookmarkStart w:id="263"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3"/>
    <w:bookmarkStart w:id="264"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4"/>
    <w:bookmarkStart w:id="265"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5"/>
    <w:bookmarkStart w:id="266"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6"/>
    <w:bookmarkStart w:id="267"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7"/>
    <w:bookmarkStart w:id="268"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8"/>
    <w:bookmarkStart w:id="269"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9"/>
    <w:bookmarkStart w:id="270"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70"/>
    <w:bookmarkStart w:id="271"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71"/>
    <w:bookmarkStart w:id="272"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2"/>
    <w:bookmarkStart w:id="273"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3"/>
    <w:bookmarkStart w:id="274"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4"/>
    <w:bookmarkStart w:id="275"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5"/>
    <w:bookmarkStart w:id="276"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6"/>
    <w:bookmarkStart w:id="277"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7"/>
    <w:bookmarkStart w:id="278"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8"/>
    <w:bookmarkStart w:id="279"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9"/>
    <w:bookmarkStart w:id="280"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80"/>
    <w:bookmarkStart w:id="281"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1"/>
    <w:bookmarkStart w:id="282"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2"/>
    <w:bookmarkStart w:id="283"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3"/>
    <w:bookmarkStart w:id="284"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4"/>
    <w:bookmarkStart w:id="285"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5"/>
    <w:bookmarkStart w:id="286"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6"/>
    <w:bookmarkStart w:id="287"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7"/>
    <w:bookmarkStart w:id="288"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8"/>
    <w:bookmarkStart w:id="289"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9"/>
    <w:bookmarkStart w:id="290"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90"/>
    <w:bookmarkStart w:id="291"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1"/>
    <w:bookmarkStart w:id="292"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2"/>
    <w:bookmarkStart w:id="293"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3"/>
    <w:bookmarkStart w:id="294"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4"/>
    <w:bookmarkStart w:id="295"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5"/>
    <w:bookmarkStart w:id="296"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6"/>
    <w:bookmarkStart w:id="297"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7"/>
    <w:bookmarkStart w:id="298"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8"/>
    <w:bookmarkStart w:id="299"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9"/>
    <w:bookmarkStart w:id="300"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300"/>
    <w:bookmarkStart w:id="301"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1"/>
    <w:bookmarkStart w:id="302"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2"/>
    <w:bookmarkStart w:id="303"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3"/>
    <w:bookmarkStart w:id="304"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4"/>
    <w:bookmarkStart w:id="305"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5"/>
    <w:bookmarkStart w:id="306"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6"/>
    <w:bookmarkStart w:id="307"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7"/>
    <w:bookmarkStart w:id="308"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8"/>
    <w:bookmarkStart w:id="309"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9"/>
    <w:bookmarkStart w:id="310"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10"/>
    <w:bookmarkStart w:id="311"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11"/>
    <w:bookmarkStart w:id="312"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2"/>
    <w:bookmarkStart w:id="313"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3"/>
    <w:bookmarkStart w:id="314"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4"/>
    <w:bookmarkStart w:id="315"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5"/>
    <w:bookmarkStart w:id="316"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6"/>
    <w:bookmarkStart w:id="317"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7"/>
    <w:bookmarkStart w:id="318"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8"/>
    <w:bookmarkStart w:id="319"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9"/>
    <w:bookmarkStart w:id="320"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20"/>
    <w:bookmarkStart w:id="321"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21"/>
    <w:bookmarkStart w:id="322"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2"/>
    <w:bookmarkStart w:id="323"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3"/>
    <w:bookmarkStart w:id="324"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4"/>
    <w:bookmarkStart w:id="325"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5"/>
    <w:bookmarkStart w:id="326"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2021-09-07T11:50:06Z</dcterms:created>
  <dcterms:modified xsi:type="dcterms:W3CDTF">2021-09-07T11:50:06Z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