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Title:</w:t>
      </w:r>
      <w:r>
        <w:t xml:space="preserve"> </w:t>
      </w:r>
      <w:r>
        <w:t xml:space="preserve">Thermal sensitivity across forest vertical profiles: patterns, mechanisms, and ecological implications</w:t>
      </w:r>
    </w:p>
    <w:p>
      <w:pPr>
        <w:pStyle w:val="BodyText"/>
      </w:pPr>
      <w:r>
        <w:rPr>
          <w:bCs/>
          <w:b/>
        </w:rPr>
        <w:t xml:space="preserve">Authors (so far, not necessarily in final order):</w:t>
      </w:r>
      <w:r>
        <w:t xml:space="preserve"> </w:t>
      </w:r>
      <w:r>
        <w:t xml:space="preserve">Nidhi Vinod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Martijn Slot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Ian McGregor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Elsa M. Ordway</w:t>
      </w:r>
      <w:r>
        <w:rPr>
          <w:vertAlign w:val="superscript"/>
        </w:rPr>
        <w:t xml:space="preserve">4</w:t>
      </w:r>
      <w:r>
        <w:t xml:space="preserve">,</w:t>
      </w:r>
      <w:r>
        <w:t xml:space="preserve"> </w:t>
      </w:r>
      <w:r>
        <w:t xml:space="preserve">Marielle N. Smith</w:t>
      </w:r>
      <w:r>
        <w:rPr>
          <w:vertAlign w:val="superscript"/>
        </w:rPr>
        <w:t xml:space="preserve">5</w:t>
      </w:r>
      <w:r>
        <w:t xml:space="preserve">,</w:t>
      </w:r>
      <w:r>
        <w:t xml:space="preserve"> </w:t>
      </w:r>
      <w:r>
        <w:t xml:space="preserve">Tyeen Taylor,</w:t>
      </w:r>
      <w:r>
        <w:t xml:space="preserve"> </w:t>
      </w:r>
      <w:r>
        <w:t xml:space="preserve">Lawren Sack,</w:t>
      </w:r>
      <w:r>
        <w:t xml:space="preserve"> </w:t>
      </w:r>
      <w:r>
        <w:t xml:space="preserve">Kristina J. Anderson-Teixeira</w:t>
      </w:r>
      <w:r>
        <w:rPr>
          <w:vertAlign w:val="superscript"/>
        </w:rPr>
        <w:t xml:space="preserve">1,2</w:t>
      </w:r>
      <w:r>
        <w:t xml:space="preserve">*</w:t>
      </w:r>
    </w:p>
    <w:p>
      <w:r>
        <w:br w:type="page"/>
      </w:r>
    </w:p>
    <w:bookmarkStart w:id="22" w:name="X260e002c230bee23ea00891c92b45587b05b7b2"/>
    <w:p>
      <w:pPr>
        <w:pStyle w:val="Heading1"/>
      </w:pPr>
      <w:r>
        <w:t xml:space="preserve">Appendix S1. Methods for NEON vertical profiles</w:t>
      </w:r>
    </w:p>
    <w:p>
      <w:pPr>
        <w:pStyle w:val="FirstParagraph"/>
      </w:pPr>
      <w:r>
        <w:t xml:space="preserve">METHODS ON NEON ANALYSIS GO HERE.</w:t>
      </w:r>
    </w:p>
    <w:p>
      <w:pPr>
        <w:pStyle w:val="BodyText"/>
      </w:pPr>
      <w:r>
        <w:t xml:space="preserve">see</w:t>
      </w:r>
      <w:r>
        <w:t xml:space="preserve"> </w:t>
      </w:r>
      <w:hyperlink r:id="rId20">
        <w:r>
          <w:rPr>
            <w:rStyle w:val="Hyperlink"/>
          </w:rPr>
          <w:t xml:space="preserve">Issue 2</w:t>
        </w:r>
      </w:hyperlink>
      <w:r>
        <w:t xml:space="preserve"> </w:t>
      </w:r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issue 20</w:t>
        </w:r>
      </w:hyperlink>
    </w:p>
    <w:p>
      <w:r>
        <w:br w:type="page"/>
      </w:r>
    </w:p>
    <w:bookmarkEnd w:id="22"/>
    <w:bookmarkStart w:id="24" w:name="Xa7c37e88eea33e2be91922182aa22173979a9f9"/>
    <w:p>
      <w:pPr>
        <w:pStyle w:val="Heading1"/>
      </w:pPr>
      <w:r>
        <w:t xml:space="preserve">Appendix S2. Methods for leaf energy balance modeling</w:t>
      </w:r>
    </w:p>
    <w:p>
      <w:pPr>
        <w:pStyle w:val="FirstParagraph"/>
      </w:pPr>
      <w:r>
        <w:t xml:space="preserve">METHODS ON TEALEAVES GO HERE.</w:t>
      </w:r>
    </w:p>
    <w:p>
      <w:pPr>
        <w:pStyle w:val="BodyText"/>
      </w:pPr>
      <w:r>
        <w:t xml:space="preserve">Energy balance for a normal overstory sun leaf and understory shade leaf were parameterized with biophysical variables from Harvard NEON data documented here: (</w:t>
      </w:r>
      <w:hyperlink r:id="rId23">
        <w:r>
          <w:rPr>
            <w:rStyle w:val="Hyperlink"/>
          </w:rPr>
          <w:t xml:space="preserve">https://github.com/EcoClimLab/vertical-thermal-review/blob/master/NEON_height_profiles/HARV_neon_stats.csv</w:t>
        </w:r>
      </w:hyperlink>
      <w:r>
        <w:t xml:space="preserve">). Leaf trait measurements for effective leaf width was measured on ~Quercus rubra~ sun and shade leaf, stomatal conductance measurements were refered from Tleaves typical sun and shade measurements</w:t>
      </w:r>
      <w:r>
        <w:t xml:space="preserve"> </w:t>
      </w:r>
      <w:r>
        <w:t xml:space="preserve">(Muir, 2019)</w:t>
      </w:r>
      <w:r>
        <w:t xml:space="preserve"> </w:t>
      </w:r>
      <w:r>
        <w:t xml:space="preserve">and as well</w:t>
      </w:r>
      <w:r>
        <w:t xml:space="preserve"> </w:t>
      </w:r>
      <w:r>
        <w:t xml:space="preserve">Cavender-Bares &amp; Bazzaz (2000)</w:t>
      </w:r>
      <w:r>
        <w:t xml:space="preserve">.</w:t>
      </w:r>
    </w:p>
    <w:p>
      <w:pPr>
        <w:pStyle w:val="BodyText"/>
      </w:pPr>
      <w:r>
        <w:t xml:space="preserve">For drought scenario, biophysical variables were parameterized similar to normal scenario using Harvard NEON data. Overstory drought PAR values reflect maximum observed Harvard NEON PAR and understory drought reflect 50% increased PAR of understory normal value. Leaf trait measurements for effective leaf width is the same as normal scenario, stomatal conductance was referred from</w:t>
      </w:r>
      <w:r>
        <w:t xml:space="preserve"> </w:t>
      </w:r>
      <w:r>
        <w:t xml:space="preserve">Cavender-Bares &amp; Bazzaz (2000)</w:t>
      </w:r>
      <w:r>
        <w:t xml:space="preserve">. In each visual, all variables are constant (Biophysical Constants table) except for the independent variable that represents minimum - maximum range.</w:t>
      </w:r>
    </w:p>
    <w:p>
      <w:r>
        <w:br w:type="page"/>
      </w:r>
    </w:p>
    <w:bookmarkEnd w:id="24"/>
    <w:bookmarkStart w:id="25" w:name="Xbc4b05f64e70d3540d2f4125c619714c92a9e87"/>
    <w:p>
      <w:pPr>
        <w:pStyle w:val="Heading1"/>
      </w:pPr>
      <w:r>
        <w:t xml:space="preserve">Appendix S3. Methods for literature review</w:t>
      </w:r>
    </w:p>
    <w:p>
      <w:pPr>
        <w:pStyle w:val="FirstParagraph"/>
      </w:pPr>
      <w:r>
        <w:t xml:space="preserve">METHODS ON LIT REVIEW GO HERE.</w:t>
      </w:r>
    </w:p>
    <w:p>
      <w:r>
        <w:br w:type="page"/>
      </w:r>
    </w:p>
    <w:bookmarkEnd w:id="25"/>
    <w:bookmarkStart w:id="32" w:name="Xffc62d20bb585bb07718940744d2dd55a3eca0b"/>
    <w:p>
      <w:pPr>
        <w:pStyle w:val="Heading1"/>
      </w:pPr>
      <w:r>
        <w:t xml:space="preserve">Figure S1. Vertical gradients in micrometeorological conditions for all forested sites in the National Ecological Observatory Network (NEON)</w:t>
      </w:r>
    </w:p>
    <w:p>
      <w:pPr>
        <w:pStyle w:val="CaptionedFigure"/>
      </w:pPr>
      <w:r>
        <w:drawing>
          <wp:inline>
            <wp:extent cx="5334000" cy="6667500"/>
            <wp:effectExtent b="0" l="0" r="0" t="0"/>
            <wp:docPr descr="Figure S1. Vertical gradients in micrometeorological conditions for all forested sites in the National Ecological Observatory Network (NEON). Shown are height profiles in July mean ± 1 standard deviation for maximum photosyntehtically active ratiation (PAR), maximum wind speed, minimum humidity, maximum T_{air}, and maximum biological temperature, T_{bio}. Sites are grouped into the following categories: (A) (sub)subtropical and warm temperate broadleaf: …, (B) temperate open/ savanna forests: …, (C) temperate mesic broadleaf forests: …, (D) temperate conifer forests: …, (E) northern and boreal forests: … Issue #35." title="" id="1" name="Picture"/>
            <a:graphic>
              <a:graphicData uri="http://schemas.openxmlformats.org/drawingml/2006/picture">
                <pic:pic>
                  <pic:nvPicPr>
                    <pic:cNvPr descr="NEON_height_profiles/figures/profile_all_group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Cs/>
          <w:b/>
        </w:rPr>
        <w:t xml:space="preserve">Figure S1. Vertical gradients in micrometeorological conditions for all forested sites in the National Ecological Observatory Network (NEON)</w:t>
      </w:r>
      <w:r>
        <w:t xml:space="preserve">. Shown are height profiles in July mean ± 1 standard deviation for maximum photosyntehtically active ratiation (PAR), maximum wind speed, minimum humidity, maximum</w:t>
      </w:r>
      <w:r>
        <w:t xml:space="preserve"> </w:t>
      </w:r>
      <m:oMath>
        <m:sSub>
          <m:e>
            <m:r>
              <m:t>T</m:t>
            </m:r>
          </m:e>
          <m:sub>
            <m:r>
              <m:t>a</m:t>
            </m:r>
            <m:r>
              <m:t>i</m:t>
            </m:r>
            <m:r>
              <m:t>r</m:t>
            </m:r>
          </m:sub>
        </m:sSub>
      </m:oMath>
      <w:r>
        <w:t xml:space="preserve">, and maximum biological temperature,</w:t>
      </w:r>
      <w:r>
        <w:t xml:space="preserve"> </w:t>
      </w:r>
      <m:oMath>
        <m:sSub>
          <m:e>
            <m:r>
              <m:t>T</m:t>
            </m:r>
          </m:e>
          <m:sub>
            <m:r>
              <m:t>b</m:t>
            </m:r>
            <m:r>
              <m:t>i</m:t>
            </m:r>
            <m:r>
              <m:t>o</m:t>
            </m:r>
          </m:sub>
        </m:sSub>
      </m:oMath>
      <w:r>
        <w:t xml:space="preserve">. Sites are grouped into the following categories: (A) (sub)subtropical and warm temperate broadleaf: …, (B) temperate open/ savanna forests: …, (C) temperate mesic broadleaf forests: …, (D) temperate conifer forests: …, (E) northern and boreal forests: …</w:t>
      </w:r>
      <w:r>
        <w:t xml:space="preserve"> </w:t>
      </w:r>
      <w:hyperlink r:id="rId27">
        <w:r>
          <w:rPr>
            <w:rStyle w:val="Hyperlink"/>
          </w:rPr>
          <w:t xml:space="preserve">Issue #35</w:t>
        </w:r>
      </w:hyperlink>
      <w:r>
        <w:t xml:space="preserve">.</w:t>
      </w:r>
    </w:p>
    <w:bookmarkStart w:id="31" w:name="references"/>
    <w:p>
      <w:pPr>
        <w:pStyle w:val="Heading2"/>
      </w:pPr>
      <w:r>
        <w:t xml:space="preserve">References</w:t>
      </w:r>
    </w:p>
    <w:bookmarkStart w:id="30" w:name="refs"/>
    <w:bookmarkStart w:id="28" w:name="X17b069eff5ad7ec48b341c0cc9ca77d7094bb3d"/>
    <w:p>
      <w:pPr>
        <w:pStyle w:val="Bibliography"/>
      </w:pPr>
      <w:r>
        <w:rPr>
          <w:bCs/>
          <w:b/>
          <w:bCs/>
          <w:b/>
        </w:rPr>
        <w:t xml:space="preserve">Cavender-Bares 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Bazzaz FA</w:t>
      </w:r>
      <w:r>
        <w:t xml:space="preserve">.</w:t>
      </w:r>
      <w:r>
        <w:t xml:space="preserve"> </w:t>
      </w:r>
      <w:r>
        <w:rPr>
          <w:bCs/>
          <w:b/>
        </w:rPr>
        <w:t xml:space="preserve">2000</w:t>
      </w:r>
      <w:r>
        <w:t xml:space="preserve">. Changes in drought response strategies with ontogeny in</w:t>
      </w:r>
      <w:r>
        <w:t xml:space="preserve"> </w:t>
      </w:r>
      <w:r>
        <w:t xml:space="preserve">Quercus</w:t>
      </w:r>
      <w:r>
        <w:t xml:space="preserve"> </w:t>
      </w:r>
      <w:r>
        <w:t xml:space="preserve">rubra: Implications for scaling from seedlings to mature trees.</w:t>
      </w:r>
      <w:r>
        <w:t xml:space="preserve"> </w:t>
      </w:r>
      <w:r>
        <w:rPr>
          <w:iCs/>
          <w:i/>
        </w:rPr>
        <w:t xml:space="preserve">Oecologia</w:t>
      </w:r>
      <w:r>
        <w:t xml:space="preserve"> </w:t>
      </w:r>
      <w:r>
        <w:rPr>
          <w:bCs/>
          <w:b/>
        </w:rPr>
        <w:t xml:space="preserve">124</w:t>
      </w:r>
      <w:r>
        <w:t xml:space="preserve">: 8–18.</w:t>
      </w:r>
    </w:p>
    <w:bookmarkEnd w:id="28"/>
    <w:bookmarkStart w:id="29" w:name="ref-muir_tealeaves_2019"/>
    <w:p>
      <w:pPr>
        <w:pStyle w:val="Bibliography"/>
      </w:pPr>
      <w:r>
        <w:rPr>
          <w:bCs/>
          <w:b/>
          <w:bCs/>
          <w:b/>
        </w:rPr>
        <w:t xml:space="preserve">Muir CD</w:t>
      </w:r>
      <w:r>
        <w:t xml:space="preserve">.</w:t>
      </w:r>
      <w:r>
        <w:t xml:space="preserve"> </w:t>
      </w:r>
      <w:r>
        <w:rPr>
          <w:bCs/>
          <w:b/>
        </w:rPr>
        <w:t xml:space="preserve">2019</w:t>
      </w:r>
      <w:r>
        <w:t xml:space="preserve">. Tealeaves: An</w:t>
      </w:r>
      <w:r>
        <w:t xml:space="preserve"> </w:t>
      </w:r>
      <w:r>
        <w:t xml:space="preserve">R</w:t>
      </w:r>
      <w:r>
        <w:t xml:space="preserve"> </w:t>
      </w:r>
      <w:r>
        <w:t xml:space="preserve">package for modelling leaf temperature using energy budgets.</w:t>
      </w:r>
      <w:r>
        <w:t xml:space="preserve"> </w:t>
      </w:r>
      <w:r>
        <w:rPr>
          <w:iCs/>
          <w:i/>
        </w:rPr>
        <w:t xml:space="preserve">AoB PLANTS</w:t>
      </w:r>
      <w:r>
        <w:t xml:space="preserve"> </w:t>
      </w:r>
      <w:r>
        <w:rPr>
          <w:bCs/>
          <w:b/>
        </w:rPr>
        <w:t xml:space="preserve">11</w:t>
      </w:r>
      <w:r>
        <w:t xml:space="preserve">.</w:t>
      </w:r>
    </w:p>
    <w:bookmarkEnd w:id="29"/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3" Target="https://github.com/EcoClimLab/vertical-thermal-review/blob/master/NEON_height_profiles/HARV_neon_stats.csv" TargetMode="External" /><Relationship Type="http://schemas.openxmlformats.org/officeDocument/2006/relationships/hyperlink" Id="rId20" Target="https://github.com/EcoClimLab/vertical-thermal-review/issues/2" TargetMode="External" /><Relationship Type="http://schemas.openxmlformats.org/officeDocument/2006/relationships/hyperlink" Id="rId21" Target="https://github.com/EcoClimLab/vertical-thermal-review/issues/20" TargetMode="External" /><Relationship Type="http://schemas.openxmlformats.org/officeDocument/2006/relationships/hyperlink" Id="rId27" Target="https://github.com/EcoClimLab/vertical-thermal-review/issues/3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EcoClimLab/vertical-thermal-review/blob/master/NEON_height_profiles/HARV_neon_stats.csv" TargetMode="External" /><Relationship Type="http://schemas.openxmlformats.org/officeDocument/2006/relationships/hyperlink" Id="rId20" Target="https://github.com/EcoClimLab/vertical-thermal-review/issues/2" TargetMode="External" /><Relationship Type="http://schemas.openxmlformats.org/officeDocument/2006/relationships/hyperlink" Id="rId21" Target="https://github.com/EcoClimLab/vertical-thermal-review/issues/20" TargetMode="External" /><Relationship Type="http://schemas.openxmlformats.org/officeDocument/2006/relationships/hyperlink" Id="rId27" Target="https://github.com/EcoClimLab/vertical-thermal-review/issues/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2021-06-22T12:25:26Z</dcterms:created>
  <dcterms:modified xsi:type="dcterms:W3CDTF">2021-06-22T12:25:26Z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Zotero_references.bib</vt:lpwstr>
  </property>
  <property fmtid="{D5CDD505-2E9C-101B-9397-08002B2CF9AE}" pid="3" name="csl">
    <vt:lpwstr>new-phytologist.csl</vt:lpwstr>
  </property>
  <property fmtid="{D5CDD505-2E9C-101B-9397-08002B2CF9AE}" pid="4" name="output">
    <vt:lpwstr>word_document</vt:lpwstr>
  </property>
</Properties>
</file>