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/>
        </w:rPr>
        <w:t xml:space="preserve">Authors (so far, not necessarily in final order):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0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METHODS ON NEON ANALYSIS GO HERE.</w:t>
      </w:r>
    </w:p>
    <w:p>
      <w:r>
        <w:br w:type="page"/>
      </w:r>
    </w:p>
    <w:bookmarkEnd w:id="20"/>
    <w:bookmarkStart w:id="21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METHODS ON TEALEAVES GO HERE.</w:t>
      </w:r>
    </w:p>
    <w:p>
      <w:r>
        <w:br w:type="page"/>
      </w:r>
    </w:p>
    <w:bookmarkEnd w:id="21"/>
    <w:bookmarkStart w:id="22" w:name="Xbc4b05f64e70d3540d2f4125c619714c92a9e87"/>
    <w:p>
      <w:pPr>
        <w:pStyle w:val="Heading1"/>
      </w:pPr>
      <w:r>
        <w:t xml:space="preserve">Appendix S3. Methods for literature review</w:t>
      </w:r>
    </w:p>
    <w:p>
      <w:pPr>
        <w:pStyle w:val="FirstParagraph"/>
      </w:pPr>
      <w:r>
        <w:t xml:space="preserve">METHODS ON LIT REVIEW GO HERE.</w:t>
      </w:r>
    </w:p>
    <w:p>
      <w:r>
        <w:br w:type="page"/>
      </w:r>
    </w:p>
    <w:bookmarkEnd w:id="22"/>
    <w:bookmarkStart w:id="24" w:name="Xd7eeb2af33682c9de8a663de6d34f4096b08242"/>
    <w:p>
      <w:pPr>
        <w:pStyle w:val="Heading1"/>
      </w:pPr>
      <w:r>
        <w:t xml:space="preserve">Appendix S4. Methods for SCBI tree-ring analysis</w:t>
      </w:r>
    </w:p>
    <w:p>
      <w:r>
        <w:br w:type="page"/>
      </w:r>
    </w:p>
    <w:bookmarkStart w:id="23" w:name="references"/>
    <w:p>
      <w:pPr>
        <w:pStyle w:val="Heading2"/>
      </w:pPr>
      <w:r>
        <w:t xml:space="preserve">References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2020-12-10T14:26:57Z</dcterms:created>
  <dcterms:modified xsi:type="dcterms:W3CDTF">2020-12-10T14:26:57Z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