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bookmarkStart w:id="22" w:name="X260e002c230bee23ea00891c92b45587b05b7b2"/>
    <w:p>
      <w:pPr>
        <w:pStyle w:val="Heading1"/>
      </w:pPr>
      <w:r>
        <w:t xml:space="preserve">Appendix S1. Methods for NEON vertical profiles</w:t>
      </w:r>
    </w:p>
    <w:p>
      <w:pPr>
        <w:pStyle w:val="FirstParagraph"/>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p>
      <w:pPr>
        <w:pStyle w:val="BodyText"/>
      </w:pPr>
      <w:r>
        <w:t xml:space="preserve">METHODS ON NEON ANALYSIS GO HERE.</w:t>
      </w:r>
    </w:p>
    <w:p>
      <w:pPr>
        <w:pStyle w:val="BodyText"/>
      </w:pPr>
      <w:r>
        <w:t xml:space="preserve">see</w:t>
      </w:r>
      <w:r>
        <w:t xml:space="preserve"> </w:t>
      </w:r>
      <w:hyperlink r:id="rId20">
        <w:r>
          <w:rPr>
            <w:rStyle w:val="Hyperlink"/>
          </w:rPr>
          <w:t xml:space="preserve">Issue 2</w:t>
        </w:r>
      </w:hyperlink>
      <w:r>
        <w:t xml:space="preserve"> </w:t>
      </w:r>
      <w:r>
        <w:t xml:space="preserve">,</w:t>
      </w:r>
      <w:r>
        <w:t xml:space="preserve"> </w:t>
      </w:r>
      <w:hyperlink r:id="rId21">
        <w:r>
          <w:rPr>
            <w:rStyle w:val="Hyperlink"/>
          </w:rPr>
          <w:t xml:space="preserve">issue 20</w:t>
        </w:r>
      </w:hyperlink>
    </w:p>
    <w:p>
      <w:r>
        <w:br w:type="page"/>
      </w:r>
    </w:p>
    <w:bookmarkEnd w:id="22"/>
    <w:bookmarkStart w:id="23" w:name="Xa7c37e88eea33e2be91922182aa22173979a9f9"/>
    <w:p>
      <w:pPr>
        <w:pStyle w:val="Heading1"/>
      </w:pPr>
      <w:r>
        <w:t xml:space="preserve">Appendix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S1.</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3"/>
    <w:bookmarkStart w:id="27" w:name="methods-for-literature-review"/>
    <w:p>
      <w:pPr>
        <w:pStyle w:val="Heading1"/>
      </w:pPr>
      <w:r>
        <w:t xml:space="preserve">Methods for literature review</w:t>
      </w:r>
    </w:p>
    <w:bookmarkStart w:id="24"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4"/>
    <w:bookmarkStart w:id="26"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5">
        <w:r>
          <w:rPr>
            <w:rStyle w:val="Hyperlink"/>
            <w:bCs/>
            <w:b/>
          </w:rPr>
          <w:t xml:space="preserve">here</w:t>
        </w:r>
      </w:hyperlink>
      <w:r>
        <w:rPr>
          <w:bCs/>
          <w:b/>
        </w:rPr>
        <w:t xml:space="preserve">. Section needs to be written.</w:t>
      </w:r>
    </w:p>
    <w:p>
      <w:r>
        <w:br w:type="page"/>
      </w:r>
    </w:p>
    <w:bookmarkEnd w:id="26"/>
    <w:bookmarkEnd w:id="27"/>
    <w:bookmarkStart w:id="29" w:name="table-s1.-tealeaves-parameters"/>
    <w:p>
      <w:pPr>
        <w:pStyle w:val="Heading1"/>
      </w:pPr>
      <w:r>
        <w:t xml:space="preserve">Table S1. Tealeaves parameters</w:t>
      </w:r>
    </w:p>
    <w:p>
      <w:pPr>
        <w:pStyle w:val="FirstParagraph"/>
      </w:pPr>
      <w:r>
        <w:t xml:space="preserve">Make a table from this:</w:t>
      </w:r>
      <w:r>
        <w:t xml:space="preserve"> </w:t>
      </w:r>
      <w:hyperlink r:id="rId28">
        <w:r>
          <w:rPr>
            <w:rStyle w:val="Hyperlink"/>
          </w:rPr>
          <w:t xml:space="preserve">https://github.com/EcoClimLab/vertical-thermal-review/blob/master/NEON_height_profiles/HARV_neon_stats.csv</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61"/>
        <w:gridCol w:w="1621"/>
        <w:gridCol w:w="1301"/>
        <w:gridCol w:w="1041"/>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verticalPosition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max_sd</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0.67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4.81</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10.98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4.11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3.49</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3.30</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189.70</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132.86</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367.77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1,723.45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372.42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1,741.65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368.16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378.96</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868.40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184.67</w:t>
            </w:r>
          </w:p>
        </w:tc>
      </w:tr>
    </w:tbl>
    <w:p>
      <w:r>
        <w:br w:type="page"/>
      </w:r>
    </w:p>
    <w:bookmarkEnd w:id="29"/>
    <w:bookmarkStart w:id="39"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s are grouped into the following categories: (A) (sub)subtropical and warm temperate broadleaf: …, (B) temperate open/ savanna forests: …, (C) temperate mesic broadleaf forests: …, (D) temperate conifer forests: …, (E) northern and boreal forests: … Issue #35."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Sites are grouped into the following categories: (A) (sub)subtropical and warm temperate broadleaf: …, (B) temperate open/ savanna forests: …, (C) temperate mesic broadleaf forests: …, (D) temperate conifer forests: …, (E) northern and boreal forests: …</w:t>
      </w:r>
      <w:r>
        <w:t xml:space="preserve"> </w:t>
      </w:r>
      <w:hyperlink r:id="rId31">
        <w:r>
          <w:rPr>
            <w:rStyle w:val="Hyperlink"/>
          </w:rPr>
          <w:t xml:space="preserve">Issue #35</w:t>
        </w:r>
      </w:hyperlink>
      <w:r>
        <w:t xml:space="preserve">.</w:t>
      </w:r>
    </w:p>
    <w:p>
      <w:r>
        <w:br w:type="page"/>
      </w:r>
    </w:p>
    <w:bookmarkStart w:id="38" w:name="references"/>
    <w:p>
      <w:pPr>
        <w:pStyle w:val="Heading2"/>
      </w:pPr>
      <w:r>
        <w:t xml:space="preserve">References</w:t>
      </w:r>
    </w:p>
    <w:bookmarkStart w:id="37"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5"/>
    <w:bookmarkStart w:id="36"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5" Target="https://github.com/EcoClimLab/vertical-thermal-review/blob/master/Lit_Review/Methods%20for%20Systematic%20review%20for%20the%20tables.docx" TargetMode="External" /><Relationship Type="http://schemas.openxmlformats.org/officeDocument/2006/relationships/hyperlink" Id="rId28" Target="https://github.com/EcoClimLab/vertical-thermal-review/blob/master/NEON_height_profiles/HARV_neon_stats.csv" TargetMode="External" /><Relationship Type="http://schemas.openxmlformats.org/officeDocument/2006/relationships/hyperlink" Id="rId20" Target="https://github.com/EcoClimLab/vertical-thermal-review/issues/2" TargetMode="External" /><Relationship Type="http://schemas.openxmlformats.org/officeDocument/2006/relationships/hyperlink" Id="rId21" Target="https://github.com/EcoClimLab/vertical-thermal-review/issues/20" TargetMode="External" /><Relationship Type="http://schemas.openxmlformats.org/officeDocument/2006/relationships/hyperlink" Id="rId31" Target="https://github.com/EcoClimLab/vertical-thermal-review/issues/35"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EcoClimLab/vertical-thermal-review/blob/master/Lit_Review/Methods%20for%20Systematic%20review%20for%20the%20tables.docx" TargetMode="External" /><Relationship Type="http://schemas.openxmlformats.org/officeDocument/2006/relationships/hyperlink" Id="rId28" Target="https://github.com/EcoClimLab/vertical-thermal-review/blob/master/NEON_height_profiles/HARV_neon_stats.csv" TargetMode="External" /><Relationship Type="http://schemas.openxmlformats.org/officeDocument/2006/relationships/hyperlink" Id="rId20" Target="https://github.com/EcoClimLab/vertical-thermal-review/issues/2" TargetMode="External" /><Relationship Type="http://schemas.openxmlformats.org/officeDocument/2006/relationships/hyperlink" Id="rId21" Target="https://github.com/EcoClimLab/vertical-thermal-review/issues/20" TargetMode="External" /><Relationship Type="http://schemas.openxmlformats.org/officeDocument/2006/relationships/hyperlink" Id="rId31" Target="https://github.com/EcoClimLab/vertical-thermal-review/issues/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2021-09-01T17:32:05Z</dcterms:created>
  <dcterms:modified xsi:type="dcterms:W3CDTF">2021-09-01T17:32:05Z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