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p>
    <w:p>
      <w:pPr>
        <w:pStyle w:val="FirstParagraph"/>
      </w:pPr>
      <w:r>
        <w:rPr>
          <w:bCs/>
          <w:b/>
        </w:rPr>
        <w:t xml:space="preserve">Title:</w:t>
      </w:r>
      <w:r>
        <w:t xml:space="preserve"> </w:t>
      </w:r>
      <w:r>
        <w:t xml:space="preserve">Thermal sensitivity across forest vertical profiles: patterns, mechanisms, and ecological implications</w:t>
      </w:r>
    </w:p>
    <w:p>
      <w:pPr>
        <w:pStyle w:val="BodyText"/>
      </w:pPr>
      <w:r>
        <w:rPr>
          <w:bCs/>
          <w:b/>
        </w:rPr>
        <w:t xml:space="preserve">Authors:</w:t>
      </w:r>
      <w:r>
        <w:t xml:space="preserve"> </w:t>
      </w:r>
      <w:r>
        <w:t xml:space="preserve">Nidhi Vinod</w:t>
      </w:r>
      <w:r>
        <w:rPr>
          <w:vertAlign w:val="superscript"/>
        </w:rPr>
        <w:t xml:space="preserve">1</w:t>
      </w:r>
      <w:r>
        <w:t xml:space="preserve">,</w:t>
      </w:r>
      <w:r>
        <w:t xml:space="preserve"> </w:t>
      </w:r>
      <w:r>
        <w:t xml:space="preserve">Martijn Slot</w:t>
      </w:r>
      <w:r>
        <w:rPr>
          <w:vertAlign w:val="superscript"/>
        </w:rPr>
        <w:t xml:space="preserve">2</w:t>
      </w:r>
      <w:r>
        <w:t xml:space="preserve">,</w:t>
      </w:r>
      <w:r>
        <w:t xml:space="preserve"> </w:t>
      </w:r>
      <w:r>
        <w:t xml:space="preserve">Ian McGregor</w:t>
      </w:r>
      <w:r>
        <w:rPr>
          <w:vertAlign w:val="superscript"/>
        </w:rPr>
        <w:t xml:space="preserve">3</w:t>
      </w:r>
      <w:r>
        <w:t xml:space="preserve">,</w:t>
      </w:r>
      <w:r>
        <w:t xml:space="preserve"> </w:t>
      </w:r>
      <w:r>
        <w:t xml:space="preserve">Elsa M. Ordway</w:t>
      </w:r>
      <w:r>
        <w:rPr>
          <w:vertAlign w:val="superscript"/>
        </w:rPr>
        <w:t xml:space="preserve">4</w:t>
      </w:r>
      <w:r>
        <w:t xml:space="preserve">,</w:t>
      </w:r>
      <w:r>
        <w:t xml:space="preserve"> </w:t>
      </w:r>
      <w:r>
        <w:t xml:space="preserve">Marielle N. Smith</w:t>
      </w:r>
      <w:r>
        <w:rPr>
          <w:vertAlign w:val="superscript"/>
        </w:rPr>
        <w:t xml:space="preserve">5</w:t>
      </w:r>
      <w:r>
        <w:t xml:space="preserve">,</w:t>
      </w:r>
      <w:r>
        <w:t xml:space="preserve"> </w:t>
      </w:r>
      <w:r>
        <w:t xml:space="preserve">Tyeen Taylor,</w:t>
      </w:r>
      <w:r>
        <w:t xml:space="preserve"> </w:t>
      </w:r>
      <w:r>
        <w:t xml:space="preserve">Lawren Sack,</w:t>
      </w:r>
      <w:r>
        <w:t xml:space="preserve"> </w:t>
      </w:r>
      <w:r>
        <w:t xml:space="preserve">Kristina J. Anderson-Teixeira</w:t>
      </w:r>
      <w:r>
        <w:rPr>
          <w:vertAlign w:val="superscript"/>
        </w:rPr>
        <w:t xml:space="preserve">1,2</w:t>
      </w:r>
      <w:r>
        <w:t xml:space="preserve">*</w:t>
      </w:r>
    </w:p>
    <w:p>
      <w:r>
        <w:br w:type="page"/>
      </w:r>
    </w:p>
    <w:p>
      <w:pPr>
        <w:pStyle w:val="BodyText"/>
      </w:pPr>
      <w:r>
        <w:t xml:space="preserve">S1 Note:</w:t>
      </w:r>
    </w:p>
    <w:p>
      <w:pPr>
        <w:pStyle w:val="BodyText"/>
      </w:pPr>
      <w:r>
        <w:t xml:space="preserve">It is noteworthy that 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measured using sensors that integrate across both leaves and woody vegetation (e.g., infrared sensors for</w:t>
      </w:r>
      <w:r>
        <w:t xml:space="preserve"> </w:t>
      </w:r>
      <m:oMath>
        <m:sSub>
          <m:e>
            <m:r>
              <m:t>T</m:t>
            </m:r>
          </m:e>
          <m:sub>
            <m:r>
              <m:t>v</m:t>
            </m:r>
            <m:r>
              <m:t>e</m:t>
            </m:r>
            <m:r>
              <m:t>g</m:t>
            </m:r>
          </m:sub>
        </m:sSub>
      </m:oMath>
      <w:r>
        <w:t xml:space="preserve"> </w:t>
      </w:r>
      <w:r>
        <w:t xml:space="preserve">at NEON sites, Fig. 2h) does not always equal</w:t>
      </w:r>
      <w:r>
        <w:t xml:space="preserve"> </w:t>
      </w:r>
      <m:oMath>
        <m:sSub>
          <m:e>
            <m:r>
              <m:t>T</m:t>
            </m:r>
          </m:e>
          <m:sub>
            <m:r>
              <m:t>l</m:t>
            </m:r>
            <m:r>
              <m:t>e</m:t>
            </m:r>
            <m:r>
              <m:t>a</m:t>
            </m:r>
            <m:r>
              <m:t>f</m:t>
            </m:r>
          </m:sub>
        </m:sSub>
      </m:oMath>
      <w:r>
        <w:t xml:space="preserve">, particularly in settings where leaf area is low relative to woody vegetation (</w:t>
      </w:r>
      <w:r>
        <w:rPr>
          <w:iCs/>
          <w:i/>
        </w:rPr>
        <w:t xml:space="preserve">i.e.</w:t>
      </w:r>
      <w:r>
        <w:t xml:space="preserve">, low-LAI ecosystems and understories).</w:t>
      </w:r>
      <w:r>
        <w:t xml:space="preserve"> </w:t>
      </w:r>
      <w:r>
        <w:t xml:space="preserve">Recent advances in</w:t>
      </w:r>
      <w:r>
        <w:t xml:space="preserve"> </w:t>
      </w:r>
      <m:oMath>
        <m:sSub>
          <m:e>
            <m:r>
              <m:t>T</m:t>
            </m:r>
          </m:e>
          <m:sub>
            <m:r>
              <m:t>l</m:t>
            </m:r>
            <m:r>
              <m:t>e</m:t>
            </m:r>
            <m:r>
              <m:t>a</m:t>
            </m:r>
            <m:r>
              <m:t>f</m:t>
            </m:r>
          </m:sub>
        </m:sSub>
      </m:oMath>
      <w:r>
        <w:t xml:space="preserve"> </w:t>
      </w:r>
      <w:r>
        <w:t xml:space="preserve">modeling (see</w:t>
      </w:r>
      <w:r>
        <w:t xml:space="preserve"> </w:t>
      </w:r>
      <w:r>
        <w:t xml:space="preserve">“</w:t>
      </w:r>
      <w:r>
        <w:t xml:space="preserve">Scaling across Space and Time</w:t>
      </w:r>
      <w:r>
        <w:t xml:space="preserve">”</w:t>
      </w:r>
      <w:r>
        <w:t xml:space="preserve">) will enhance our understanding of large scale</w:t>
      </w:r>
      <w:r>
        <w:t xml:space="preserve"> </w:t>
      </w:r>
      <m:oMath>
        <m:sSub>
          <m:e>
            <m:r>
              <m:t>T</m:t>
            </m:r>
          </m:e>
          <m:sub>
            <m:r>
              <m:t>l</m:t>
            </m:r>
            <m:r>
              <m:t>e</m:t>
            </m:r>
            <m:r>
              <m:t>a</m:t>
            </m:r>
            <m:r>
              <m:t>f</m:t>
            </m:r>
          </m:sub>
        </m:sSub>
      </m:oMath>
      <w:r>
        <w:t xml:space="preserve"> </w:t>
      </w:r>
      <w:r>
        <w:t xml:space="preserve">vertical patterns</w:t>
      </w:r>
      <w:r>
        <w:t xml:space="preserve"> </w:t>
      </w:r>
      <w:r>
        <w:t xml:space="preserve">(Still</w:t>
      </w:r>
      <w:r>
        <w:t xml:space="preserve"> </w:t>
      </w:r>
      <w:r>
        <w:rPr>
          <w:iCs/>
          <w:i/>
        </w:rPr>
        <w:t xml:space="preserve">et al.</w:t>
      </w:r>
      <w:r>
        <w:t xml:space="preserve">, 2021; Maclean &amp; Klinges, 2021)</w:t>
      </w:r>
    </w:p>
    <w:bookmarkStart w:id="23" w:name="X15519aea17eeceebad46ab9a4e1fb5be972e659"/>
    <w:p>
      <w:pPr>
        <w:pStyle w:val="Heading1"/>
      </w:pPr>
      <w:r>
        <w:t xml:space="preserve">Methods S1. Methods for analyzing vertical gradients in the biophysical environment</w:t>
      </w:r>
    </w:p>
    <w:p>
      <w:pPr>
        <w:pStyle w:val="FirstParagraph"/>
      </w:pPr>
      <w:r>
        <w:rPr>
          <w:iCs/>
          <w:i/>
        </w:rPr>
        <w:t xml:space="preserve">be sure to cite</w:t>
      </w:r>
      <w:r>
        <w:rPr>
          <w:iCs/>
          <w:i/>
        </w:rPr>
        <w:t xml:space="preserve"> </w:t>
      </w:r>
      <w:r>
        <w:rPr>
          <w:iCs/>
          <w:i/>
        </w:rPr>
        <w:t xml:space="preserve">Schimel</w:t>
      </w:r>
      <w:r>
        <w:rPr>
          <w:iCs/>
          <w:i/>
        </w:rPr>
        <w:t xml:space="preserve"> </w:t>
      </w:r>
      <w:r>
        <w:rPr>
          <w:iCs/>
          <w:i/>
          <w:iCs/>
          <w:i/>
        </w:rPr>
        <w:t xml:space="preserve">et al.</w:t>
      </w:r>
      <w:r>
        <w:rPr>
          <w:iCs/>
          <w:i/>
        </w:rPr>
        <w:t xml:space="preserve"> </w:t>
      </w:r>
      <w:r>
        <w:rPr>
          <w:iCs/>
          <w:i/>
        </w:rPr>
        <w:t xml:space="preserve">(2007)</w:t>
      </w:r>
      <w:r>
        <w:rPr>
          <w:iCs/>
          <w:i/>
        </w:rPr>
        <w:t xml:space="preserve">.</w:t>
      </w:r>
    </w:p>
    <w:p>
      <w:pPr>
        <w:pStyle w:val="BodyText"/>
      </w:pPr>
      <w:r>
        <w:t xml:space="preserve">METHODS ON NEON ANALYSIS GO HERE. Google doc:</w:t>
      </w:r>
      <w:r>
        <w:t xml:space="preserve"> </w:t>
      </w:r>
      <w:hyperlink r:id="rId20">
        <w:r>
          <w:rPr>
            <w:rStyle w:val="Hyperlink"/>
          </w:rPr>
          <w:t xml:space="preserve">https://docs.google.com/document/d/1HdPa7X5AMrEwfLjazGMU92uTYMc6pObh/edit#heading=h.gjdgxs</w:t>
        </w:r>
      </w:hyperlink>
    </w:p>
    <w:p>
      <w:pPr>
        <w:pStyle w:val="BodyText"/>
      </w:pPr>
      <w:r>
        <w:t xml:space="preserve">see</w:t>
      </w:r>
      <w:r>
        <w:t xml:space="preserve"> </w:t>
      </w:r>
      <w:hyperlink r:id="rId21">
        <w:r>
          <w:rPr>
            <w:rStyle w:val="Hyperlink"/>
          </w:rPr>
          <w:t xml:space="preserve">Issue 2</w:t>
        </w:r>
      </w:hyperlink>
      <w:r>
        <w:t xml:space="preserve"> </w:t>
      </w:r>
      <w:r>
        <w:t xml:space="preserve">,</w:t>
      </w:r>
      <w:r>
        <w:t xml:space="preserve"> </w:t>
      </w:r>
      <w:hyperlink r:id="rId22">
        <w:r>
          <w:rPr>
            <w:rStyle w:val="Hyperlink"/>
          </w:rPr>
          <w:t xml:space="preserve">issue 20</w:t>
        </w:r>
      </w:hyperlink>
    </w:p>
    <w:p>
      <w:r>
        <w:br w:type="page"/>
      </w:r>
    </w:p>
    <w:bookmarkEnd w:id="23"/>
    <w:bookmarkStart w:id="24"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(**GEOGRAPHIC COORDINATES).</w:t>
      </w:r>
      <w:r>
        <w:t xml:space="preserve"> </w:t>
      </w:r>
      <w:r>
        <w:t xml:space="preserve">Parameters are presented in Table S2.</w:t>
      </w:r>
    </w:p>
    <w:p>
      <w:pPr>
        <w:pStyle w:val="BodyText"/>
      </w:pPr>
      <w:r>
        <w:rPr>
          <w:iCs/>
          <w:i/>
        </w:rPr>
        <w:t xml:space="preserve">Describe where you came up with all the parameters:</w:t>
      </w:r>
    </w:p>
    <w:p>
      <w:pPr>
        <w:numPr>
          <w:ilvl w:val="0"/>
          <w:numId w:val="1001"/>
        </w:numPr>
        <w:pStyle w:val="Compact"/>
      </w:pPr>
      <w:r>
        <w:t xml:space="preserve">micromet from NEON (explain exactly what you used)</w:t>
      </w:r>
    </w:p>
    <w:p>
      <w:pPr>
        <w:numPr>
          <w:ilvl w:val="0"/>
          <w:numId w:val="1001"/>
        </w:numPr>
        <w:pStyle w:val="Compact"/>
      </w:pPr>
      <w:r>
        <w:t xml:space="preserve">leaf characteristic dimension, was measured on</w:t>
      </w:r>
      <w:r>
        <w:t xml:space="preserve"> </w:t>
      </w:r>
      <w:r>
        <w:rPr>
          <w:iCs/>
          <w:i/>
        </w:rPr>
        <w:t xml:space="preserve">Quercus rubra</w:t>
      </w:r>
      <w:r>
        <w:t xml:space="preserve"> </w:t>
      </w:r>
      <w:r>
        <w:t xml:space="preserve">sun and shade leaf,</w:t>
      </w:r>
    </w:p>
    <w:p>
      <w:pPr>
        <w:numPr>
          <w:ilvl w:val="0"/>
          <w:numId w:val="1001"/>
        </w:numPr>
        <w:pStyle w:val="Compact"/>
      </w:pPr>
      <w:r>
        <w:t xml:space="preserve">stomatal conductance measurements were referred from Tleaves typical sun and shade measurements</w:t>
      </w:r>
      <w:r>
        <w:t xml:space="preserve"> </w:t>
      </w:r>
      <w:r>
        <w:t xml:space="preserve">(Muir, 2019)</w:t>
      </w:r>
    </w:p>
    <w:p>
      <w:pPr>
        <w:numPr>
          <w:ilvl w:val="0"/>
          <w:numId w:val="1001"/>
        </w:numPr>
        <w:pStyle w:val="Compact"/>
      </w:pPr>
    </w:p>
    <w:p>
      <w:pPr>
        <w:pStyle w:val="FirstParagraph"/>
      </w:pPr>
      <w:r>
        <w:t xml:space="preserve">For drought scenario, biophysical variables were parameterized similar to normal scenario using Harvard NEON data. Overstory drought PAR values reflect maximum observed Harvard NEON PAR and understory drought reflect 50% increased PAR of understory normal value. Leaf trait measurements for leaf width is the same as normal scenario, stomatal conductance is kept constant at a minimum value of 0.01 umol/m^2/s/Pa for both positions. In each visual, all variables are constant (Biophysical Constants table) except for the independent variable that represents minimum - maximum range.</w:t>
      </w:r>
    </w:p>
    <w:p>
      <w:r>
        <w:br w:type="page"/>
      </w:r>
    </w:p>
    <w:bookmarkEnd w:id="24"/>
    <w:bookmarkStart w:id="28" w:name="Xf6d007265e943c034627ec2b504f4b1e0a17b23"/>
    <w:p>
      <w:pPr>
        <w:pStyle w:val="Heading1"/>
      </w:pPr>
      <w:r>
        <w:t xml:space="preserve">Methods S3. Methods for literature review</w:t>
      </w:r>
    </w:p>
    <w:bookmarkStart w:id="25" w:name="identification-of-relevant-studies"/>
    <w:p>
      <w:pPr>
        <w:pStyle w:val="Heading2"/>
      </w:pPr>
      <w:r>
        <w:t xml:space="preserve">Identification of relevant studies</w:t>
      </w:r>
    </w:p>
    <w:p>
      <w:pPr>
        <w:pStyle w:val="FirstParagraph"/>
      </w:pPr>
      <w:r>
        <w:t xml:space="preserve">Relevant studies were searched in the databases: ISI Web of Science, Smithsonian online library and Google Scholar, using the following key terms: (leaf traits OR foliar traits) AND (inter-canopy OR intra-canopy OR canopy height) AND (e.g. chlorophyll OR e.g. LMA OR stomatal conductance);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BodyText"/>
      </w:pPr>
      <w:r>
        <w:t xml:space="preserve">in Google Scholar, 600 articles were screened, using the key terms—(leaf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After screening the title and reading the abstract, 185 articles were most relevant. Herbaceous plant studies and seedling studies were excluded. These articles were added into Zotero folders: Leaf traits; Leaf Metabolism and Processes, accordingly, for further careful reading.</w:t>
      </w:r>
    </w:p>
    <w:p>
      <w:pPr>
        <w:pStyle w:val="BodyText"/>
      </w:pPr>
      <w:r>
        <w:t xml:space="preserve">Similar search was conducted with the Smithsonian online library with the key terms— (leaf traits OR foliar traits) AND (inter-canopy OR intra-canopy OR canopy height) AND (e.g. chlorophyll OR e.g. LMA OR stomatal conductance)— provided most relevant results among the set of keywords mentioned above, with the field refine function that included botany, ecology, biology, environmental sciences, and forestry. Out of 150 relevant articles screened, 26 were most relevant after screening the title and reading the abstract, out of which 22 were already acquired through Google scholar search, 4 new articles were added to the folder.</w:t>
      </w:r>
    </w:p>
    <w:p>
      <w:pPr>
        <w:pStyle w:val="BodyText"/>
      </w:pPr>
      <w:r>
        <w:t xml:space="preserve">For ISI Web of Science, search the key terms—(leaf*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 yielded 410 relevant results, 37 were most relevant after screening the title and reading the abstract, out of which 24 were already acquired through the above process, 13 new articles were added to Zotero folders.</w:t>
      </w:r>
    </w:p>
    <w:p>
      <w:pPr>
        <w:pStyle w:val="BodyText"/>
      </w:pPr>
      <w:r>
        <w:t xml:space="preserve">Through the above process, 202 articles were acquired into Zotero folders. The articles were tagged after careful reading of each as</w:t>
      </w:r>
      <w:r>
        <w:t xml:space="preserve"> </w:t>
      </w:r>
      <w:r>
        <w:t xml:space="preserve">‘</w:t>
      </w:r>
      <w:r>
        <w:t xml:space="preserve">added to the table</w:t>
      </w:r>
      <w:r>
        <w:t xml:space="preserve">’</w:t>
      </w:r>
      <w:r>
        <w:t xml:space="preserve">,</w:t>
      </w:r>
      <w:r>
        <w:t xml:space="preserve"> </w:t>
      </w:r>
      <w:r>
        <w:t xml:space="preserve">‘</w:t>
      </w:r>
      <w:r>
        <w:t xml:space="preserve">irrelevant to the table, but relevant to the review</w:t>
      </w:r>
      <w:r>
        <w:t xml:space="preserve">’</w:t>
      </w:r>
      <w:r>
        <w:t xml:space="preserve"> </w:t>
      </w:r>
      <w:r>
        <w:t xml:space="preserve">(with a note on the reason),</w:t>
      </w:r>
      <w:r>
        <w:t xml:space="preserve"> </w:t>
      </w:r>
      <w:r>
        <w:t xml:space="preserve">‘</w:t>
      </w:r>
      <w:r>
        <w:t xml:space="preserve">irrelevant to the table and the review</w:t>
      </w:r>
      <w:r>
        <w:t xml:space="preserve">’</w:t>
      </w:r>
      <w:r>
        <w:t xml:space="preserve"> </w:t>
      </w:r>
      <w:r>
        <w:t xml:space="preserve">(with a note on the reason for exclusion). Articles that were not yet carefully read were tagged</w:t>
      </w:r>
      <w:r>
        <w:t xml:space="preserve"> </w:t>
      </w:r>
      <w:r>
        <w:t xml:space="preserve">‘</w:t>
      </w:r>
      <w:r>
        <w:t xml:space="preserve">yet to read</w:t>
      </w:r>
      <w:r>
        <w:t xml:space="preserve">’</w:t>
      </w:r>
      <w:r>
        <w:t xml:space="preserve">, which will be tagged as one of the above after reading. Articles shared by co-authors and references mentioned in other studies collectively were ~&gt;32 studies. So far 40 relevant articles are added into the tables</w:t>
      </w:r>
    </w:p>
    <w:bookmarkEnd w:id="25"/>
    <w:bookmarkStart w:id="27" w:name="criteria-for-inclusion"/>
    <w:p>
      <w:pPr>
        <w:pStyle w:val="Heading2"/>
      </w:pPr>
      <w:r>
        <w:t xml:space="preserve">Criteria for inclusion</w:t>
      </w:r>
    </w:p>
    <w:p>
      <w:pPr>
        <w:pStyle w:val="FirstParagraph"/>
      </w:pPr>
      <w:r>
        <w:rPr>
          <w:bCs/>
          <w:b/>
        </w:rPr>
        <w:t xml:space="preserve">this is outlined</w:t>
      </w:r>
      <w:r>
        <w:rPr>
          <w:bCs/>
          <w:b/>
        </w:rPr>
        <w:t xml:space="preserve"> </w:t>
      </w:r>
      <w:hyperlink r:id="rId26">
        <w:r>
          <w:rPr>
            <w:rStyle w:val="Hyperlink"/>
            <w:bCs/>
            <w:b/>
          </w:rPr>
          <w:t xml:space="preserve">here</w:t>
        </w:r>
      </w:hyperlink>
      <w:r>
        <w:rPr>
          <w:bCs/>
          <w:b/>
        </w:rPr>
        <w:t xml:space="preserve">. Section needs to be written.</w:t>
      </w:r>
    </w:p>
    <w:p>
      <w:r>
        <w:br w:type="page"/>
      </w:r>
    </w:p>
    <w:bookmarkEnd w:id="27"/>
    <w:bookmarkEnd w:id="28"/>
    <w:bookmarkStart w:id="30"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9">
        <w:r>
          <w:rPr>
            <w:rStyle w:val="Hyperlink"/>
          </w:rPr>
          <w:t xml:space="preserve">site descriptions on NEON website</w:t>
        </w:r>
      </w:hyperlink>
      <w:r>
        <w:t xml:space="preserve">).</w:t>
      </w:r>
    </w:p>
    <w:p>
      <w:r>
        <w:br w:type="page"/>
      </w:r>
    </w:p>
    <w:bookmarkEnd w:id="30"/>
    <w:bookmarkStart w:id="31" w:name="table-s2.-tealeaves-parameters"/>
    <w:p>
      <w:pPr>
        <w:pStyle w:val="Heading1"/>
      </w:pPr>
      <w:r>
        <w:t xml:space="preserve">Table S2. (Tealeaves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53"/>
        <w:gridCol w:w="1971"/>
        <w:gridCol w:w="2681"/>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vertical position (m)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mean of July daily maximum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speed (m/s)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0.24</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speed (m/s)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2.88</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relative humidity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96.83</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relative humidity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90.81</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air temperature (°C)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22.86</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air temperature (°C)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24.92</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203.69</w:t>
            </w:r>
          </w:p>
        </w:tc>
      </w:tr>
      <w:tr>
        <w:trPr>
          <w:cantSplit/>
          <w:trHeight w:val="566"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 </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1,738.48</w:t>
            </w:r>
          </w:p>
        </w:tc>
      </w:tr>
    </w:tbl>
    <w:p>
      <w:r>
        <w:br w:type="page"/>
      </w:r>
    </w:p>
    <w:bookmarkEnd w:id="31"/>
    <w:bookmarkStart w:id="41"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ehtically active rat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2"/>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photosyntehtically active ratiation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Start w:id="40" w:name="references"/>
    <w:p>
      <w:pPr>
        <w:pStyle w:val="Heading2"/>
      </w:pPr>
      <w:r>
        <w:t xml:space="preserve">References</w:t>
      </w:r>
    </w:p>
    <w:bookmarkStart w:id="39" w:name="refs"/>
    <w:bookmarkStart w:id="33"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w:t>
      </w:r>
      <w:r>
        <w:t xml:space="preserve"> </w:t>
      </w:r>
      <w:r>
        <w:t xml:space="preserve">Vertical 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3"/>
    <w:bookmarkStart w:id="34" w:name="X100803c3698c24d8f47d72d6048009e4b7089ab"/>
    <w:p>
      <w:pPr>
        <w:pStyle w:val="Bibliography"/>
      </w:pPr>
      <w:r>
        <w:rPr>
          <w:bCs/>
          <w:b/>
          <w:bCs/>
          <w:b/>
        </w:rPr>
        <w:t xml:space="preserve">Maclean IMD</w:t>
      </w:r>
      <w:r>
        <w:rPr>
          <w:bCs/>
          <w:b/>
        </w:rPr>
        <w:t xml:space="preserve">,</w:t>
      </w:r>
      <w:r>
        <w:rPr>
          <w:bCs/>
          <w:b/>
        </w:rPr>
        <w:t xml:space="preserve"> </w:t>
      </w:r>
      <w:r>
        <w:rPr>
          <w:bCs/>
          <w:b/>
          <w:bCs/>
          <w:b/>
        </w:rPr>
        <w:t xml:space="preserve">Klinges DH</w:t>
      </w:r>
      <w:r>
        <w:t xml:space="preserve">.</w:t>
      </w:r>
      <w:r>
        <w:t xml:space="preserve"> </w:t>
      </w:r>
      <w:r>
        <w:rPr>
          <w:bCs/>
          <w:b/>
        </w:rPr>
        <w:t xml:space="preserve">2021</w:t>
      </w:r>
      <w:r>
        <w:t xml:space="preserve">. Microclimc:</w:t>
      </w:r>
      <w:r>
        <w:t xml:space="preserve"> </w:t>
      </w:r>
      <w:r>
        <w:t xml:space="preserve">A</w:t>
      </w:r>
      <w:r>
        <w:t xml:space="preserve"> </w:t>
      </w:r>
      <w:r>
        <w:t xml:space="preserve">mechanistic model of above, below and within-canopy microclimate.</w:t>
      </w:r>
      <w:r>
        <w:t xml:space="preserve"> </w:t>
      </w:r>
      <w:r>
        <w:rPr>
          <w:iCs/>
          <w:i/>
        </w:rPr>
        <w:t xml:space="preserve">Ecological Modelling</w:t>
      </w:r>
      <w:r>
        <w:t xml:space="preserve"> </w:t>
      </w:r>
      <w:r>
        <w:rPr>
          <w:bCs/>
          <w:b/>
        </w:rPr>
        <w:t xml:space="preserve">451</w:t>
      </w:r>
      <w:r>
        <w:t xml:space="preserve">: 109567.</w:t>
      </w:r>
    </w:p>
    <w:bookmarkEnd w:id="34"/>
    <w:bookmarkStart w:id="35"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35"/>
    <w:bookmarkStart w:id="36"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36"/>
    <w:bookmarkStart w:id="37"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37"/>
    <w:bookmarkStart w:id="38"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 Type="http://schemas.openxmlformats.org/officeDocument/2006/relationships/hyperlink" Id="rId29"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 Type="http://schemas.openxmlformats.org/officeDocument/2006/relationships/hyperlink" Id="rId29"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dc:title>
  <dc:creator/>
  <cp:keywords/>
  <dcterms:created xsi:type="dcterms:W3CDTF">2021-09-03T15:35:23Z</dcterms:created>
  <dcterms:modified xsi:type="dcterms:W3CDTF">2021-09-03T15:35:23Z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