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rPr>
                <m:sty m:val="p"/>
              </m:rP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ISI Web of Science, Smithsonian online library, and Google Scholar, with the following key terms:</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identified as most relevant and saved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such that 4 new articles were added.</w:t>
      </w:r>
    </w:p>
    <w:p>
      <w:pPr>
        <w:pStyle w:val="BodyText"/>
      </w:pPr>
      <w:r>
        <w:t xml:space="preserve">For ISI Web of Science, a search of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Of these, 37 were most relevant after screening the title and reading the abstract, out of which 24 were already acquired through the above process, such that 13 new articles were added.</w:t>
      </w:r>
    </w:p>
    <w:p>
      <w:pPr>
        <w:pStyle w:val="BodyText"/>
      </w:pPr>
      <w:r>
        <w:t xml:space="preserve">Through the above process, 202 articles were saved for careful evaluation. The articles were tagged after careful reading of each as added to the tables, irrelevant to the tables but relevant to the review (with a note on the reason), or irrelevant to the table and the review (with a note on the reason for exclusion).</w:t>
      </w:r>
    </w:p>
    <w:p>
      <w:pPr>
        <w:pStyle w:val="BodyText"/>
      </w:pPr>
      <w:r>
        <w:t xml:space="preserve">Articles shared by co-authors and references mentioned in other studies collectively were ~&gt;32 studies. So far 70 relevant articles are added into the tables.</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1"/>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 Vertical</w:t>
      </w:r>
      <w:r>
        <w:t xml:space="preserve"> </w:t>
      </w:r>
      <w:r>
        <w:t xml:space="preserve">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rkerCanopySurfaceStand2004"/>
    <w:p>
      <w:pPr>
        <w:pStyle w:val="Bibliography"/>
      </w:pPr>
      <w:r>
        <w:rPr>
          <w:bCs/>
          <w:b/>
          <w:bCs/>
          <w:b/>
        </w:rPr>
        <w:t xml:space="preserve">Parker GG</w:t>
      </w:r>
      <w:r>
        <w:rPr>
          <w:bCs/>
          <w:b/>
        </w:rPr>
        <w:t xml:space="preserve">,</w:t>
      </w:r>
      <w:r>
        <w:rPr>
          <w:bCs/>
          <w:b/>
        </w:rPr>
        <w:t xml:space="preserve"> </w:t>
      </w:r>
      <w:r>
        <w:rPr>
          <w:bCs/>
          <w:b/>
          <w:bCs/>
          <w:b/>
        </w:rPr>
        <w:t xml:space="preserve">Russ ME</w:t>
      </w:r>
      <w:r>
        <w:t xml:space="preserve">.</w:t>
      </w:r>
      <w:r>
        <w:t xml:space="preserve"> </w:t>
      </w:r>
      <w:r>
        <w:rPr>
          <w:bCs/>
          <w:b/>
        </w:rPr>
        <w:t xml:space="preserve">2004</w:t>
      </w:r>
      <w:r>
        <w:t xml:space="preserve">. The canopy surface and stand development: Assessing forest canopy structure and complexity with near-surface altimetry.</w:t>
      </w:r>
      <w:r>
        <w:t xml:space="preserve"> </w:t>
      </w:r>
      <w:r>
        <w:rPr>
          <w:iCs/>
          <w:i/>
        </w:rPr>
        <w:t xml:space="preserve">Forest Ecology and Management</w:t>
      </w:r>
      <w:r>
        <w:t xml:space="preserve"> </w:t>
      </w:r>
      <w:r>
        <w:rPr>
          <w:bCs/>
          <w:b/>
        </w:rPr>
        <w:t xml:space="preserve">189</w:t>
      </w:r>
      <w:r>
        <w:t xml:space="preserve">: 307–315.</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7"/>
    <w:bookmarkStart w:id="38"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 The 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38"/>
    <w:bookmarkStart w:id="39"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39"/>
    <w:bookmarkStart w:id="40"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0"/>
    <w:bookmarkStart w:id="4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2021-10-01T17:16:20Z</dcterms:created>
  <dcterms:modified xsi:type="dcterms:W3CDTF">2021-10-01T17:16:20Z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