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r>
        <w:br w:type="page"/>
      </w:r>
    </w:p>
    <w:bookmarkStart w:id="23" w:name="X15519aea17eeceebad46ab9a4e1fb5be972e659"/>
    <w:p>
      <w:pPr>
        <w:pStyle w:val="Heading2"/>
      </w:pPr>
      <w:r>
        <w:t xml:space="preserve">Methods S1. Methods for analyzing vertical gradients in the biophysical environment</w:t>
      </w:r>
    </w:p>
    <w:p>
      <w:pPr>
        <w:pStyle w:val="FirstParagraph"/>
      </w:pPr>
      <w:r>
        <w:t xml:space="preserve">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bookmarkEnd w:id="23"/>
    <w:bookmarkStart w:id="24" w:name="study-sites"/>
    <w:p>
      <w:pPr>
        <w:pStyle w:val="Heading1"/>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
        </w:rPr>
        <w:t xml:space="preserve">et al.</w:t>
      </w:r>
      <w:r>
        <w:t xml:space="preserve">, 2007)</w:t>
      </w:r>
      <w:r>
        <w:t xml:space="preserve">. The sites are well distributed across the United States and represent key forest types and structures (Table S1).</w:t>
      </w:r>
    </w:p>
    <w:bookmarkEnd w:id="24"/>
    <w:bookmarkStart w:id="25" w:name="X81df1b21c4295066b06617140825955e5a4648b"/>
    <w:p>
      <w:pPr>
        <w:pStyle w:val="Heading1"/>
      </w:pPr>
      <w:r>
        <w:t xml:space="preserve">Estimating forest and light environments from lidar</w:t>
      </w:r>
    </w:p>
    <w:p>
      <w:pPr>
        <w:pStyle w:val="FirstParagraph"/>
      </w:pPr>
      <w:r>
        <w:rPr>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
        </w:rPr>
        <w:t xml:space="preserve">Lidar data processing</w:t>
      </w:r>
    </w:p>
    <w:p>
      <w:pPr>
        <w:pStyle w:val="BodyText"/>
      </w:pPr>
      <w:r>
        <w:t xml:space="preserve">Lidar data were processed according to methods detailed in</w:t>
      </w:r>
      <w:r>
        <w:t xml:space="preserve"> </w:t>
      </w:r>
      <w:r>
        <w:t xml:space="preserve">Stark</w:t>
      </w:r>
      <w:r>
        <w:t xml:space="preserve"> </w:t>
      </w:r>
      <w:r>
        <w:rPr>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canopy, which are more uncertain due to limited pulse penetration within this region furthest away from the sensor</w:t>
      </w:r>
      <w:r>
        <w:t xml:space="preserve"> </w:t>
      </w:r>
      <w:r>
        <w:t xml:space="preserve">(Stark</w:t>
      </w:r>
      <w:r>
        <w:t xml:space="preserve"> </w:t>
      </w:r>
      <w:r>
        <w:rPr>
          <w:i/>
        </w:rPr>
        <w:t xml:space="preserve">et al.</w:t>
      </w:r>
      <w:r>
        <w:t xml:space="preserve">, 2012)</w:t>
      </w:r>
      <w:r>
        <w:t xml:space="preserve">; for calibration purposes, we assumed the bottom 5 m to have a leaf area index (LAI) of 0.25</w:t>
      </w:r>
      <w:r>
        <w:t xml:space="preserve"> </w:t>
      </w:r>
      <m:oMath>
        <m:sSup>
          <m:e>
            <m:r>
              <m:t>m</m:t>
            </m:r>
          </m:e>
          <m:sup>
            <m:r>
              <m:t>2</m:t>
            </m:r>
          </m:sup>
        </m:sSup>
      </m:oMath>
      <w:r>
        <w:t xml:space="preserve"> </w:t>
      </w:r>
      <m:oMath>
        <m:sSup>
          <m:e>
            <m:r>
              <m:t>m</m:t>
            </m:r>
          </m:e>
          <m:sup>
            <m:r>
              <m:t>−</m:t>
            </m:r>
            <m:r>
              <m:t>2</m:t>
            </m:r>
          </m:sup>
        </m:sSup>
      </m:oMath>
      <w:r>
        <w:t xml:space="preserve"> </w:t>
      </w:r>
      <w:r>
        <w:t xml:space="preserve">(Shao</w:t>
      </w:r>
      <w:r>
        <w:t xml:space="preserve"> </w:t>
      </w:r>
      <w:r>
        <w:rPr>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t>−</m:t>
            </m:r>
            <m:r>
              <m:t>2</m:t>
            </m:r>
          </m:sup>
        </m:sSup>
      </m:oMath>
      <w:r>
        <w:t xml:space="preserve">) derived from litterfall</w:t>
      </w:r>
      <w:r>
        <w:t xml:space="preserve"> </w:t>
      </w:r>
      <w:r>
        <w:t xml:space="preserve">(Parker &amp; Russ, 2004)</w:t>
      </w:r>
      <w:r>
        <w:t xml:space="preserve">, which were then in good agreement with our lidar-derived estimate (5.75</w:t>
      </w:r>
      <w:r>
        <w:t xml:space="preserve"> </w:t>
      </w:r>
      <m:oMath>
        <m:sSup>
          <m:e>
            <m:r>
              <m:t>m</m:t>
            </m:r>
          </m:e>
          <m:sup>
            <m:r>
              <m:t>2</m:t>
            </m:r>
          </m:sup>
        </m:sSup>
      </m:oMath>
      <w:r>
        <w:t xml:space="preserve"> </w:t>
      </w:r>
      <m:oMath>
        <m:sSup>
          <m:e>
            <m:r>
              <m:t>m</m:t>
            </m:r>
          </m:e>
          <m:sup>
            <m:r>
              <m:t>−</m:t>
            </m:r>
          </m:sup>
        </m:sSup>
        <m:r>
          <m:t>2</m:t>
        </m:r>
      </m:oMath>
      <w:r>
        <w:t xml:space="preserve">).</w:t>
      </w:r>
      <w:r>
        <w:t xml:space="preserve"> </w:t>
      </w:r>
      <w:r>
        <w:t xml:space="preserve">Generating leaf area and light transmission profiles</w:t>
      </w:r>
      <w:r>
        <w:t xml:space="preserve"> </w:t>
      </w:r>
      <w:r>
        <w:t xml:space="preserve">Mean LAD profiles for each site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
        </w:rPr>
        <w:t xml:space="preserve">et al.</w:t>
      </w:r>
      <w:r>
        <w:t xml:space="preserve">, 2012)</w:t>
      </w:r>
      <w:r>
        <w:t xml:space="preserve">. To estimate the proportion of sun leaves along the vertical profile, we isolated voxels in the upper canopy surface layer (1-2 m from the local canopy surface, likely to containing the majority of sun leaves), calculated the mean LAD profile for this surface layer, and divided it by the total mean LAD profile.</w:t>
      </w:r>
    </w:p>
    <w:bookmarkEnd w:id="25"/>
    <w:bookmarkStart w:id="27" w:name="X05654a27843d99a07771f039329c1281a2ce57a"/>
    <w:p>
      <w:pPr>
        <w:pStyle w:val="Heading1"/>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 To focus on the middle of the growing season, the data was constrained to be for the month of July each year. Per site, we calculated the mean maximum and minimum values of each variable by day and by sensor height. In Figure S1 we expanded on Figure XX by including 22 sites representing five forest structure types.</w:t>
      </w:r>
    </w:p>
    <w:p>
      <w:pPr>
        <w:pStyle w:val="BodyText"/>
      </w:pPr>
      <w:r>
        <w:t xml:space="preserve">All data processing, analyses, and graphing were conducted using R (R core team 2020).</w:t>
      </w:r>
    </w:p>
    <w:p>
      <w:pPr>
        <w:pStyle w:val="BodyText"/>
      </w:pPr>
      <w:r>
        <w:rPr>
          <w:i/>
        </w:rPr>
        <w:t xml:space="preserve">Note on interpreting</w:t>
      </w:r>
      <w:r>
        <w:rPr>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
        </w:rPr>
        <w:t xml:space="preserve">et al.</w:t>
      </w:r>
      <w:r>
        <w:t xml:space="preserve">, 2018; Still</w:t>
      </w:r>
      <w:r>
        <w:t xml:space="preserve"> </w:t>
      </w:r>
      <w:r>
        <w:rPr>
          <w:i/>
        </w:rPr>
        <w:t xml:space="preserve">et al.</w:t>
      </w:r>
      <w:r>
        <w:t xml:space="preserve">, 2021; Johnston</w:t>
      </w:r>
      <w:r>
        <w:t xml:space="preserve"> </w:t>
      </w:r>
      <w:r>
        <w:rPr>
          <w:i/>
        </w:rPr>
        <w:t xml:space="preserve">et al.</w:t>
      </w:r>
      <w:r>
        <w:t xml:space="preserve">, 2020)</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Start w:id="26" w:name="X8480690de9e0221fbe8e79fd4cbf31f4ab9cbee"/>
    <w:p>
      <w:pPr>
        <w:pStyle w:val="Heading2"/>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
        </w:rPr>
        <w:t xml:space="preserve">tealeaves</w:t>
      </w:r>
      <w:r>
        <w:t xml:space="preserve"> </w:t>
      </w:r>
      <w:r>
        <w:t xml:space="preserve">(Muir, 2019)</w:t>
      </w:r>
      <w:r>
        <w:t xml:space="preserve">, parameterized for</w:t>
      </w:r>
      <w:r>
        <w:t xml:space="preserve"> </w:t>
      </w:r>
      <w:r>
        <w:rPr>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
        </w:rPr>
        <w:t xml:space="preserve">et al.</w:t>
      </w:r>
      <w:r>
        <w:t xml:space="preserve"> </w:t>
      </w:r>
      <w:r>
        <w:t xml:space="preserve">(2004)</w:t>
      </w:r>
      <w:r>
        <w:t xml:space="preserve">.</w:t>
      </w:r>
    </w:p>
    <w:p>
      <w:pPr>
        <w:pStyle w:val="BodyText"/>
      </w:pPr>
      <w:r>
        <w:t xml:space="preserve">For the humid scenario, we used mean maximum RH from the NEON tower at Harvard Forest.</w:t>
      </w:r>
      <w:r>
        <w:t xml:space="preserve"> </w:t>
      </w:r>
      <w:r>
        <w:t xml:space="preserve">Stomatal conductance measurements were referred from</w:t>
      </w:r>
      <w:r>
        <w:t xml:space="preserve"> </w:t>
      </w:r>
      <w:r>
        <w:rPr>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t>/</m:t>
        </m:r>
        <m:sSup>
          <m:e>
            <m:r>
              <m:t>m</m:t>
            </m:r>
          </m:e>
          <m:sup>
            <m:r>
              <m:t>2</m:t>
            </m:r>
          </m:sup>
        </m:sSup>
        <m:r>
          <m:t>/</m:t>
        </m:r>
        <m:r>
          <m:t>s</m:t>
        </m:r>
        <m: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6"/>
    <w:bookmarkEnd w:id="27"/>
    <w:bookmarkStart w:id="31" w:name="Xf6d007265e943c034627ec2b504f4b1e0a17b23"/>
    <w:p>
      <w:pPr>
        <w:pStyle w:val="Heading1"/>
      </w:pPr>
      <w:r>
        <w:t xml:space="preserve">Methods S3. Methods for literature review</w:t>
      </w:r>
    </w:p>
    <w:bookmarkStart w:id="28"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 added to the table, irrelevant to the table, but relevant to the reviewed (with a note on the reason), irrelevant to the table and the review (with a note on the reason for exclusion). Articles that were not yet carefully read were tagged yet to read, which will be tagged as one of the above after reading. Articles shared by co-authors and references mentioned in other studies collectively were ~&gt;32 studies. So far 70 relevant articles are added into the tables</w:t>
      </w:r>
    </w:p>
    <w:bookmarkEnd w:id="28"/>
    <w:bookmarkStart w:id="30" w:name="criteria-for-inclusion"/>
    <w:p>
      <w:pPr>
        <w:pStyle w:val="Heading2"/>
      </w:pPr>
      <w:r>
        <w:t xml:space="preserve">Criteria for inclusion</w:t>
      </w:r>
    </w:p>
    <w:p>
      <w:pPr>
        <w:pStyle w:val="FirstParagraph"/>
      </w:pPr>
      <w:r>
        <w:rPr>
          <w:b/>
        </w:rPr>
        <w:t xml:space="preserve">this is outlined</w:t>
      </w:r>
      <w:r>
        <w:rPr>
          <w:b/>
        </w:rPr>
        <w:t xml:space="preserve"> </w:t>
      </w:r>
      <w:hyperlink r:id="rId29">
        <w:r>
          <w:rPr>
            <w:rStyle w:val="Hyperlink"/>
            <w:b/>
          </w:rPr>
          <w:t xml:space="preserve">here</w:t>
        </w:r>
      </w:hyperlink>
      <w:r>
        <w:rPr>
          <w:b/>
        </w:rPr>
        <w:t xml:space="preserve">. Section needs to be written.</w:t>
      </w:r>
    </w:p>
    <w:p>
      <w:pPr>
        <w:pStyle w:val="BodyText"/>
      </w:pPr>
      <w:r>
        <w:t xml:space="preserve">The studies included in the review were based on a global geographic scope. Ecosystem types included any studies with trees for mostly forests, but savannas were also considered. Information for leaf traits and metabolism included studies with independent variables: sun/shade vs height (where height is generally also sun/shade), and dependent variables of interest were based on variables known to influence leaf temperature ie. anatomical, biochemical, structural foliar traits, including gas exchange, metabolism and thermal sensitivity variables.</w:t>
      </w:r>
    </w:p>
    <w:p>
      <w:r>
        <w:br w:type="page"/>
      </w:r>
    </w:p>
    <w:bookmarkEnd w:id="30"/>
    <w:bookmarkEnd w:id="31"/>
    <w:bookmarkStart w:id="33"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Puâ€˜u Makaâ€˜ala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32">
        <w:r>
          <w:rPr>
            <w:rStyle w:val="Hyperlink"/>
          </w:rPr>
          <w:t xml:space="preserve">site descriptions on NEON website</w:t>
        </w:r>
      </w:hyperlink>
      <w:r>
        <w:t xml:space="preserve">).</w:t>
      </w:r>
    </w:p>
    <w:p>
      <w:r>
        <w:br w:type="page"/>
      </w:r>
    </w:p>
    <w:bookmarkEnd w:id="33"/>
    <w:bookmarkStart w:id="48"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47" w:name="references"/>
    <w:p>
      <w:pPr>
        <w:pStyle w:val="Heading2"/>
      </w:pPr>
      <w:r>
        <w:t xml:space="preserve">References</w:t>
      </w:r>
    </w:p>
    <w:bookmarkStart w:id="46" w:name="refs"/>
    <w:bookmarkStart w:id="35" w:name="X17b069eff5ad7ec48b341c0cc9ca77d7094bb3d"/>
    <w:p>
      <w:pPr>
        <w:pStyle w:val="Bibliography"/>
      </w:pPr>
      <w:r>
        <w:rPr>
          <w:b w:val="0"/>
          <w:b/>
        </w:rPr>
        <w:t xml:space="preserve">Cavender-Bares J</w:t>
      </w:r>
      <w:r>
        <w:rPr>
          <w:b/>
        </w:rPr>
        <w:t xml:space="preserve">,</w:t>
      </w:r>
      <w:r>
        <w:rPr>
          <w:b/>
        </w:rPr>
        <w:t xml:space="preserve"> </w:t>
      </w:r>
      <w:r>
        <w:rPr>
          <w:b w:val="0"/>
          <w:b/>
        </w:rPr>
        <w:t xml:space="preserve">Bazzaz FA</w:t>
      </w:r>
      <w:r>
        <w:t xml:space="preserve">.</w:t>
      </w:r>
      <w:r>
        <w:t xml:space="preserve"> </w:t>
      </w:r>
      <w:r>
        <w:rPr>
          <w:b/>
        </w:rPr>
        <w:t xml:space="preserve">2000</w:t>
      </w:r>
      <w:r>
        <w:t xml:space="preserve">. Changes in drought response strategies with ontogeny in Quercus rubra: Implications for scaling from seedlings to mature trees.</w:t>
      </w:r>
      <w:r>
        <w:t xml:space="preserve"> </w:t>
      </w:r>
      <w:r>
        <w:rPr>
          <w:i/>
        </w:rPr>
        <w:t xml:space="preserve">Oecologia</w:t>
      </w:r>
      <w:r>
        <w:t xml:space="preserve"> </w:t>
      </w:r>
      <w:r>
        <w:rPr>
          <w:b/>
        </w:rPr>
        <w:t xml:space="preserve">124</w:t>
      </w:r>
      <w:r>
        <w:t xml:space="preserve">: 8–18.</w:t>
      </w:r>
    </w:p>
    <w:bookmarkEnd w:id="35"/>
    <w:bookmarkStart w:id="36" w:name="ref-johnstonWhatLiesVertical2020"/>
    <w:p>
      <w:pPr>
        <w:pStyle w:val="Bibliography"/>
      </w:pPr>
      <w:r>
        <w:rPr>
          <w:b w:val="0"/>
          <w:b/>
        </w:rPr>
        <w:t xml:space="preserve">Johnston M</w:t>
      </w:r>
      <w:r>
        <w:rPr>
          <w:b/>
        </w:rPr>
        <w:t xml:space="preserve">,</w:t>
      </w:r>
      <w:r>
        <w:rPr>
          <w:b/>
        </w:rPr>
        <w:t xml:space="preserve"> </w:t>
      </w:r>
      <w:r>
        <w:rPr>
          <w:b w:val="0"/>
          <w:b/>
        </w:rPr>
        <w:t xml:space="preserve">Andreu A</w:t>
      </w:r>
      <w:r>
        <w:rPr>
          <w:b/>
        </w:rPr>
        <w:t xml:space="preserve">,</w:t>
      </w:r>
      <w:r>
        <w:rPr>
          <w:b/>
        </w:rPr>
        <w:t xml:space="preserve"> </w:t>
      </w:r>
      <w:r>
        <w:rPr>
          <w:b w:val="0"/>
          <w:b/>
        </w:rPr>
        <w:t xml:space="preserve">Verfaillie J</w:t>
      </w:r>
      <w:r>
        <w:rPr>
          <w:b/>
        </w:rPr>
        <w:t xml:space="preserve">,</w:t>
      </w:r>
      <w:r>
        <w:rPr>
          <w:b/>
        </w:rPr>
        <w:t xml:space="preserve"> </w:t>
      </w:r>
      <w:r>
        <w:rPr>
          <w:b w:val="0"/>
          <w:b/>
        </w:rPr>
        <w:t xml:space="preserve">Baldocchi DD</w:t>
      </w:r>
      <w:r>
        <w:rPr>
          <w:b/>
        </w:rPr>
        <w:t xml:space="preserve">,</w:t>
      </w:r>
      <w:r>
        <w:rPr>
          <w:b/>
        </w:rPr>
        <w:t xml:space="preserve"> </w:t>
      </w:r>
      <w:r>
        <w:rPr>
          <w:b w:val="0"/>
          <w:b/>
        </w:rPr>
        <w:t xml:space="preserve">Moorcroft PR</w:t>
      </w:r>
      <w:r>
        <w:t xml:space="preserve">.</w:t>
      </w:r>
      <w:r>
        <w:t xml:space="preserve"> </w:t>
      </w:r>
      <w:r>
        <w:rPr>
          <w:b/>
        </w:rPr>
        <w:t xml:space="preserve">2020</w:t>
      </w:r>
      <w:r>
        <w:t xml:space="preserve">. What Lies Beneath: Vertical Heterogeneity in Vegetation Canopy Temperatures.</w:t>
      </w:r>
      <w:r>
        <w:t xml:space="preserve"> </w:t>
      </w:r>
      <w:r>
        <w:rPr>
          <w:b/>
        </w:rPr>
        <w:t xml:space="preserve">2020</w:t>
      </w:r>
      <w:r>
        <w:t xml:space="preserve">: B088–03.</w:t>
      </w:r>
    </w:p>
    <w:bookmarkEnd w:id="36"/>
    <w:bookmarkStart w:id="37" w:name="ref-macarthurFoliageProfileVertical1969"/>
    <w:p>
      <w:pPr>
        <w:pStyle w:val="Bibliography"/>
      </w:pPr>
      <w:r>
        <w:rPr>
          <w:b w:val="0"/>
          <w:b/>
        </w:rPr>
        <w:t xml:space="preserve">MacArthur RH</w:t>
      </w:r>
      <w:r>
        <w:rPr>
          <w:b/>
        </w:rPr>
        <w:t xml:space="preserve">,</w:t>
      </w:r>
      <w:r>
        <w:rPr>
          <w:b/>
        </w:rPr>
        <w:t xml:space="preserve"> </w:t>
      </w:r>
      <w:r>
        <w:rPr>
          <w:b w:val="0"/>
          <w:b/>
        </w:rPr>
        <w:t xml:space="preserve">Horn HS</w:t>
      </w:r>
      <w:r>
        <w:t xml:space="preserve">.</w:t>
      </w:r>
      <w:r>
        <w:t xml:space="preserve"> </w:t>
      </w:r>
      <w:r>
        <w:rPr>
          <w:b/>
        </w:rPr>
        <w:t xml:space="preserve">1969</w:t>
      </w:r>
      <w:r>
        <w:t xml:space="preserve">. Foliage Profile by Vertical Measurements.</w:t>
      </w:r>
      <w:r>
        <w:t xml:space="preserve"> </w:t>
      </w:r>
      <w:r>
        <w:rPr>
          <w:i/>
        </w:rPr>
        <w:t xml:space="preserve">Ecology</w:t>
      </w:r>
      <w:r>
        <w:t xml:space="preserve"> </w:t>
      </w:r>
      <w:r>
        <w:rPr>
          <w:b/>
        </w:rPr>
        <w:t xml:space="preserve">50</w:t>
      </w:r>
      <w:r>
        <w:t xml:space="preserve">: 802–804.</w:t>
      </w:r>
    </w:p>
    <w:bookmarkEnd w:id="37"/>
    <w:bookmarkStart w:id="38" w:name="ref-muir_tealeaves_2019"/>
    <w:p>
      <w:pPr>
        <w:pStyle w:val="Bibliography"/>
      </w:pPr>
      <w:r>
        <w:rPr>
          <w:b w:val="0"/>
          <w:b/>
        </w:rPr>
        <w:t xml:space="preserve">Muir CD</w:t>
      </w:r>
      <w:r>
        <w:t xml:space="preserve">.</w:t>
      </w:r>
      <w:r>
        <w:t xml:space="preserve"> </w:t>
      </w:r>
      <w:r>
        <w:rPr>
          <w:b/>
        </w:rPr>
        <w:t xml:space="preserve">2019</w:t>
      </w:r>
      <w:r>
        <w:t xml:space="preserve">. Tealeaves: An R package for modelling leaf temperature using energy budgets.</w:t>
      </w:r>
      <w:r>
        <w:t xml:space="preserve"> </w:t>
      </w:r>
      <w:r>
        <w:rPr>
          <w:i/>
        </w:rPr>
        <w:t xml:space="preserve">AoB PLANTS</w:t>
      </w:r>
      <w:r>
        <w:t xml:space="preserve"> </w:t>
      </w:r>
      <w:r>
        <w:rPr>
          <w:b/>
        </w:rPr>
        <w:t xml:space="preserve">11</w:t>
      </w:r>
      <w:r>
        <w:t xml:space="preserve">.</w:t>
      </w:r>
    </w:p>
    <w:bookmarkEnd w:id="38"/>
    <w:bookmarkStart w:id="39" w:name="ref-parkerCanopySurfaceStand2004"/>
    <w:p>
      <w:pPr>
        <w:pStyle w:val="Bibliography"/>
      </w:pPr>
      <w:r>
        <w:rPr>
          <w:b w:val="0"/>
          <w:b/>
        </w:rPr>
        <w:t xml:space="preserve">Parker GG</w:t>
      </w:r>
      <w:r>
        <w:rPr>
          <w:b/>
        </w:rPr>
        <w:t xml:space="preserve">,</w:t>
      </w:r>
      <w:r>
        <w:rPr>
          <w:b/>
        </w:rPr>
        <w:t xml:space="preserve"> </w:t>
      </w:r>
      <w:r>
        <w:rPr>
          <w:b w:val="0"/>
          <w:b/>
        </w:rPr>
        <w:t xml:space="preserve">Russ ME</w:t>
      </w:r>
      <w:r>
        <w:t xml:space="preserve">.</w:t>
      </w:r>
      <w:r>
        <w:t xml:space="preserve"> </w:t>
      </w:r>
      <w:r>
        <w:rPr>
          <w:b/>
        </w:rPr>
        <w:t xml:space="preserve">2004</w:t>
      </w:r>
      <w:r>
        <w:t xml:space="preserve">. The canopy surface and stand development: Assessing forest canopy structure and complexity with near-surface altimetry.</w:t>
      </w:r>
      <w:r>
        <w:t xml:space="preserve"> </w:t>
      </w:r>
      <w:r>
        <w:rPr>
          <w:i/>
        </w:rPr>
        <w:t xml:space="preserve">Forest Ecology and Management</w:t>
      </w:r>
      <w:r>
        <w:t xml:space="preserve"> </w:t>
      </w:r>
      <w:r>
        <w:rPr>
          <w:b/>
        </w:rPr>
        <w:t xml:space="preserve">189</w:t>
      </w:r>
      <w:r>
        <w:t xml:space="preserve">: 307–315.</w:t>
      </w:r>
    </w:p>
    <w:bookmarkEnd w:id="39"/>
    <w:bookmarkStart w:id="40" w:name="ref-pauTropicalForestTemperature2018"/>
    <w:p>
      <w:pPr>
        <w:pStyle w:val="Bibliography"/>
      </w:pP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Kim Y</w:t>
      </w:r>
      <w:r>
        <w:rPr>
          <w:b/>
        </w:rPr>
        <w:t xml:space="preserve">,</w:t>
      </w:r>
      <w:r>
        <w:rPr>
          <w:b/>
        </w:rPr>
        <w:t xml:space="preserve"> </w:t>
      </w:r>
      <w:r>
        <w:rPr>
          <w:b w:val="0"/>
          <w:b/>
        </w:rPr>
        <w:t xml:space="preserve">Still CJ</w:t>
      </w:r>
      <w:r>
        <w:t xml:space="preserve">.</w:t>
      </w:r>
      <w:r>
        <w:t xml:space="preserve"> </w:t>
      </w:r>
      <w:r>
        <w:rPr>
          <w:b/>
        </w:rPr>
        <w:t xml:space="preserve">2018</w:t>
      </w:r>
      <w:r>
        <w:t xml:space="preserve">. Tropical forest temperature thresholds for gross primary productivity.</w:t>
      </w:r>
      <w:r>
        <w:t xml:space="preserve"> </w:t>
      </w:r>
      <w:r>
        <w:rPr>
          <w:i/>
        </w:rPr>
        <w:t xml:space="preserve">Ecosphere</w:t>
      </w:r>
      <w:r>
        <w:t xml:space="preserve"> </w:t>
      </w:r>
      <w:r>
        <w:rPr>
          <w:b/>
        </w:rPr>
        <w:t xml:space="preserve">9</w:t>
      </w:r>
      <w:r>
        <w:t xml:space="preserve">: e02311.</w:t>
      </w:r>
    </w:p>
    <w:bookmarkEnd w:id="40"/>
    <w:bookmarkStart w:id="41" w:name="X37866945a1514e5304353b865dab4d70276132f"/>
    <w:p>
      <w:pPr>
        <w:pStyle w:val="Bibliography"/>
      </w:pPr>
      <w:r>
        <w:rPr>
          <w:b w:val="0"/>
          <w:b/>
        </w:rPr>
        <w:t xml:space="preserve">Schimel D</w:t>
      </w:r>
      <w:r>
        <w:rPr>
          <w:b/>
        </w:rPr>
        <w:t xml:space="preserve">,</w:t>
      </w:r>
      <w:r>
        <w:rPr>
          <w:b/>
        </w:rPr>
        <w:t xml:space="preserve"> </w:t>
      </w:r>
      <w:r>
        <w:rPr>
          <w:b w:val="0"/>
          <w:b/>
        </w:rPr>
        <w:t xml:space="preserve">Hargrove W</w:t>
      </w:r>
      <w:r>
        <w:rPr>
          <w:b/>
        </w:rPr>
        <w:t xml:space="preserve">,</w:t>
      </w:r>
      <w:r>
        <w:rPr>
          <w:b/>
        </w:rPr>
        <w:t xml:space="preserve"> </w:t>
      </w:r>
      <w:r>
        <w:rPr>
          <w:b w:val="0"/>
          <w:b/>
        </w:rPr>
        <w:t xml:space="preserve">Hoffman F</w:t>
      </w:r>
      <w:r>
        <w:rPr>
          <w:b/>
        </w:rPr>
        <w:t xml:space="preserve">,</w:t>
      </w:r>
      <w:r>
        <w:rPr>
          <w:b/>
        </w:rPr>
        <w:t xml:space="preserve"> </w:t>
      </w:r>
      <w:r>
        <w:rPr>
          <w:b w:val="0"/>
          <w:b/>
        </w:rPr>
        <w:t xml:space="preserve">MacMahon J</w:t>
      </w:r>
      <w:r>
        <w:t xml:space="preserve">.</w:t>
      </w:r>
      <w:r>
        <w:t xml:space="preserve"> </w:t>
      </w:r>
      <w:r>
        <w:rPr>
          <w:b/>
        </w:rPr>
        <w:t xml:space="preserve">2007</w:t>
      </w:r>
      <w:r>
        <w:t xml:space="preserve">. NEON: A hierarchically designed national ecological network.</w:t>
      </w:r>
      <w:r>
        <w:t xml:space="preserve"> </w:t>
      </w:r>
      <w:r>
        <w:rPr>
          <w:i/>
        </w:rPr>
        <w:t xml:space="preserve">Frontiers in Ecology and the Environment</w:t>
      </w:r>
      <w:r>
        <w:t xml:space="preserve"> </w:t>
      </w:r>
      <w:r>
        <w:rPr>
          <w:b/>
        </w:rPr>
        <w:t xml:space="preserve">5</w:t>
      </w:r>
      <w:r>
        <w:t xml:space="preserve">: 59–59.</w:t>
      </w:r>
    </w:p>
    <w:bookmarkEnd w:id="41"/>
    <w:bookmarkStart w:id="42" w:name="ref-shaoHighThroughputAssessment2019"/>
    <w:p>
      <w:pPr>
        <w:pStyle w:val="Bibliography"/>
      </w:pPr>
      <w:r>
        <w:rPr>
          <w:b w:val="0"/>
          <w:b/>
        </w:rPr>
        <w:t xml:space="preserve">Shao G</w:t>
      </w:r>
      <w:r>
        <w:rPr>
          <w:b/>
        </w:rPr>
        <w:t xml:space="preserve">,</w:t>
      </w:r>
      <w:r>
        <w:rPr>
          <w:b/>
        </w:rPr>
        <w:t xml:space="preserve"> </w:t>
      </w:r>
      <w:r>
        <w:rPr>
          <w:b w:val="0"/>
          <w:b/>
        </w:rPr>
        <w:t xml:space="preserve">Stark SC</w:t>
      </w:r>
      <w:r>
        <w:rPr>
          <w:b/>
        </w:rPr>
        <w:t xml:space="preserve">,</w:t>
      </w:r>
      <w:r>
        <w:rPr>
          <w:b/>
        </w:rPr>
        <w:t xml:space="preserve"> </w:t>
      </w:r>
      <w:r>
        <w:rPr>
          <w:b w:val="0"/>
          <w:b/>
        </w:rPr>
        <w:t xml:space="preserve">de Almeida DRA</w:t>
      </w:r>
      <w:r>
        <w:rPr>
          <w:b/>
        </w:rPr>
        <w:t xml:space="preserve">,</w:t>
      </w:r>
      <w:r>
        <w:rPr>
          <w:b/>
        </w:rPr>
        <w:t xml:space="preserve"> </w:t>
      </w:r>
      <w:r>
        <w:rPr>
          <w:b w:val="0"/>
          <w:b/>
        </w:rPr>
        <w:t xml:space="preserve">Smith MN</w:t>
      </w:r>
      <w:r>
        <w:t xml:space="preserve">.</w:t>
      </w:r>
      <w:r>
        <w:t xml:space="preserve"> </w:t>
      </w:r>
      <w:r>
        <w:rPr>
          <w:b/>
        </w:rPr>
        <w:t xml:space="preserve">2019</w:t>
      </w:r>
      <w:r>
        <w:t xml:space="preserve">. Towards high throughput assessment of canopy dynamics: The estimation of leaf area structure in Amazonian forests with multitemporal multi-sensor airborne lidar.</w:t>
      </w:r>
      <w:r>
        <w:t xml:space="preserve"> </w:t>
      </w:r>
      <w:r>
        <w:rPr>
          <w:i/>
        </w:rPr>
        <w:t xml:space="preserve">Remote Sensing of Environment</w:t>
      </w:r>
      <w:r>
        <w:t xml:space="preserve"> </w:t>
      </w:r>
      <w:r>
        <w:rPr>
          <w:b/>
        </w:rPr>
        <w:t xml:space="preserve">221</w:t>
      </w:r>
      <w:r>
        <w:t xml:space="preserve">: 1–13.</w:t>
      </w:r>
    </w:p>
    <w:bookmarkEnd w:id="42"/>
    <w:bookmarkStart w:id="43" w:name="ref-starkAmazonForestCarbon2012"/>
    <w:p>
      <w:pPr>
        <w:pStyle w:val="Bibliography"/>
      </w:pPr>
      <w:r>
        <w:rPr>
          <w:b w:val="0"/>
          <w:b/>
        </w:rPr>
        <w:t xml:space="preserve">Stark SC</w:t>
      </w:r>
      <w:r>
        <w:rPr>
          <w:b/>
        </w:rPr>
        <w:t xml:space="preserve">,</w:t>
      </w:r>
      <w:r>
        <w:rPr>
          <w:b/>
        </w:rPr>
        <w:t xml:space="preserve"> </w:t>
      </w:r>
      <w:r>
        <w:rPr>
          <w:b w:val="0"/>
          <w:b/>
        </w:rPr>
        <w:t xml:space="preserve">Leitold V</w:t>
      </w:r>
      <w:r>
        <w:rPr>
          <w:b/>
        </w:rPr>
        <w:t xml:space="preserve">,</w:t>
      </w:r>
      <w:r>
        <w:rPr>
          <w:b/>
        </w:rPr>
        <w:t xml:space="preserve"> </w:t>
      </w:r>
      <w:r>
        <w:rPr>
          <w:b w:val="0"/>
          <w:b/>
        </w:rPr>
        <w:t xml:space="preserve">Wu JL</w:t>
      </w:r>
      <w:r>
        <w:rPr>
          <w:b/>
        </w:rPr>
        <w:t xml:space="preserve">,</w:t>
      </w:r>
      <w:r>
        <w:rPr>
          <w:b/>
        </w:rPr>
        <w:t xml:space="preserve"> </w:t>
      </w:r>
      <w:r>
        <w:rPr>
          <w:b w:val="0"/>
          <w:b/>
        </w:rPr>
        <w:t xml:space="preserve">Hunter MO</w:t>
      </w:r>
      <w:r>
        <w:rPr>
          <w:b/>
        </w:rPr>
        <w:t xml:space="preserve">,</w:t>
      </w:r>
      <w:r>
        <w:rPr>
          <w:b/>
        </w:rPr>
        <w:t xml:space="preserve"> </w:t>
      </w:r>
      <w:r>
        <w:rPr>
          <w:b w:val="0"/>
          <w:b/>
        </w:rPr>
        <w:t xml:space="preserve">de Castilho CV</w:t>
      </w:r>
      <w:r>
        <w:rPr>
          <w:b/>
        </w:rPr>
        <w:t xml:space="preserve">,</w:t>
      </w:r>
      <w:r>
        <w:rPr>
          <w:b/>
        </w:rPr>
        <w:t xml:space="preserve"> </w:t>
      </w:r>
      <w:r>
        <w:rPr>
          <w:b w:val="0"/>
          <w:b/>
        </w:rPr>
        <w:t xml:space="preserve">Costa FRC</w:t>
      </w:r>
      <w:r>
        <w:rPr>
          <w:b/>
        </w:rPr>
        <w:t xml:space="preserve">,</w:t>
      </w:r>
      <w:r>
        <w:rPr>
          <w:b/>
        </w:rPr>
        <w:t xml:space="preserve"> </w:t>
      </w:r>
      <w:r>
        <w:rPr>
          <w:b w:val="0"/>
          <w:b/>
        </w:rPr>
        <w:t xml:space="preserve">McMahon SM</w:t>
      </w:r>
      <w:r>
        <w:rPr>
          <w:b/>
        </w:rPr>
        <w:t xml:space="preserve">,</w:t>
      </w:r>
      <w:r>
        <w:rPr>
          <w:b/>
        </w:rPr>
        <w:t xml:space="preserve"> </w:t>
      </w:r>
      <w:r>
        <w:rPr>
          <w:b w:val="0"/>
          <w:b/>
        </w:rPr>
        <w:t xml:space="preserve">Parker GG</w:t>
      </w:r>
      <w:r>
        <w:rPr>
          <w:b/>
        </w:rPr>
        <w:t xml:space="preserve">,</w:t>
      </w:r>
      <w:r>
        <w:rPr>
          <w:b/>
        </w:rPr>
        <w:t xml:space="preserve"> </w:t>
      </w:r>
      <w:r>
        <w:rPr>
          <w:b w:val="0"/>
          <w:b/>
        </w:rPr>
        <w:t xml:space="preserve">Shimabukuro MT</w:t>
      </w:r>
      <w:r>
        <w:rPr>
          <w:b/>
        </w:rPr>
        <w:t xml:space="preserve">,</w:t>
      </w:r>
      <w:r>
        <w:rPr>
          <w:b/>
        </w:rPr>
        <w:t xml:space="preserve"> </w:t>
      </w:r>
      <w:r>
        <w:rPr>
          <w:b w:val="0"/>
          <w:b/>
        </w:rPr>
        <w:t xml:space="preserve">Lefsky MA</w:t>
      </w:r>
      <w:r>
        <w:rPr>
          <w:b/>
        </w:rPr>
        <w:t xml:space="preserve"> </w:t>
      </w:r>
      <w:r>
        <w:rPr>
          <w:i/>
          <w:b/>
        </w:rPr>
        <w:t xml:space="preserve">et al.</w:t>
      </w:r>
      <w:r>
        <w:t xml:space="preserve"> </w:t>
      </w:r>
      <w:r>
        <w:rPr>
          <w:b/>
        </w:rPr>
        <w:t xml:space="preserve">2012</w:t>
      </w:r>
      <w:r>
        <w:t xml:space="preserve">. Amazon forest carbon dynamics predicted by profiles of canopy leaf area and light environment.</w:t>
      </w:r>
      <w:r>
        <w:t xml:space="preserve"> </w:t>
      </w:r>
      <w:r>
        <w:rPr>
          <w:i/>
        </w:rPr>
        <w:t xml:space="preserve">Ecology Letters</w:t>
      </w:r>
      <w:r>
        <w:t xml:space="preserve"> </w:t>
      </w:r>
      <w:r>
        <w:rPr>
          <w:b/>
        </w:rPr>
        <w:t xml:space="preserve">15</w:t>
      </w:r>
      <w:r>
        <w:t xml:space="preserve">: 1406–1414.</w:t>
      </w:r>
    </w:p>
    <w:bookmarkEnd w:id="43"/>
    <w:bookmarkStart w:id="44" w:name="ref-stillImagingCanopyTemperature2021"/>
    <w:p>
      <w:pPr>
        <w:pStyle w:val="Bibliography"/>
      </w:pPr>
      <w:r>
        <w:rPr>
          <w:b w:val="0"/>
          <w:b/>
        </w:rPr>
        <w:t xml:space="preserve">Still CJ</w:t>
      </w:r>
      <w:r>
        <w:rPr>
          <w:b/>
        </w:rPr>
        <w:t xml:space="preserve">,</w:t>
      </w:r>
      <w:r>
        <w:rPr>
          <w:b/>
        </w:rPr>
        <w:t xml:space="preserve"> </w:t>
      </w:r>
      <w:r>
        <w:rPr>
          <w:b w:val="0"/>
          <w:b/>
        </w:rPr>
        <w:t xml:space="preserve">Rastogi B</w:t>
      </w:r>
      <w:r>
        <w:rPr>
          <w:b/>
        </w:rPr>
        <w:t xml:space="preserve">,</w:t>
      </w:r>
      <w:r>
        <w:rPr>
          <w:b/>
        </w:rPr>
        <w:t xml:space="preserve"> </w:t>
      </w:r>
      <w:r>
        <w:rPr>
          <w:b w:val="0"/>
          <w:b/>
        </w:rPr>
        <w:t xml:space="preserve">Page GFM</w:t>
      </w:r>
      <w:r>
        <w:rPr>
          <w:b/>
        </w:rPr>
        <w:t xml:space="preserve">,</w:t>
      </w:r>
      <w:r>
        <w:rPr>
          <w:b/>
        </w:rPr>
        <w:t xml:space="preserve"> </w:t>
      </w:r>
      <w:r>
        <w:rPr>
          <w:b w:val="0"/>
          <w:b/>
        </w:rPr>
        <w:t xml:space="preserve">Griffith DM</w:t>
      </w:r>
      <w:r>
        <w:rPr>
          <w:b/>
        </w:rPr>
        <w:t xml:space="preserve">,</w:t>
      </w:r>
      <w:r>
        <w:rPr>
          <w:b/>
        </w:rPr>
        <w:t xml:space="preserve"> </w:t>
      </w:r>
      <w:r>
        <w:rPr>
          <w:b w:val="0"/>
          <w:b/>
        </w:rPr>
        <w:t xml:space="preserve">Sibley A</w:t>
      </w:r>
      <w:r>
        <w:rPr>
          <w:b/>
        </w:rPr>
        <w:t xml:space="preserve">,</w:t>
      </w:r>
      <w:r>
        <w:rPr>
          <w:b/>
        </w:rPr>
        <w:t xml:space="preserve"> </w:t>
      </w:r>
      <w:r>
        <w:rPr>
          <w:b w:val="0"/>
          <w:b/>
        </w:rPr>
        <w:t xml:space="preserve">Schulze M</w:t>
      </w:r>
      <w:r>
        <w:rPr>
          <w:b/>
        </w:rPr>
        <w:t xml:space="preserve">,</w:t>
      </w:r>
      <w:r>
        <w:rPr>
          <w:b/>
        </w:rPr>
        <w:t xml:space="preserve"> </w:t>
      </w:r>
      <w:r>
        <w:rPr>
          <w:b w:val="0"/>
          <w:b/>
        </w:rPr>
        <w:t xml:space="preserve">Hawkins L</w:t>
      </w:r>
      <w:r>
        <w:rPr>
          <w:b/>
        </w:rPr>
        <w:t xml:space="preserve">,</w:t>
      </w:r>
      <w:r>
        <w:rPr>
          <w:b/>
        </w:rPr>
        <w:t xml:space="preserve"> </w:t>
      </w:r>
      <w:r>
        <w:rPr>
          <w:b w:val="0"/>
          <w:b/>
        </w:rPr>
        <w:t xml:space="preserve">Pau S</w:t>
      </w:r>
      <w:r>
        <w:rPr>
          <w:b/>
        </w:rPr>
        <w:t xml:space="preserve">,</w:t>
      </w:r>
      <w:r>
        <w:rPr>
          <w:b/>
        </w:rPr>
        <w:t xml:space="preserve"> </w:t>
      </w:r>
      <w:r>
        <w:rPr>
          <w:b w:val="0"/>
          <w:b/>
        </w:rPr>
        <w:t xml:space="preserve">Detto M</w:t>
      </w:r>
      <w:r>
        <w:rPr>
          <w:b/>
        </w:rPr>
        <w:t xml:space="preserve">,</w:t>
      </w:r>
      <w:r>
        <w:rPr>
          <w:b/>
        </w:rPr>
        <w:t xml:space="preserve"> </w:t>
      </w:r>
      <w:r>
        <w:rPr>
          <w:b w:val="0"/>
          <w:b/>
        </w:rPr>
        <w:t xml:space="preserve">Helliker BR</w:t>
      </w:r>
      <w:r>
        <w:t xml:space="preserve">.</w:t>
      </w:r>
      <w:r>
        <w:t xml:space="preserve"> </w:t>
      </w:r>
      <w:r>
        <w:rPr>
          <w:b/>
        </w:rPr>
        <w:t xml:space="preserve">2021</w:t>
      </w:r>
      <w:r>
        <w:t xml:space="preserve">. Imaging canopy temperature: Shedding (thermal) light on ecosystem processes.</w:t>
      </w:r>
      <w:r>
        <w:t xml:space="preserve"> </w:t>
      </w:r>
      <w:r>
        <w:rPr>
          <w:i/>
        </w:rPr>
        <w:t xml:space="preserve">New Phytologist</w:t>
      </w:r>
      <w:r>
        <w:t xml:space="preserve"> </w:t>
      </w:r>
      <w:r>
        <w:rPr>
          <w:b/>
        </w:rPr>
        <w:t xml:space="preserve">230</w:t>
      </w:r>
      <w:r>
        <w:t xml:space="preserve">: 1746–1753.</w:t>
      </w:r>
    </w:p>
    <w:bookmarkEnd w:id="44"/>
    <w:bookmarkStart w:id="45" w:name="X56d926719da9351a167ef03030705e0d92337f8"/>
    <w:p>
      <w:pPr>
        <w:pStyle w:val="Bibliography"/>
      </w:pPr>
      <w:r>
        <w:rPr>
          <w:b w:val="0"/>
          <w:b/>
        </w:rPr>
        <w:t xml:space="preserve">Zwieniecki MA</w:t>
      </w:r>
      <w:r>
        <w:rPr>
          <w:b/>
        </w:rPr>
        <w:t xml:space="preserve">,</w:t>
      </w:r>
      <w:r>
        <w:rPr>
          <w:b/>
        </w:rPr>
        <w:t xml:space="preserve"> </w:t>
      </w:r>
      <w:r>
        <w:rPr>
          <w:b w:val="0"/>
          <w:b/>
        </w:rPr>
        <w:t xml:space="preserve">Boyce CK</w:t>
      </w:r>
      <w:r>
        <w:rPr>
          <w:b/>
        </w:rPr>
        <w:t xml:space="preserve">,</w:t>
      </w:r>
      <w:r>
        <w:rPr>
          <w:b/>
        </w:rPr>
        <w:t xml:space="preserve"> </w:t>
      </w:r>
      <w:r>
        <w:rPr>
          <w:b w:val="0"/>
          <w:b/>
        </w:rPr>
        <w:t xml:space="preserve">Holbrook NM</w:t>
      </w:r>
      <w:r>
        <w:t xml:space="preserve">.</w:t>
      </w:r>
      <w:r>
        <w:t xml:space="preserve"> </w:t>
      </w:r>
      <w:r>
        <w:rPr>
          <w:b/>
        </w:rPr>
        <w:t xml:space="preserve">2004</w:t>
      </w:r>
      <w:r>
        <w:t xml:space="preserve">. Hydraulic limitations imposed by crown placement determine final size and shape of Quercus rubra L. Leaves.</w:t>
      </w:r>
      <w:r>
        <w:t xml:space="preserve"> </w:t>
      </w:r>
      <w:r>
        <w:rPr>
          <w:i/>
        </w:rPr>
        <w:t xml:space="preserve">Plant, Cell &amp; Environment</w:t>
      </w:r>
      <w:r>
        <w:t xml:space="preserve"> </w:t>
      </w:r>
      <w:r>
        <w:rPr>
          <w:b/>
        </w:rPr>
        <w:t xml:space="preserve">27</w:t>
      </w:r>
      <w:r>
        <w:t xml:space="preserve">: 357–365.</w:t>
      </w:r>
    </w:p>
    <w:bookmarkEnd w:id="45"/>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9"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 Type="http://schemas.openxmlformats.org/officeDocument/2006/relationships/hyperlink" Id="rId32"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2021-09-30T16:45:23Z</dcterms:created>
  <dcterms:modified xsi:type="dcterms:W3CDTF">2021-09-30T16:45:23Z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