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bookmarkStart w:id="20"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
        </w:rPr>
        <w:t xml:space="preserve">et al.</w:t>
      </w:r>
      <w:r>
        <w:t xml:space="preserve">, 2007)</w:t>
      </w:r>
      <w:r>
        <w:t xml:space="preserve">. The sites are well distributed across the United States and represent key forest types and structures (Table S1).</w:t>
      </w:r>
    </w:p>
    <w:bookmarkEnd w:id="20"/>
    <w:bookmarkStart w:id="21" w:name="X81df1b21c4295066b06617140825955e5a4648b"/>
    <w:p>
      <w:pPr>
        <w:pStyle w:val="Heading2"/>
      </w:pPr>
      <w:r>
        <w:t xml:space="preserve">Estimating forest and light environments from lidar</w:t>
      </w:r>
    </w:p>
    <w:p>
      <w:pPr>
        <w:pStyle w:val="FirstParagraph"/>
      </w:pPr>
      <w:r>
        <w:rPr>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
        </w:rPr>
        <w:t xml:space="preserve">Lidar data processing</w:t>
      </w:r>
    </w:p>
    <w:p>
      <w:pPr>
        <w:pStyle w:val="BodyText"/>
      </w:pPr>
      <w:r>
        <w:t xml:space="preserve">Lidar data were processed according to methods detailed in</w:t>
      </w:r>
      <w:r>
        <w:t xml:space="preserve"> </w:t>
      </w:r>
      <w:r>
        <w:t xml:space="preserve">Stark</w:t>
      </w:r>
      <w:r>
        <w:t xml:space="preserve"> </w:t>
      </w:r>
      <w:r>
        <w:rPr>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t>−</m:t>
            </m:r>
            <m:r>
              <m:t>2</m:t>
            </m:r>
          </m:sup>
        </m:sSup>
      </m:oMath>
      <w:r>
        <w:t xml:space="preserve"> </w:t>
      </w:r>
      <w:r>
        <w:t xml:space="preserve">(Shao</w:t>
      </w:r>
      <w:r>
        <w:t xml:space="preserve"> </w:t>
      </w:r>
      <w:r>
        <w:rPr>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1"/>
    <w:bookmarkStart w:id="22"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
        </w:rPr>
        <w:t xml:space="preserve">Note on interpreting</w:t>
      </w:r>
      <w:r>
        <w:rPr>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
        </w:rPr>
        <w:t xml:space="preserve">et al.</w:t>
      </w:r>
      <w:r>
        <w:t xml:space="preserve">, 2018; Still</w:t>
      </w:r>
      <w:r>
        <w:t xml:space="preserve"> </w:t>
      </w:r>
      <w:r>
        <w:rPr>
          <w:i/>
        </w:rPr>
        <w:t xml:space="preserve">et al.</w:t>
      </w:r>
      <w:r>
        <w:t xml:space="preserve">, 2021; Johnston</w:t>
      </w:r>
      <w:r>
        <w:t xml:space="preserve"> </w:t>
      </w:r>
      <w:r>
        <w:rPr>
          <w:i/>
        </w:rPr>
        <w:t xml:space="preserve">et al.</w:t>
      </w:r>
      <w:r>
        <w:t xml:space="preserve">, 2020)</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2"/>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
        </w:rPr>
        <w:t xml:space="preserve">tealeaves</w:t>
      </w:r>
      <w:r>
        <w:t xml:space="preserve"> </w:t>
      </w:r>
      <w:r>
        <w:t xml:space="preserve">(Muir, 2019)</w:t>
      </w:r>
      <w:r>
        <w:t xml:space="preserve">, parameterized for</w:t>
      </w:r>
      <w:r>
        <w:t xml:space="preserve"> </w:t>
      </w:r>
      <w:r>
        <w:rPr>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t>/</m:t>
        </m:r>
        <m:sSup>
          <m:e>
            <m:r>
              <m:t>m</m:t>
            </m:r>
          </m:e>
          <m:sup>
            <m:r>
              <m:t>2</m:t>
            </m:r>
          </m:sup>
        </m:sSup>
        <m:r>
          <m:t>/</m:t>
        </m:r>
        <m:r>
          <m:t>s</m:t>
        </m:r>
        <m: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4"/>
    <w:bookmarkStart w:id="26"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5"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for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
        </w:rPr>
        <w:t xml:space="preserve">75</w:t>
      </w:r>
      <w:r>
        <w:t xml:space="preserve"> </w:t>
      </w:r>
      <w:r>
        <w:t xml:space="preserve">articles as relevant and included their results in Tables 1-2.</w:t>
      </w:r>
    </w:p>
    <w:p>
      <w:r>
        <w:br w:type="page"/>
      </w:r>
    </w:p>
    <w:bookmarkEnd w:id="25"/>
    <w:bookmarkEnd w:id="26"/>
    <w:bookmarkStart w:id="28"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Puâ€˜u Makaâ€˜ala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7">
        <w:r>
          <w:rPr>
            <w:rStyle w:val="Hyperlink"/>
          </w:rPr>
          <w:t xml:space="preserve">site descriptions on NEON website</w:t>
        </w:r>
      </w:hyperlink>
      <w:r>
        <w:t xml:space="preserve">).</w:t>
      </w:r>
    </w:p>
    <w:p>
      <w:r>
        <w:br w:type="page"/>
      </w:r>
    </w:p>
    <w:bookmarkEnd w:id="28"/>
    <w:bookmarkStart w:id="3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0"/>
    <w:bookmarkStart w:id="43" w:name="references"/>
    <w:p>
      <w:pPr>
        <w:pStyle w:val="Heading1"/>
      </w:pPr>
      <w:r>
        <w:t xml:space="preserve">References</w:t>
      </w:r>
    </w:p>
    <w:bookmarkStart w:id="42" w:name="refs"/>
    <w:bookmarkStart w:id="31" w:name="X17b069eff5ad7ec48b341c0cc9ca77d7094bb3d"/>
    <w:p>
      <w:pPr>
        <w:pStyle w:val="Bibliography"/>
      </w:pPr>
      <w:r>
        <w:rPr>
          <w:b w:val="0"/>
          <w:b/>
        </w:rPr>
        <w:t xml:space="preserve">Cavender-Bares J</w:t>
      </w:r>
      <w:r>
        <w:rPr>
          <w:b/>
        </w:rPr>
        <w:t xml:space="preserve">,</w:t>
      </w:r>
      <w:r>
        <w:rPr>
          <w:b/>
        </w:rPr>
        <w:t xml:space="preserve"> </w:t>
      </w:r>
      <w:r>
        <w:rPr>
          <w:b w:val="0"/>
          <w:b/>
        </w:rPr>
        <w:t xml:space="preserve">Bazzaz FA</w:t>
      </w:r>
      <w:r>
        <w:t xml:space="preserve">.</w:t>
      </w:r>
      <w:r>
        <w:t xml:space="preserve"> </w:t>
      </w:r>
      <w:r>
        <w:rPr>
          <w:b/>
        </w:rPr>
        <w:t xml:space="preserve">2000</w:t>
      </w:r>
      <w:r>
        <w:t xml:space="preserve">. Changes in drought response strategies with ontogeny in Quercus rubra: Implications for scaling from seedlings to mature trees.</w:t>
      </w:r>
      <w:r>
        <w:t xml:space="preserve"> </w:t>
      </w:r>
      <w:r>
        <w:rPr>
          <w:i/>
        </w:rPr>
        <w:t xml:space="preserve">Oecologia</w:t>
      </w:r>
      <w:r>
        <w:t xml:space="preserve"> </w:t>
      </w:r>
      <w:r>
        <w:rPr>
          <w:b/>
        </w:rPr>
        <w:t xml:space="preserve">124</w:t>
      </w:r>
      <w:r>
        <w:t xml:space="preserve">: 8–18.</w:t>
      </w:r>
    </w:p>
    <w:bookmarkEnd w:id="31"/>
    <w:bookmarkStart w:id="32" w:name="ref-johnstonWhatLiesVertical2020"/>
    <w:p>
      <w:pPr>
        <w:pStyle w:val="Bibliography"/>
      </w:pPr>
      <w:r>
        <w:rPr>
          <w:b w:val="0"/>
          <w:b/>
        </w:rPr>
        <w:t xml:space="preserve">Johnston M</w:t>
      </w:r>
      <w:r>
        <w:rPr>
          <w:b/>
        </w:rPr>
        <w:t xml:space="preserve">,</w:t>
      </w:r>
      <w:r>
        <w:rPr>
          <w:b/>
        </w:rPr>
        <w:t xml:space="preserve"> </w:t>
      </w:r>
      <w:r>
        <w:rPr>
          <w:b w:val="0"/>
          <w:b/>
        </w:rPr>
        <w:t xml:space="preserve">Andreu A</w:t>
      </w:r>
      <w:r>
        <w:rPr>
          <w:b/>
        </w:rPr>
        <w:t xml:space="preserve">,</w:t>
      </w:r>
      <w:r>
        <w:rPr>
          <w:b/>
        </w:rPr>
        <w:t xml:space="preserve"> </w:t>
      </w:r>
      <w:r>
        <w:rPr>
          <w:b w:val="0"/>
          <w:b/>
        </w:rPr>
        <w:t xml:space="preserve">Verfaillie J</w:t>
      </w:r>
      <w:r>
        <w:rPr>
          <w:b/>
        </w:rPr>
        <w:t xml:space="preserve">,</w:t>
      </w:r>
      <w:r>
        <w:rPr>
          <w:b/>
        </w:rPr>
        <w:t xml:space="preserve"> </w:t>
      </w:r>
      <w:r>
        <w:rPr>
          <w:b w:val="0"/>
          <w:b/>
        </w:rPr>
        <w:t xml:space="preserve">Baldocchi DD</w:t>
      </w:r>
      <w:r>
        <w:rPr>
          <w:b/>
        </w:rPr>
        <w:t xml:space="preserve">,</w:t>
      </w:r>
      <w:r>
        <w:rPr>
          <w:b/>
        </w:rPr>
        <w:t xml:space="preserve"> </w:t>
      </w:r>
      <w:r>
        <w:rPr>
          <w:b w:val="0"/>
          <w:b/>
        </w:rPr>
        <w:t xml:space="preserve">Moorcroft PR</w:t>
      </w:r>
      <w:r>
        <w:t xml:space="preserve">.</w:t>
      </w:r>
      <w:r>
        <w:t xml:space="preserve"> </w:t>
      </w:r>
      <w:r>
        <w:rPr>
          <w:b/>
        </w:rPr>
        <w:t xml:space="preserve">2020</w:t>
      </w:r>
      <w:r>
        <w:t xml:space="preserve">. What Lies Beneath: Vertical Heterogeneity in Vegetation Canopy Temperatures.</w:t>
      </w:r>
      <w:r>
        <w:t xml:space="preserve"> </w:t>
      </w:r>
      <w:r>
        <w:rPr>
          <w:b/>
        </w:rPr>
        <w:t xml:space="preserve">2020</w:t>
      </w:r>
      <w:r>
        <w:t xml:space="preserve">: B088–03.</w:t>
      </w:r>
    </w:p>
    <w:bookmarkEnd w:id="32"/>
    <w:bookmarkStart w:id="33" w:name="ref-macarthurFoliageProfileVertical1969"/>
    <w:p>
      <w:pPr>
        <w:pStyle w:val="Bibliography"/>
      </w:pPr>
      <w:r>
        <w:rPr>
          <w:b w:val="0"/>
          <w:b/>
        </w:rPr>
        <w:t xml:space="preserve">MacArthur RH</w:t>
      </w:r>
      <w:r>
        <w:rPr>
          <w:b/>
        </w:rPr>
        <w:t xml:space="preserve">,</w:t>
      </w:r>
      <w:r>
        <w:rPr>
          <w:b/>
        </w:rPr>
        <w:t xml:space="preserve"> </w:t>
      </w:r>
      <w:r>
        <w:rPr>
          <w:b w:val="0"/>
          <w:b/>
        </w:rPr>
        <w:t xml:space="preserve">Horn HS</w:t>
      </w:r>
      <w:r>
        <w:t xml:space="preserve">.</w:t>
      </w:r>
      <w:r>
        <w:t xml:space="preserve"> </w:t>
      </w:r>
      <w:r>
        <w:rPr>
          <w:b/>
        </w:rPr>
        <w:t xml:space="preserve">1969</w:t>
      </w:r>
      <w:r>
        <w:t xml:space="preserve">. Foliage Profile by Vertical Measurements.</w:t>
      </w:r>
      <w:r>
        <w:t xml:space="preserve"> </w:t>
      </w:r>
      <w:r>
        <w:rPr>
          <w:i/>
        </w:rPr>
        <w:t xml:space="preserve">Ecology</w:t>
      </w:r>
      <w:r>
        <w:t xml:space="preserve"> </w:t>
      </w:r>
      <w:r>
        <w:rPr>
          <w:b/>
        </w:rPr>
        <w:t xml:space="preserve">50</w:t>
      </w:r>
      <w:r>
        <w:t xml:space="preserve">: 802–804.</w:t>
      </w:r>
    </w:p>
    <w:bookmarkEnd w:id="33"/>
    <w:bookmarkStart w:id="34" w:name="ref-muir_tealeaves_2019"/>
    <w:p>
      <w:pPr>
        <w:pStyle w:val="Bibliography"/>
      </w:pPr>
      <w:r>
        <w:rPr>
          <w:b w:val="0"/>
          <w:b/>
        </w:rPr>
        <w:t xml:space="preserve">Muir CD</w:t>
      </w:r>
      <w:r>
        <w:t xml:space="preserve">.</w:t>
      </w:r>
      <w:r>
        <w:t xml:space="preserve"> </w:t>
      </w:r>
      <w:r>
        <w:rPr>
          <w:b/>
        </w:rPr>
        <w:t xml:space="preserve">2019</w:t>
      </w:r>
      <w:r>
        <w:t xml:space="preserve">. Tealeaves: An R package for modelling leaf temperature using energy budgets.</w:t>
      </w:r>
      <w:r>
        <w:t xml:space="preserve"> </w:t>
      </w:r>
      <w:r>
        <w:rPr>
          <w:i/>
        </w:rPr>
        <w:t xml:space="preserve">AoB PLANTS</w:t>
      </w:r>
      <w:r>
        <w:t xml:space="preserve"> </w:t>
      </w:r>
      <w:r>
        <w:rPr>
          <w:b/>
        </w:rPr>
        <w:t xml:space="preserve">11</w:t>
      </w:r>
      <w:r>
        <w:t xml:space="preserve">.</w:t>
      </w:r>
    </w:p>
    <w:bookmarkEnd w:id="34"/>
    <w:bookmarkStart w:id="35" w:name="ref-parkerCanopySurfaceStand2004"/>
    <w:p>
      <w:pPr>
        <w:pStyle w:val="Bibliography"/>
      </w:pPr>
      <w:r>
        <w:rPr>
          <w:b w:val="0"/>
          <w:b/>
        </w:rPr>
        <w:t xml:space="preserve">Parker GG</w:t>
      </w:r>
      <w:r>
        <w:rPr>
          <w:b/>
        </w:rPr>
        <w:t xml:space="preserve">,</w:t>
      </w:r>
      <w:r>
        <w:rPr>
          <w:b/>
        </w:rPr>
        <w:t xml:space="preserve"> </w:t>
      </w:r>
      <w:r>
        <w:rPr>
          <w:b w:val="0"/>
          <w:b/>
        </w:rPr>
        <w:t xml:space="preserve">Russ ME</w:t>
      </w:r>
      <w:r>
        <w:t xml:space="preserve">.</w:t>
      </w:r>
      <w:r>
        <w:t xml:space="preserve"> </w:t>
      </w:r>
      <w:r>
        <w:rPr>
          <w:b/>
        </w:rPr>
        <w:t xml:space="preserve">2004</w:t>
      </w:r>
      <w:r>
        <w:t xml:space="preserve">. The canopy surface and stand development: Assessing forest canopy structure and complexity with near-surface altimetry.</w:t>
      </w:r>
      <w:r>
        <w:t xml:space="preserve"> </w:t>
      </w:r>
      <w:r>
        <w:rPr>
          <w:i/>
        </w:rPr>
        <w:t xml:space="preserve">Forest Ecology and Management</w:t>
      </w:r>
      <w:r>
        <w:t xml:space="preserve"> </w:t>
      </w:r>
      <w:r>
        <w:rPr>
          <w:b/>
        </w:rPr>
        <w:t xml:space="preserve">189</w:t>
      </w:r>
      <w:r>
        <w:t xml:space="preserve">: 307–315.</w:t>
      </w:r>
    </w:p>
    <w:bookmarkEnd w:id="35"/>
    <w:bookmarkStart w:id="36" w:name="ref-pauTropicalForestTemperature2018"/>
    <w:p>
      <w:pPr>
        <w:pStyle w:val="Bibliography"/>
      </w:pP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Kim Y</w:t>
      </w:r>
      <w:r>
        <w:rPr>
          <w:b/>
        </w:rPr>
        <w:t xml:space="preserve">,</w:t>
      </w:r>
      <w:r>
        <w:rPr>
          <w:b/>
        </w:rPr>
        <w:t xml:space="preserve"> </w:t>
      </w:r>
      <w:r>
        <w:rPr>
          <w:b w:val="0"/>
          <w:b/>
        </w:rPr>
        <w:t xml:space="preserve">Still CJ</w:t>
      </w:r>
      <w:r>
        <w:t xml:space="preserve">.</w:t>
      </w:r>
      <w:r>
        <w:t xml:space="preserve"> </w:t>
      </w:r>
      <w:r>
        <w:rPr>
          <w:b/>
        </w:rPr>
        <w:t xml:space="preserve">2018</w:t>
      </w:r>
      <w:r>
        <w:t xml:space="preserve">. Tropical forest temperature thresholds for gross primary productivity.</w:t>
      </w:r>
      <w:r>
        <w:t xml:space="preserve"> </w:t>
      </w:r>
      <w:r>
        <w:rPr>
          <w:i/>
        </w:rPr>
        <w:t xml:space="preserve">Ecosphere</w:t>
      </w:r>
      <w:r>
        <w:t xml:space="preserve"> </w:t>
      </w:r>
      <w:r>
        <w:rPr>
          <w:b/>
        </w:rPr>
        <w:t xml:space="preserve">9</w:t>
      </w:r>
      <w:r>
        <w:t xml:space="preserve">: e02311.</w:t>
      </w:r>
    </w:p>
    <w:bookmarkEnd w:id="36"/>
    <w:bookmarkStart w:id="37" w:name="X37866945a1514e5304353b865dab4d70276132f"/>
    <w:p>
      <w:pPr>
        <w:pStyle w:val="Bibliography"/>
      </w:pPr>
      <w:r>
        <w:rPr>
          <w:b w:val="0"/>
          <w:b/>
        </w:rPr>
        <w:t xml:space="preserve">Schimel D</w:t>
      </w:r>
      <w:r>
        <w:rPr>
          <w:b/>
        </w:rPr>
        <w:t xml:space="preserve">,</w:t>
      </w:r>
      <w:r>
        <w:rPr>
          <w:b/>
        </w:rPr>
        <w:t xml:space="preserve"> </w:t>
      </w:r>
      <w:r>
        <w:rPr>
          <w:b w:val="0"/>
          <w:b/>
        </w:rPr>
        <w:t xml:space="preserve">Hargrove W</w:t>
      </w:r>
      <w:r>
        <w:rPr>
          <w:b/>
        </w:rPr>
        <w:t xml:space="preserve">,</w:t>
      </w:r>
      <w:r>
        <w:rPr>
          <w:b/>
        </w:rPr>
        <w:t xml:space="preserve"> </w:t>
      </w:r>
      <w:r>
        <w:rPr>
          <w:b w:val="0"/>
          <w:b/>
        </w:rPr>
        <w:t xml:space="preserve">Hoffman F</w:t>
      </w:r>
      <w:r>
        <w:rPr>
          <w:b/>
        </w:rPr>
        <w:t xml:space="preserve">,</w:t>
      </w:r>
      <w:r>
        <w:rPr>
          <w:b/>
        </w:rPr>
        <w:t xml:space="preserve"> </w:t>
      </w:r>
      <w:r>
        <w:rPr>
          <w:b w:val="0"/>
          <w:b/>
        </w:rPr>
        <w:t xml:space="preserve">MacMahon J</w:t>
      </w:r>
      <w:r>
        <w:t xml:space="preserve">.</w:t>
      </w:r>
      <w:r>
        <w:t xml:space="preserve"> </w:t>
      </w:r>
      <w:r>
        <w:rPr>
          <w:b/>
        </w:rPr>
        <w:t xml:space="preserve">2007</w:t>
      </w:r>
      <w:r>
        <w:t xml:space="preserve">. NEON: A hierarchically designed national ecological network.</w:t>
      </w:r>
      <w:r>
        <w:t xml:space="preserve"> </w:t>
      </w:r>
      <w:r>
        <w:rPr>
          <w:i/>
        </w:rPr>
        <w:t xml:space="preserve">Frontiers in Ecology and the Environment</w:t>
      </w:r>
      <w:r>
        <w:t xml:space="preserve"> </w:t>
      </w:r>
      <w:r>
        <w:rPr>
          <w:b/>
        </w:rPr>
        <w:t xml:space="preserve">5</w:t>
      </w:r>
      <w:r>
        <w:t xml:space="preserve">: 59–59.</w:t>
      </w:r>
    </w:p>
    <w:bookmarkEnd w:id="37"/>
    <w:bookmarkStart w:id="38" w:name="ref-shaoHighThroughputAssessment2019"/>
    <w:p>
      <w:pPr>
        <w:pStyle w:val="Bibliography"/>
      </w:pPr>
      <w:r>
        <w:rPr>
          <w:b w:val="0"/>
          <w:b/>
        </w:rPr>
        <w:t xml:space="preserve">Shao G</w:t>
      </w:r>
      <w:r>
        <w:rPr>
          <w:b/>
        </w:rPr>
        <w:t xml:space="preserve">,</w:t>
      </w:r>
      <w:r>
        <w:rPr>
          <w:b/>
        </w:rPr>
        <w:t xml:space="preserve"> </w:t>
      </w:r>
      <w:r>
        <w:rPr>
          <w:b w:val="0"/>
          <w:b/>
        </w:rPr>
        <w:t xml:space="preserve">Stark SC</w:t>
      </w:r>
      <w:r>
        <w:rPr>
          <w:b/>
        </w:rPr>
        <w:t xml:space="preserve">,</w:t>
      </w:r>
      <w:r>
        <w:rPr>
          <w:b/>
        </w:rPr>
        <w:t xml:space="preserve"> </w:t>
      </w:r>
      <w:r>
        <w:rPr>
          <w:b w:val="0"/>
          <w:b/>
        </w:rPr>
        <w:t xml:space="preserve">de Almeida DRA</w:t>
      </w:r>
      <w:r>
        <w:rPr>
          <w:b/>
        </w:rPr>
        <w:t xml:space="preserve">,</w:t>
      </w:r>
      <w:r>
        <w:rPr>
          <w:b/>
        </w:rPr>
        <w:t xml:space="preserve"> </w:t>
      </w:r>
      <w:r>
        <w:rPr>
          <w:b w:val="0"/>
          <w:b/>
        </w:rPr>
        <w:t xml:space="preserve">Smith MN</w:t>
      </w:r>
      <w:r>
        <w:t xml:space="preserve">.</w:t>
      </w:r>
      <w:r>
        <w:t xml:space="preserve"> </w:t>
      </w:r>
      <w:r>
        <w:rPr>
          <w:b/>
        </w:rPr>
        <w:t xml:space="preserve">2019</w:t>
      </w:r>
      <w:r>
        <w:t xml:space="preserve">. Towards high throughput assessment of canopy dynamics: The estimation of leaf area structure in Amazonian forests with multitemporal multi-sensor airborne lidar.</w:t>
      </w:r>
      <w:r>
        <w:t xml:space="preserve"> </w:t>
      </w:r>
      <w:r>
        <w:rPr>
          <w:i/>
        </w:rPr>
        <w:t xml:space="preserve">Remote Sensing of Environment</w:t>
      </w:r>
      <w:r>
        <w:t xml:space="preserve"> </w:t>
      </w:r>
      <w:r>
        <w:rPr>
          <w:b/>
        </w:rPr>
        <w:t xml:space="preserve">221</w:t>
      </w:r>
      <w:r>
        <w:t xml:space="preserve">: 1–13.</w:t>
      </w:r>
    </w:p>
    <w:bookmarkEnd w:id="38"/>
    <w:bookmarkStart w:id="39" w:name="ref-starkAmazonForestCarbon2012"/>
    <w:p>
      <w:pPr>
        <w:pStyle w:val="Bibliography"/>
      </w:pPr>
      <w:r>
        <w:rPr>
          <w:b w:val="0"/>
          <w:b/>
        </w:rPr>
        <w:t xml:space="preserve">Stark SC</w:t>
      </w:r>
      <w:r>
        <w:rPr>
          <w:b/>
        </w:rPr>
        <w:t xml:space="preserve">,</w:t>
      </w:r>
      <w:r>
        <w:rPr>
          <w:b/>
        </w:rPr>
        <w:t xml:space="preserve"> </w:t>
      </w:r>
      <w:r>
        <w:rPr>
          <w:b w:val="0"/>
          <w:b/>
        </w:rPr>
        <w:t xml:space="preserve">Leitold V</w:t>
      </w:r>
      <w:r>
        <w:rPr>
          <w:b/>
        </w:rPr>
        <w:t xml:space="preserve">,</w:t>
      </w:r>
      <w:r>
        <w:rPr>
          <w:b/>
        </w:rPr>
        <w:t xml:space="preserve"> </w:t>
      </w:r>
      <w:r>
        <w:rPr>
          <w:b w:val="0"/>
          <w:b/>
        </w:rPr>
        <w:t xml:space="preserve">Wu JL</w:t>
      </w:r>
      <w:r>
        <w:rPr>
          <w:b/>
        </w:rPr>
        <w:t xml:space="preserve">,</w:t>
      </w:r>
      <w:r>
        <w:rPr>
          <w:b/>
        </w:rPr>
        <w:t xml:space="preserve"> </w:t>
      </w:r>
      <w:r>
        <w:rPr>
          <w:b w:val="0"/>
          <w:b/>
        </w:rPr>
        <w:t xml:space="preserve">Hunter MO</w:t>
      </w:r>
      <w:r>
        <w:rPr>
          <w:b/>
        </w:rPr>
        <w:t xml:space="preserve">,</w:t>
      </w:r>
      <w:r>
        <w:rPr>
          <w:b/>
        </w:rPr>
        <w:t xml:space="preserve"> </w:t>
      </w:r>
      <w:r>
        <w:rPr>
          <w:b w:val="0"/>
          <w:b/>
        </w:rPr>
        <w:t xml:space="preserve">de Castilho CV</w:t>
      </w:r>
      <w:r>
        <w:rPr>
          <w:b/>
        </w:rPr>
        <w:t xml:space="preserve">,</w:t>
      </w:r>
      <w:r>
        <w:rPr>
          <w:b/>
        </w:rPr>
        <w:t xml:space="preserve"> </w:t>
      </w:r>
      <w:r>
        <w:rPr>
          <w:b w:val="0"/>
          <w:b/>
        </w:rPr>
        <w:t xml:space="preserve">Costa FRC</w:t>
      </w:r>
      <w:r>
        <w:rPr>
          <w:b/>
        </w:rPr>
        <w:t xml:space="preserve">,</w:t>
      </w:r>
      <w:r>
        <w:rPr>
          <w:b/>
        </w:rPr>
        <w:t xml:space="preserve"> </w:t>
      </w:r>
      <w:r>
        <w:rPr>
          <w:b w:val="0"/>
          <w:b/>
        </w:rPr>
        <w:t xml:space="preserve">McMahon SM</w:t>
      </w:r>
      <w:r>
        <w:rPr>
          <w:b/>
        </w:rPr>
        <w:t xml:space="preserve">,</w:t>
      </w:r>
      <w:r>
        <w:rPr>
          <w:b/>
        </w:rPr>
        <w:t xml:space="preserve"> </w:t>
      </w:r>
      <w:r>
        <w:rPr>
          <w:b w:val="0"/>
          <w:b/>
        </w:rPr>
        <w:t xml:space="preserve">Parker GG</w:t>
      </w:r>
      <w:r>
        <w:rPr>
          <w:b/>
        </w:rPr>
        <w:t xml:space="preserve">,</w:t>
      </w:r>
      <w:r>
        <w:rPr>
          <w:b/>
        </w:rPr>
        <w:t xml:space="preserve"> </w:t>
      </w:r>
      <w:r>
        <w:rPr>
          <w:b w:val="0"/>
          <w:b/>
        </w:rPr>
        <w:t xml:space="preserve">Shimabukuro MT</w:t>
      </w:r>
      <w:r>
        <w:rPr>
          <w:b/>
        </w:rPr>
        <w:t xml:space="preserve">,</w:t>
      </w:r>
      <w:r>
        <w:rPr>
          <w:b/>
        </w:rPr>
        <w:t xml:space="preserve"> </w:t>
      </w:r>
      <w:r>
        <w:rPr>
          <w:b w:val="0"/>
          <w:b/>
        </w:rPr>
        <w:t xml:space="preserve">Lefsky MA</w:t>
      </w:r>
      <w:r>
        <w:rPr>
          <w:b/>
        </w:rPr>
        <w:t xml:space="preserve"> </w:t>
      </w:r>
      <w:r>
        <w:rPr>
          <w:i/>
          <w:b/>
        </w:rPr>
        <w:t xml:space="preserve">et al.</w:t>
      </w:r>
      <w:r>
        <w:t xml:space="preserve"> </w:t>
      </w:r>
      <w:r>
        <w:rPr>
          <w:b/>
        </w:rPr>
        <w:t xml:space="preserve">2012</w:t>
      </w:r>
      <w:r>
        <w:t xml:space="preserve">. Amazon forest carbon dynamics predicted by profiles of canopy leaf area and light environment.</w:t>
      </w:r>
      <w:r>
        <w:t xml:space="preserve"> </w:t>
      </w:r>
      <w:r>
        <w:rPr>
          <w:i/>
        </w:rPr>
        <w:t xml:space="preserve">Ecology Letters</w:t>
      </w:r>
      <w:r>
        <w:t xml:space="preserve"> </w:t>
      </w:r>
      <w:r>
        <w:rPr>
          <w:b/>
        </w:rPr>
        <w:t xml:space="preserve">15</w:t>
      </w:r>
      <w:r>
        <w:t xml:space="preserve">: 1406–1414.</w:t>
      </w:r>
    </w:p>
    <w:bookmarkEnd w:id="39"/>
    <w:bookmarkStart w:id="40" w:name="ref-stillImagingCanopyTemperature2021"/>
    <w:p>
      <w:pPr>
        <w:pStyle w:val="Bibliography"/>
      </w:pPr>
      <w:r>
        <w:rPr>
          <w:b w:val="0"/>
          <w:b/>
        </w:rPr>
        <w:t xml:space="preserve">Still CJ</w:t>
      </w:r>
      <w:r>
        <w:rPr>
          <w:b/>
        </w:rPr>
        <w:t xml:space="preserve">,</w:t>
      </w:r>
      <w:r>
        <w:rPr>
          <w:b/>
        </w:rPr>
        <w:t xml:space="preserve"> </w:t>
      </w:r>
      <w:r>
        <w:rPr>
          <w:b w:val="0"/>
          <w:b/>
        </w:rPr>
        <w:t xml:space="preserve">Rastogi B</w:t>
      </w:r>
      <w:r>
        <w:rPr>
          <w:b/>
        </w:rPr>
        <w:t xml:space="preserve">,</w:t>
      </w:r>
      <w:r>
        <w:rPr>
          <w:b/>
        </w:rPr>
        <w:t xml:space="preserve"> </w:t>
      </w:r>
      <w:r>
        <w:rPr>
          <w:b w:val="0"/>
          <w:b/>
        </w:rPr>
        <w:t xml:space="preserve">Page GFM</w:t>
      </w:r>
      <w:r>
        <w:rPr>
          <w:b/>
        </w:rPr>
        <w:t xml:space="preserve">,</w:t>
      </w:r>
      <w:r>
        <w:rPr>
          <w:b/>
        </w:rPr>
        <w:t xml:space="preserve"> </w:t>
      </w:r>
      <w:r>
        <w:rPr>
          <w:b w:val="0"/>
          <w:b/>
        </w:rPr>
        <w:t xml:space="preserve">Griffith DM</w:t>
      </w:r>
      <w:r>
        <w:rPr>
          <w:b/>
        </w:rPr>
        <w:t xml:space="preserve">,</w:t>
      </w:r>
      <w:r>
        <w:rPr>
          <w:b/>
        </w:rPr>
        <w:t xml:space="preserve"> </w:t>
      </w:r>
      <w:r>
        <w:rPr>
          <w:b w:val="0"/>
          <w:b/>
        </w:rPr>
        <w:t xml:space="preserve">Sibley A</w:t>
      </w:r>
      <w:r>
        <w:rPr>
          <w:b/>
        </w:rPr>
        <w:t xml:space="preserve">,</w:t>
      </w:r>
      <w:r>
        <w:rPr>
          <w:b/>
        </w:rPr>
        <w:t xml:space="preserve"> </w:t>
      </w:r>
      <w:r>
        <w:rPr>
          <w:b w:val="0"/>
          <w:b/>
        </w:rPr>
        <w:t xml:space="preserve">Schulze M</w:t>
      </w:r>
      <w:r>
        <w:rPr>
          <w:b/>
        </w:rPr>
        <w:t xml:space="preserve">,</w:t>
      </w:r>
      <w:r>
        <w:rPr>
          <w:b/>
        </w:rPr>
        <w:t xml:space="preserve"> </w:t>
      </w:r>
      <w:r>
        <w:rPr>
          <w:b w:val="0"/>
          <w:b/>
        </w:rPr>
        <w:t xml:space="preserve">Hawkins L</w:t>
      </w:r>
      <w:r>
        <w:rPr>
          <w:b/>
        </w:rPr>
        <w:t xml:space="preserve">,</w:t>
      </w:r>
      <w:r>
        <w:rPr>
          <w:b/>
        </w:rPr>
        <w:t xml:space="preserve"> </w:t>
      </w: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Helliker BR</w:t>
      </w:r>
      <w:r>
        <w:t xml:space="preserve">.</w:t>
      </w:r>
      <w:r>
        <w:t xml:space="preserve"> </w:t>
      </w:r>
      <w:r>
        <w:rPr>
          <w:b/>
        </w:rPr>
        <w:t xml:space="preserve">2021</w:t>
      </w:r>
      <w:r>
        <w:t xml:space="preserve">. Imaging canopy temperature: Shedding (thermal) light on ecosystem processes.</w:t>
      </w:r>
      <w:r>
        <w:t xml:space="preserve"> </w:t>
      </w:r>
      <w:r>
        <w:rPr>
          <w:i/>
        </w:rPr>
        <w:t xml:space="preserve">New Phytologist</w:t>
      </w:r>
      <w:r>
        <w:t xml:space="preserve"> </w:t>
      </w:r>
      <w:r>
        <w:rPr>
          <w:b/>
        </w:rPr>
        <w:t xml:space="preserve">230</w:t>
      </w:r>
      <w:r>
        <w:t xml:space="preserve">: 1746–1753.</w:t>
      </w:r>
    </w:p>
    <w:bookmarkEnd w:id="40"/>
    <w:bookmarkStart w:id="41" w:name="X56d926719da9351a167ef03030705e0d92337f8"/>
    <w:p>
      <w:pPr>
        <w:pStyle w:val="Bibliography"/>
      </w:pPr>
      <w:r>
        <w:rPr>
          <w:b w:val="0"/>
          <w:b/>
        </w:rPr>
        <w:t xml:space="preserve">Zwieniecki MA</w:t>
      </w:r>
      <w:r>
        <w:rPr>
          <w:b/>
        </w:rPr>
        <w:t xml:space="preserve">,</w:t>
      </w:r>
      <w:r>
        <w:rPr>
          <w:b/>
        </w:rPr>
        <w:t xml:space="preserve"> </w:t>
      </w:r>
      <w:r>
        <w:rPr>
          <w:b w:val="0"/>
          <w:b/>
        </w:rPr>
        <w:t xml:space="preserve">Boyce CK</w:t>
      </w:r>
      <w:r>
        <w:rPr>
          <w:b/>
        </w:rPr>
        <w:t xml:space="preserve">,</w:t>
      </w:r>
      <w:r>
        <w:rPr>
          <w:b/>
        </w:rPr>
        <w:t xml:space="preserve"> </w:t>
      </w:r>
      <w:r>
        <w:rPr>
          <w:b w:val="0"/>
          <w:b/>
        </w:rPr>
        <w:t xml:space="preserve">Holbrook NM</w:t>
      </w:r>
      <w:r>
        <w:t xml:space="preserve">.</w:t>
      </w:r>
      <w:r>
        <w:t xml:space="preserve"> </w:t>
      </w:r>
      <w:r>
        <w:rPr>
          <w:b/>
        </w:rPr>
        <w:t xml:space="preserve">2004</w:t>
      </w:r>
      <w:r>
        <w:t xml:space="preserve">. Hydraulic limitations imposed by crown placement determine final size and shape of Quercus rubra L. Leaves.</w:t>
      </w:r>
      <w:r>
        <w:t xml:space="preserve"> </w:t>
      </w:r>
      <w:r>
        <w:rPr>
          <w:i/>
        </w:rPr>
        <w:t xml:space="preserve">Plant, Cell &amp; Environment</w:t>
      </w:r>
      <w:r>
        <w:t xml:space="preserve"> </w:t>
      </w:r>
      <w:r>
        <w:rPr>
          <w:b/>
        </w:rPr>
        <w:t xml:space="preserve">27</w:t>
      </w:r>
      <w:r>
        <w:t xml:space="preserve">: 357–365.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2021-10-02T15:56:24Z</dcterms:created>
  <dcterms:modified xsi:type="dcterms:W3CDTF">2021-10-02T15:56:24Z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