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rPr>
          <w:bCs/>
          <w:b/>
        </w:rPr>
        <w:t xml:space="preserve">Authors:</w:t>
      </w:r>
      <w:r>
        <w:t xml:space="preserve"> </w:t>
      </w:r>
      <w:r>
        <w:t xml:space="preserve">Nidhi Vinod,</w:t>
      </w:r>
      <w:r>
        <w:t xml:space="preserve"> </w:t>
      </w:r>
      <w:r>
        <w:t xml:space="preserve">Martijn Slot,</w:t>
      </w:r>
      <w:r>
        <w:t xml:space="preserve"> </w:t>
      </w:r>
      <w:r>
        <w:t xml:space="preserve">Ian R. McGregor,</w:t>
      </w:r>
      <w:r>
        <w:t xml:space="preserve"> </w:t>
      </w:r>
      <w:r>
        <w:t xml:space="preserve">Elsa M. Ordway,</w:t>
      </w:r>
      <w:r>
        <w:t xml:space="preserve"> </w:t>
      </w:r>
      <w:r>
        <w:t xml:space="preserve">Marielle N. Smith,</w:t>
      </w:r>
      <w:r>
        <w:t xml:space="preserve"> </w:t>
      </w:r>
      <w:r>
        <w:t xml:space="preserve">Tyeen C. Taylor,</w:t>
      </w:r>
      <w:r>
        <w:t xml:space="preserve"> </w:t>
      </w:r>
      <w:r>
        <w:t xml:space="preserve">Lawren Sack,</w:t>
      </w:r>
      <w:r>
        <w:t xml:space="preserve"> </w:t>
      </w:r>
      <w:r>
        <w:t xml:space="preserve">Thomas N. Buckley,</w:t>
      </w:r>
      <w:r>
        <w:t xml:space="preserve"> </w:t>
      </w:r>
      <w:r>
        <w:t xml:space="preserve">Kristina J. Anderson-Teixeira</w:t>
      </w:r>
    </w:p>
    <w:p>
      <w:pPr>
        <w:pStyle w:val="BodyText"/>
      </w:pPr>
      <w:r>
        <w:rPr>
          <w:bCs/>
          <w:b/>
        </w:rPr>
        <w:t xml:space="preserve">Article acceptance date:</w:t>
      </w:r>
      <w:r>
        <w:t xml:space="preserve"> </w:t>
      </w:r>
      <w:r>
        <w:t xml:space="preserve">31 July 2022.</w:t>
      </w:r>
    </w:p>
    <w:p>
      <w:r>
        <w:br w:type="page"/>
      </w:r>
    </w:p>
    <w:bookmarkStart w:id="20" w:name="notes-s1-biophysical-drivers-of-tleaf"/>
    <w:p>
      <w:pPr>
        <w:pStyle w:val="Heading1"/>
      </w:pPr>
      <w:r>
        <w:t xml:space="preserve">Notes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w:t>
      </w:r>
      <w:r>
        <w:t xml:space="preserve"> </w:t>
      </w:r>
      <w:r>
        <w:t xml:space="preserve">(National Ecological Observatory Network (NEON), 2022a,b,c,d,e)</w:t>
      </w:r>
      <w:r>
        <w:t xml:space="preserve">.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w:t>
      </w:r>
      <w:r>
        <w:t xml:space="preserve"> </w:t>
      </w:r>
      <w:r>
        <w:t xml:space="preserve">(Team, 2021)</w:t>
      </w:r>
      <w:r>
        <w:t xml:space="preserve">.</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Still</w:t>
      </w:r>
      <w:r>
        <w:t xml:space="preserve"> </w:t>
      </w:r>
      <w:r>
        <w:rPr>
          <w:iCs/>
          <w:i/>
        </w:rPr>
        <w:t xml:space="preserve">et al.</w:t>
      </w:r>
      <w:r>
        <w:t xml:space="preserve">, 2021; Johnston</w:t>
      </w:r>
      <w:r>
        <w:t xml:space="preserve"> </w:t>
      </w:r>
      <w:r>
        <w:rPr>
          <w:iCs/>
          <w:i/>
        </w:rPr>
        <w:t xml:space="preserve">et al.</w:t>
      </w:r>
      <w:r>
        <w:t xml:space="preserve">, 2022)</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64" w:name="references"/>
    <w:p>
      <w:pPr>
        <w:pStyle w:val="Heading1"/>
      </w:pPr>
      <w:r>
        <w:t xml:space="preserve">References</w:t>
      </w:r>
    </w:p>
    <w:bookmarkStart w:id="63"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 5–12.</w:t>
      </w:r>
    </w:p>
    <w:bookmarkEnd w:id="37"/>
    <w:bookmarkStart w:id="38"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8"/>
    <w:bookmarkStart w:id="39" w:name="ref-johnstonWhatLiesVertical2022a"/>
    <w:p>
      <w:pPr>
        <w:pStyle w:val="Bibliography"/>
      </w:pPr>
      <w:r>
        <w:rPr>
          <w:bCs/>
          <w:b/>
          <w:bCs/>
          <w:b/>
        </w:rPr>
        <w:t xml:space="preserve">Johnston MR</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w:t>
      </w:r>
      <w:r>
        <w:rPr>
          <w:bCs/>
          <w:b/>
        </w:rPr>
        <w:t xml:space="preserve">,</w:t>
      </w:r>
      <w:r>
        <w:rPr>
          <w:bCs/>
          <w:b/>
        </w:rPr>
        <w:t xml:space="preserve"> </w:t>
      </w:r>
      <w:r>
        <w:rPr>
          <w:bCs/>
          <w:b/>
          <w:bCs/>
          <w:b/>
        </w:rPr>
        <w:t xml:space="preserve">Moorcroft PR</w:t>
      </w:r>
      <w:r>
        <w:t xml:space="preserve">.</w:t>
      </w:r>
      <w:r>
        <w:t xml:space="preserve"> </w:t>
      </w:r>
      <w:r>
        <w:rPr>
          <w:bCs/>
          <w:b/>
        </w:rPr>
        <w:t xml:space="preserve">2022</w:t>
      </w:r>
      <w:r>
        <w:t xml:space="preserve">. What lies beneath:</w:t>
      </w:r>
      <w:r>
        <w:t xml:space="preserve"> </w:t>
      </w:r>
      <w:r>
        <w:t xml:space="preserve">Vertical</w:t>
      </w:r>
      <w:r>
        <w:t xml:space="preserve"> </w:t>
      </w:r>
      <w:r>
        <w:t xml:space="preserve">temperature heterogeneity in a</w:t>
      </w:r>
      <w:r>
        <w:t xml:space="preserve"> </w:t>
      </w:r>
      <w:r>
        <w:t xml:space="preserve">Mediterranean</w:t>
      </w:r>
      <w:r>
        <w:t xml:space="preserve"> </w:t>
      </w:r>
      <w:r>
        <w:t xml:space="preserve">woodland savanna.</w:t>
      </w:r>
      <w:r>
        <w:t xml:space="preserve"> </w:t>
      </w:r>
      <w:r>
        <w:rPr>
          <w:iCs/>
          <w:i/>
        </w:rPr>
        <w:t xml:space="preserve">Remote Sensing of Environment</w:t>
      </w:r>
      <w:r>
        <w:t xml:space="preserve"> </w:t>
      </w:r>
      <w:r>
        <w:rPr>
          <w:bCs/>
          <w:b/>
        </w:rPr>
        <w:t xml:space="preserve">274</w:t>
      </w:r>
      <w:r>
        <w:t xml:space="preserve">: 112950.</w:t>
      </w:r>
    </w:p>
    <w:bookmarkEnd w:id="39"/>
    <w:bookmarkStart w:id="4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40"/>
    <w:bookmarkStart w:id="41"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3"/>
    <w:bookmarkStart w:id="44"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4"/>
    <w:bookmarkStart w:id="45"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5"/>
    <w:bookmarkStart w:id="4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 3–8.</w:t>
      </w:r>
    </w:p>
    <w:bookmarkEnd w:id="46"/>
    <w:bookmarkStart w:id="47" w:name="ref-https://doi.org/10.48443/0tyt-ky71"/>
    <w:p>
      <w:pPr>
        <w:pStyle w:val="Bibliography"/>
      </w:pPr>
      <w:r>
        <w:rPr>
          <w:bCs/>
          <w:b/>
          <w:bCs/>
          <w:b/>
        </w:rPr>
        <w:t xml:space="preserve">National Ecological Observatory Network (NEON)</w:t>
      </w:r>
      <w:r>
        <w:t xml:space="preserve">.</w:t>
      </w:r>
      <w:r>
        <w:t xml:space="preserve"> </w:t>
      </w:r>
      <w:r>
        <w:rPr>
          <w:bCs/>
          <w:b/>
        </w:rPr>
        <w:t xml:space="preserve">2022b</w:t>
      </w:r>
      <w:r>
        <w:t xml:space="preserve">. Single aspirated air temperature (</w:t>
      </w:r>
      <w:r>
        <w:t xml:space="preserve">DP1</w:t>
      </w:r>
      <w:r>
        <w:t xml:space="preserve">.00002.001).</w:t>
      </w:r>
    </w:p>
    <w:bookmarkEnd w:id="47"/>
    <w:bookmarkStart w:id="48" w:name="ref-https://doi.org/10.48443/77n6-eh42"/>
    <w:p>
      <w:pPr>
        <w:pStyle w:val="Bibliography"/>
      </w:pPr>
      <w:r>
        <w:rPr>
          <w:bCs/>
          <w:b/>
          <w:bCs/>
          <w:b/>
        </w:rPr>
        <w:t xml:space="preserve">National Ecological Observatory Network (NEON)</w:t>
      </w:r>
      <w:r>
        <w:t xml:space="preserve">.</w:t>
      </w:r>
      <w:r>
        <w:t xml:space="preserve"> </w:t>
      </w:r>
      <w:r>
        <w:rPr>
          <w:bCs/>
          <w:b/>
        </w:rPr>
        <w:t xml:space="preserve">2022a</w:t>
      </w:r>
      <w:r>
        <w:t xml:space="preserve">.</w:t>
      </w:r>
      <w:r>
        <w:t xml:space="preserve"> </w:t>
      </w:r>
      <w:r>
        <w:t xml:space="preserve">2D</w:t>
      </w:r>
      <w:r>
        <w:t xml:space="preserve"> </w:t>
      </w:r>
      <w:r>
        <w:t xml:space="preserve">wind speed and direction (</w:t>
      </w:r>
      <w:r>
        <w:t xml:space="preserve">DP1</w:t>
      </w:r>
      <w:r>
        <w:t xml:space="preserve">.00001.001).</w:t>
      </w:r>
    </w:p>
    <w:bookmarkEnd w:id="48"/>
    <w:bookmarkStart w:id="49" w:name="ref-https://doi.org/10.48443/7rs6-ff56"/>
    <w:p>
      <w:pPr>
        <w:pStyle w:val="Bibliography"/>
      </w:pPr>
      <w:r>
        <w:rPr>
          <w:bCs/>
          <w:b/>
          <w:bCs/>
          <w:b/>
        </w:rPr>
        <w:t xml:space="preserve">National Ecological Observatory Network (NEON)</w:t>
      </w:r>
      <w:r>
        <w:t xml:space="preserve">.</w:t>
      </w:r>
      <w:r>
        <w:t xml:space="preserve"> </w:t>
      </w:r>
      <w:r>
        <w:rPr>
          <w:bCs/>
          <w:b/>
        </w:rPr>
        <w:t xml:space="preserve">2022c</w:t>
      </w:r>
      <w:r>
        <w:t xml:space="preserve">.</w:t>
      </w:r>
      <w:r>
        <w:t xml:space="preserve"> </w:t>
      </w:r>
      <w:r>
        <w:t xml:space="preserve">IR</w:t>
      </w:r>
      <w:r>
        <w:t xml:space="preserve"> </w:t>
      </w:r>
      <w:r>
        <w:t xml:space="preserve">biological temperature (</w:t>
      </w:r>
      <w:r>
        <w:t xml:space="preserve">DP1</w:t>
      </w:r>
      <w:r>
        <w:t xml:space="preserve">.00005.001).</w:t>
      </w:r>
    </w:p>
    <w:bookmarkEnd w:id="49"/>
    <w:bookmarkStart w:id="50" w:name="ref-https://doi.org/10.48443/8a01-0677"/>
    <w:p>
      <w:pPr>
        <w:pStyle w:val="Bibliography"/>
      </w:pPr>
      <w:r>
        <w:rPr>
          <w:bCs/>
          <w:b/>
          <w:bCs/>
          <w:b/>
        </w:rPr>
        <w:t xml:space="preserve">National Ecological Observatory Network (NEON)</w:t>
      </w:r>
      <w:r>
        <w:t xml:space="preserve">.</w:t>
      </w:r>
      <w:r>
        <w:t xml:space="preserve"> </w:t>
      </w:r>
      <w:r>
        <w:rPr>
          <w:bCs/>
          <w:b/>
        </w:rPr>
        <w:t xml:space="preserve">2022d</w:t>
      </w:r>
      <w:r>
        <w:t xml:space="preserve">. Photosynthetically active radiation (</w:t>
      </w:r>
      <w:r>
        <w:t xml:space="preserve">PAR</w:t>
      </w:r>
      <w:r>
        <w:t xml:space="preserve">) (</w:t>
      </w:r>
      <w:r>
        <w:t xml:space="preserve">DP1</w:t>
      </w:r>
      <w:r>
        <w:t xml:space="preserve">.00024.001).</w:t>
      </w:r>
    </w:p>
    <w:bookmarkEnd w:id="50"/>
    <w:bookmarkStart w:id="51" w:name="ref-https://doi.org/10.48443/w9nf-k476"/>
    <w:p>
      <w:pPr>
        <w:pStyle w:val="Bibliography"/>
      </w:pPr>
      <w:r>
        <w:rPr>
          <w:bCs/>
          <w:b/>
          <w:bCs/>
          <w:b/>
        </w:rPr>
        <w:t xml:space="preserve">National Ecological Observatory Network (NEON)</w:t>
      </w:r>
      <w:r>
        <w:t xml:space="preserve">.</w:t>
      </w:r>
      <w:r>
        <w:t xml:space="preserve"> </w:t>
      </w:r>
      <w:r>
        <w:rPr>
          <w:bCs/>
          <w:b/>
        </w:rPr>
        <w:t xml:space="preserve">2022e</w:t>
      </w:r>
      <w:r>
        <w:t xml:space="preserve">. Relative humidity (</w:t>
      </w:r>
      <w:r>
        <w:t xml:space="preserve">DP1</w:t>
      </w:r>
      <w:r>
        <w:t xml:space="preserve">.00098.001).</w:t>
      </w:r>
    </w:p>
    <w:bookmarkEnd w:id="51"/>
    <w:bookmarkStart w:id="52"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52"/>
    <w:bookmarkStart w:id="53"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53"/>
    <w:bookmarkStart w:id="54"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54"/>
    <w:bookmarkStart w:id="55"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55"/>
    <w:bookmarkStart w:id="56"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56"/>
    <w:bookmarkStart w:id="57"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7"/>
    <w:bookmarkStart w:id="58"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8"/>
    <w:bookmarkStart w:id="59"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9"/>
    <w:bookmarkStart w:id="60" w:name="ref-rcoreteamCoreTeam20212021"/>
    <w:p>
      <w:pPr>
        <w:pStyle w:val="Bibliography"/>
      </w:pPr>
      <w:r>
        <w:rPr>
          <w:bCs/>
          <w:b/>
          <w:bCs/>
          <w:b/>
        </w:rPr>
        <w:t xml:space="preserve">Team RC</w:t>
      </w:r>
      <w:r>
        <w:t xml:space="preserve">.</w:t>
      </w:r>
      <w:r>
        <w:t xml:space="preserve"> </w:t>
      </w:r>
      <w:r>
        <w:rPr>
          <w:bCs/>
          <w:b/>
        </w:rPr>
        <w:t xml:space="preserve">2021</w:t>
      </w:r>
      <w:r>
        <w:t xml:space="preserve">. R</w:t>
      </w:r>
      <w:r>
        <w:t xml:space="preserve"> </w:t>
      </w:r>
      <w:r>
        <w:t xml:space="preserve">Core Team</w:t>
      </w:r>
      <w:r>
        <w:t xml:space="preserve"> </w:t>
      </w:r>
      <w:r>
        <w:t xml:space="preserve">(2021).</w:t>
      </w:r>
      <w:r>
        <w:t xml:space="preserve"> </w:t>
      </w:r>
      <w:r>
        <w:t xml:space="preserve">R</w:t>
      </w:r>
      <w:r>
        <w:t xml:space="preserve">:</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p>
    <w:bookmarkEnd w:id="60"/>
    <w:bookmarkStart w:id="6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61"/>
    <w:bookmarkStart w:id="62"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2022-09-01T02:33:40Z</dcterms:created>
  <dcterms:modified xsi:type="dcterms:W3CDTF">2022-09-01T02:33:40Z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