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1" w:name="notes-s1"/>
    <w:p>
      <w:pPr>
        <w:pStyle w:val="Heading1"/>
      </w:pPr>
      <w:r>
        <w:t xml:space="preserve">Notes S1</w:t>
      </w:r>
    </w:p>
    <w:bookmarkStart w:id="20" w:name="X1e50b3a3fb2980614bf58c77f7c5057033a78a4"/>
    <w:p>
      <w:pPr>
        <w:pStyle w:val="Heading2"/>
      </w:pPr>
      <w:r>
        <w:t xml:space="preserve">Note S1: Vertical variation in forest structure across forests types</w:t>
      </w:r>
    </w:p>
    <w:p>
      <w:pPr>
        <w:pStyle w:val="FirstParagraph"/>
      </w:pPr>
      <w:r>
        <w:t xml:space="preserve">Tropical and temperate forests with dense canopies dominated by broadleaf trees generally have highest leaf area density in the canopy layer (i.e., that formed by the crowns of dominant trees), but understory leaf area density is often relatively high as well, sometimes causing undulating patterns with height</w:t>
      </w:r>
      <w:r>
        <w:t xml:space="preserve"> </w:t>
      </w:r>
      <w:r>
        <w:t xml:space="preserve">(e.g., SCBI, SERC and HARV, Fig. 2a, Terborgh, 1985; Parker</w:t>
      </w:r>
      <w:r>
        <w:t xml:space="preserve"> </w:t>
      </w:r>
      <w:r>
        <w:rPr>
          <w:iCs/>
          <w:i/>
        </w:rPr>
        <w:t xml:space="preserve">et al.</w:t>
      </w:r>
      <w:r>
        <w:t xml:space="preserve">, 1989; Ashton &amp; Hall, 1992; Koike &amp; Syahbuddin, 1993; Domingues</w:t>
      </w:r>
      <w:r>
        <w:t xml:space="preserve"> </w:t>
      </w:r>
      <w:r>
        <w:rPr>
          <w:iCs/>
          <w:i/>
        </w:rPr>
        <w:t xml:space="preserve">et al.</w:t>
      </w:r>
      <w:r>
        <w:t xml:space="preserve">, 2005)</w:t>
      </w:r>
      <w:r>
        <w:t xml:space="preserve">.</w:t>
      </w:r>
      <w:r>
        <w:t xml:space="preserve"> </w:t>
      </w:r>
      <w:r>
        <w:t xml:space="preserve">In forests with more open upper canopies, including many needle-leaf forests, leaf area density can be predominantly accumulated in the lower canopy or understory layers</w:t>
      </w:r>
      <w:r>
        <w:t xml:space="preserve"> </w:t>
      </w:r>
      <w:r>
        <w:t xml:space="preserve">(e.g., PUUM and WREF, Fig. 2a, Baldocchi</w:t>
      </w:r>
      <w:r>
        <w:t xml:space="preserve"> </w:t>
      </w:r>
      <w:r>
        <w:rPr>
          <w:iCs/>
          <w:i/>
        </w:rPr>
        <w:t xml:space="preserve">et al.</w:t>
      </w:r>
      <w:r>
        <w:t xml:space="preserve">, 1997; Law</w:t>
      </w:r>
      <w:r>
        <w:t xml:space="preserve"> </w:t>
      </w:r>
      <w:r>
        <w:rPr>
          <w:iCs/>
          <w:i/>
        </w:rPr>
        <w:t xml:space="preserve">et al.</w:t>
      </w:r>
      <w:r>
        <w:t xml:space="preserve">, 2001; Bonan, 2016; Hanberry</w:t>
      </w:r>
      <w:r>
        <w:t xml:space="preserve"> </w:t>
      </w:r>
      <w:r>
        <w:rPr>
          <w:iCs/>
          <w:i/>
        </w:rPr>
        <w:t xml:space="preserve">et al.</w:t>
      </w:r>
      <w:r>
        <w:t xml:space="preserve">, 2020)</w:t>
      </w:r>
      <w:r>
        <w:t xml:space="preserve">.</w:t>
      </w:r>
      <w:r>
        <w:t xml:space="preserve"> </w:t>
      </w:r>
      <w:r>
        <w:t xml:space="preserve">Soil moisture conditions, topography, and gap formations following disturbances all alter foliage patterns</w:t>
      </w:r>
      <w:r>
        <w:t xml:space="preserve"> </w:t>
      </w:r>
      <w:r>
        <w:t xml:space="preserve">(Stark</w:t>
      </w:r>
      <w:r>
        <w:t xml:space="preserve"> </w:t>
      </w:r>
      <w:r>
        <w:rPr>
          <w:iCs/>
          <w:i/>
        </w:rPr>
        <w:t xml:space="preserve">et al.</w:t>
      </w:r>
      <w:r>
        <w:t xml:space="preserve">, 2012; e.g., Bonan, 2016; Almeida</w:t>
      </w:r>
      <w:r>
        <w:t xml:space="preserve"> </w:t>
      </w:r>
      <w:r>
        <w:rPr>
          <w:iCs/>
          <w:i/>
        </w:rPr>
        <w:t xml:space="preserve">et al.</w:t>
      </w:r>
      <w:r>
        <w:t xml:space="preserve">, 2016; Hanberry</w:t>
      </w:r>
      <w:r>
        <w:t xml:space="preserve"> </w:t>
      </w:r>
      <w:r>
        <w:rPr>
          <w:iCs/>
          <w:i/>
        </w:rPr>
        <w:t xml:space="preserve">et al.</w:t>
      </w:r>
      <w:r>
        <w:t xml:space="preserve">, 2020)</w:t>
      </w:r>
      <w:r>
        <w:t xml:space="preserve">.</w:t>
      </w:r>
    </w:p>
    <w:p>
      <w:r>
        <w:br w:type="page"/>
      </w:r>
    </w:p>
    <w:bookmarkEnd w:id="20"/>
    <w:bookmarkEnd w:id="21"/>
    <w:bookmarkStart w:id="25" w:name="X15519aea17eeceebad46ab9a4e1fb5be972e659"/>
    <w:p>
      <w:pPr>
        <w:pStyle w:val="Heading1"/>
      </w:pPr>
      <w:r>
        <w:t xml:space="preserve">Methods S1. Methods for analyzing vertical gradients in the biophysical environment</w:t>
      </w:r>
    </w:p>
    <w:bookmarkStart w:id="22"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2"/>
    <w:bookmarkStart w:id="23"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3"/>
    <w:bookmarkStart w:id="24"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4"/>
    <w:bookmarkEnd w:id="25"/>
    <w:bookmarkStart w:id="26"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6"/>
    <w:bookmarkStart w:id="28"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7"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2"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2"/>
    <w:bookmarkStart w:id="55" w:name="references"/>
    <w:p>
      <w:pPr>
        <w:pStyle w:val="Heading1"/>
      </w:pPr>
      <w:r>
        <w:t xml:space="preserve">References</w:t>
      </w:r>
    </w:p>
    <w:bookmarkStart w:id="54" w:name="refs"/>
    <w:bookmarkStart w:id="33" w:name="ref-almeidaContrastingFireDamage2016"/>
    <w:p>
      <w:pPr>
        <w:pStyle w:val="Bibliography"/>
      </w:pPr>
      <w:r>
        <w:rPr>
          <w:bCs/>
          <w:b/>
          <w:bCs/>
          <w:b/>
        </w:rPr>
        <w:t xml:space="preserve">Almeida DRA de</w:t>
      </w:r>
      <w:r>
        <w:rPr>
          <w:bCs/>
          <w:b/>
        </w:rPr>
        <w:t xml:space="preserve">,</w:t>
      </w:r>
      <w:r>
        <w:rPr>
          <w:bCs/>
          <w:b/>
        </w:rPr>
        <w:t xml:space="preserve"> </w:t>
      </w:r>
      <w:r>
        <w:rPr>
          <w:bCs/>
          <w:b/>
          <w:bCs/>
          <w:b/>
        </w:rPr>
        <w:t xml:space="preserve">Nelson BW</w:t>
      </w:r>
      <w:r>
        <w:rPr>
          <w:bCs/>
          <w:b/>
        </w:rPr>
        <w:t xml:space="preserve">,</w:t>
      </w:r>
      <w:r>
        <w:rPr>
          <w:bCs/>
          <w:b/>
        </w:rPr>
        <w:t xml:space="preserve"> </w:t>
      </w:r>
      <w:r>
        <w:rPr>
          <w:bCs/>
          <w:b/>
          <w:bCs/>
          <w:b/>
        </w:rPr>
        <w:t xml:space="preserve">Schietti J</w:t>
      </w:r>
      <w:r>
        <w:rPr>
          <w:bCs/>
          <w:b/>
        </w:rPr>
        <w:t xml:space="preserve">,</w:t>
      </w:r>
      <w:r>
        <w:rPr>
          <w:bCs/>
          <w:b/>
        </w:rPr>
        <w:t xml:space="preserve"> </w:t>
      </w:r>
      <w:r>
        <w:rPr>
          <w:bCs/>
          <w:b/>
          <w:bCs/>
          <w:b/>
        </w:rPr>
        <w:t xml:space="preserve">Gorgens EB</w:t>
      </w:r>
      <w:r>
        <w:rPr>
          <w:bCs/>
          <w:b/>
        </w:rPr>
        <w:t xml:space="preserve">,</w:t>
      </w:r>
      <w:r>
        <w:rPr>
          <w:bCs/>
          <w:b/>
        </w:rPr>
        <w:t xml:space="preserve"> </w:t>
      </w:r>
      <w:r>
        <w:rPr>
          <w:bCs/>
          <w:b/>
          <w:bCs/>
          <w:b/>
        </w:rPr>
        <w:t xml:space="preserve">Resende AF</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Valbuena R</w:t>
      </w:r>
      <w:r>
        <w:t xml:space="preserve">.</w:t>
      </w:r>
      <w:r>
        <w:t xml:space="preserve"> </w:t>
      </w:r>
      <w:r>
        <w:rPr>
          <w:bCs/>
          <w:b/>
        </w:rPr>
        <w:t xml:space="preserve">2016</w:t>
      </w:r>
      <w:r>
        <w:t xml:space="preserve">. Contrasting fire damage and fire susceptibility between seasonally flooded forest and upland forest in the</w:t>
      </w:r>
      <w:r>
        <w:t xml:space="preserve"> </w:t>
      </w:r>
      <w:r>
        <w:t xml:space="preserve">Central Amazon</w:t>
      </w:r>
      <w:r>
        <w:t xml:space="preserve"> </w:t>
      </w:r>
      <w:r>
        <w:t xml:space="preserve">using portable profiling</w:t>
      </w:r>
      <w:r>
        <w:t xml:space="preserve"> </w:t>
      </w:r>
      <w:r>
        <w:t xml:space="preserve">LiDAR</w:t>
      </w:r>
      <w:r>
        <w:t xml:space="preserve">.</w:t>
      </w:r>
      <w:r>
        <w:t xml:space="preserve"> </w:t>
      </w:r>
      <w:r>
        <w:rPr>
          <w:iCs/>
          <w:i/>
        </w:rPr>
        <w:t xml:space="preserve">Remote Sensing of Environment</w:t>
      </w:r>
      <w:r>
        <w:t xml:space="preserve"> </w:t>
      </w:r>
      <w:r>
        <w:rPr>
          <w:bCs/>
          <w:b/>
        </w:rPr>
        <w:t xml:space="preserve">184</w:t>
      </w:r>
      <w:r>
        <w:t xml:space="preserve">: 153–160.</w:t>
      </w:r>
    </w:p>
    <w:bookmarkEnd w:id="33"/>
    <w:bookmarkStart w:id="34" w:name="ref-ashtonComparisonsStructureMixed1992"/>
    <w:p>
      <w:pPr>
        <w:pStyle w:val="Bibliography"/>
      </w:pPr>
      <w:r>
        <w:rPr>
          <w:bCs/>
          <w:b/>
          <w:bCs/>
          <w:b/>
        </w:rPr>
        <w:t xml:space="preserve">Ashton PS</w:t>
      </w:r>
      <w:r>
        <w:rPr>
          <w:bCs/>
          <w:b/>
        </w:rPr>
        <w:t xml:space="preserve">,</w:t>
      </w:r>
      <w:r>
        <w:rPr>
          <w:bCs/>
          <w:b/>
        </w:rPr>
        <w:t xml:space="preserve"> </w:t>
      </w:r>
      <w:r>
        <w:rPr>
          <w:bCs/>
          <w:b/>
          <w:bCs/>
          <w:b/>
        </w:rPr>
        <w:t xml:space="preserve">Hall P</w:t>
      </w:r>
      <w:r>
        <w:t xml:space="preserve">.</w:t>
      </w:r>
      <w:r>
        <w:t xml:space="preserve"> </w:t>
      </w:r>
      <w:r>
        <w:rPr>
          <w:bCs/>
          <w:b/>
        </w:rPr>
        <w:t xml:space="preserve">1992</w:t>
      </w:r>
      <w:r>
        <w:t xml:space="preserve">. Comparisons of</w:t>
      </w:r>
      <w:r>
        <w:t xml:space="preserve"> </w:t>
      </w:r>
      <w:r>
        <w:t xml:space="preserve">Structure Among Mixed Dipterocarp Forests</w:t>
      </w:r>
      <w:r>
        <w:t xml:space="preserve"> </w:t>
      </w:r>
      <w:r>
        <w:t xml:space="preserve">of</w:t>
      </w:r>
      <w:r>
        <w:t xml:space="preserve"> </w:t>
      </w:r>
      <w:r>
        <w:t xml:space="preserve">North-Western Borneo</w:t>
      </w:r>
      <w:r>
        <w:t xml:space="preserve">.</w:t>
      </w:r>
      <w:r>
        <w:t xml:space="preserve"> </w:t>
      </w:r>
      <w:r>
        <w:rPr>
          <w:iCs/>
          <w:i/>
        </w:rPr>
        <w:t xml:space="preserve">Journal of Ecology</w:t>
      </w:r>
      <w:r>
        <w:t xml:space="preserve"> </w:t>
      </w:r>
      <w:r>
        <w:rPr>
          <w:bCs/>
          <w:b/>
        </w:rPr>
        <w:t xml:space="preserve">80</w:t>
      </w:r>
      <w:r>
        <w:t xml:space="preserve">: 459–481.</w:t>
      </w:r>
    </w:p>
    <w:bookmarkEnd w:id="34"/>
    <w:bookmarkStart w:id="35" w:name="ref-baldocchiSeasonalVariationEnergy1997"/>
    <w:p>
      <w:pPr>
        <w:pStyle w:val="Bibliography"/>
      </w:pPr>
      <w:r>
        <w:rPr>
          <w:bCs/>
          <w:b/>
          <w:bCs/>
          <w:b/>
        </w:rPr>
        <w:t xml:space="preserve">Baldocchi DD</w:t>
      </w:r>
      <w:r>
        <w:rPr>
          <w:bCs/>
          <w:b/>
        </w:rPr>
        <w:t xml:space="preserve">,</w:t>
      </w:r>
      <w:r>
        <w:rPr>
          <w:bCs/>
          <w:b/>
        </w:rPr>
        <w:t xml:space="preserve"> </w:t>
      </w:r>
      <w:r>
        <w:rPr>
          <w:bCs/>
          <w:b/>
          <w:bCs/>
          <w:b/>
        </w:rPr>
        <w:t xml:space="preserve">Vogel CA</w:t>
      </w:r>
      <w:r>
        <w:rPr>
          <w:bCs/>
          <w:b/>
        </w:rPr>
        <w:t xml:space="preserve">,</w:t>
      </w:r>
      <w:r>
        <w:rPr>
          <w:bCs/>
          <w:b/>
        </w:rPr>
        <w:t xml:space="preserve"> </w:t>
      </w:r>
      <w:r>
        <w:rPr>
          <w:bCs/>
          <w:b/>
          <w:bCs/>
          <w:b/>
        </w:rPr>
        <w:t xml:space="preserve">Hall B</w:t>
      </w:r>
      <w:r>
        <w:t xml:space="preserve">.</w:t>
      </w:r>
      <w:r>
        <w:t xml:space="preserve"> </w:t>
      </w:r>
      <w:r>
        <w:rPr>
          <w:bCs/>
          <w:b/>
        </w:rPr>
        <w:t xml:space="preserve">1997</w:t>
      </w:r>
      <w:r>
        <w:t xml:space="preserve">. Seasonal variation of energy and water vapor exchange rates above and below a boreal jack pine forest canopy.</w:t>
      </w:r>
      <w:r>
        <w:t xml:space="preserve"> </w:t>
      </w:r>
      <w:r>
        <w:rPr>
          <w:iCs/>
          <w:i/>
        </w:rPr>
        <w:t xml:space="preserve">Journal of Geophysical Research: Atmospheres</w:t>
      </w:r>
      <w:r>
        <w:t xml:space="preserve"> </w:t>
      </w:r>
      <w:r>
        <w:rPr>
          <w:bCs/>
          <w:b/>
        </w:rPr>
        <w:t xml:space="preserve">102</w:t>
      </w:r>
      <w:r>
        <w:t xml:space="preserve">: 28939–28951.</w:t>
      </w:r>
    </w:p>
    <w:bookmarkEnd w:id="35"/>
    <w:bookmarkStart w:id="36" w:name="ref-bonan_ecological_2016"/>
    <w:p>
      <w:pPr>
        <w:pStyle w:val="Bibliography"/>
      </w:pPr>
      <w:r>
        <w:rPr>
          <w:bCs/>
          <w:b/>
          <w:bCs/>
          <w:b/>
        </w:rPr>
        <w:t xml:space="preserve">Bonan GB</w:t>
      </w:r>
      <w:r>
        <w:t xml:space="preserve">.</w:t>
      </w:r>
      <w:r>
        <w:t xml:space="preserve"> </w:t>
      </w:r>
      <w:r>
        <w:rPr>
          <w:bCs/>
          <w:b/>
        </w:rPr>
        <w:t xml:space="preserve">2016</w:t>
      </w:r>
      <w:r>
        <w:t xml:space="preserve">.</w:t>
      </w:r>
      <w:r>
        <w:t xml:space="preserve"> </w:t>
      </w:r>
      <w:r>
        <w:rPr>
          <w:iCs/>
          <w:i/>
        </w:rPr>
        <w:t xml:space="preserve">Ecological climatology: Concepts and applications</w:t>
      </w:r>
      <w:r>
        <w:t xml:space="preserve">.</w:t>
      </w:r>
      <w:r>
        <w:t xml:space="preserve"> </w:t>
      </w:r>
      <w:r>
        <w:t xml:space="preserve">New York, NY, USA</w:t>
      </w:r>
      <w:r>
        <w:t xml:space="preserve">:</w:t>
      </w:r>
      <w:r>
        <w:t xml:space="preserve"> </w:t>
      </w:r>
      <w:r>
        <w:t xml:space="preserve">Cambridge University Press</w:t>
      </w:r>
      <w:r>
        <w:t xml:space="preserve">.</w:t>
      </w:r>
    </w:p>
    <w:bookmarkEnd w:id="36"/>
    <w:bookmarkStart w:id="37"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7"/>
    <w:bookmarkStart w:id="38" w:name="Xfaa2f62dcda129f0b62efb422cbcd6d12601528"/>
    <w:p>
      <w:pPr>
        <w:pStyle w:val="Bibliography"/>
      </w:pPr>
      <w:r>
        <w:rPr>
          <w:bCs/>
          <w:b/>
          <w:bCs/>
          <w:b/>
        </w:rPr>
        <w:t xml:space="preserve">Domingues TF</w:t>
      </w:r>
      <w:r>
        <w:rPr>
          <w:bCs/>
          <w:b/>
        </w:rPr>
        <w:t xml:space="preserve">,</w:t>
      </w:r>
      <w:r>
        <w:rPr>
          <w:bCs/>
          <w:b/>
        </w:rPr>
        <w:t xml:space="preserve"> </w:t>
      </w:r>
      <w:r>
        <w:rPr>
          <w:bCs/>
          <w:b/>
          <w:bCs/>
          <w:b/>
        </w:rPr>
        <w:t xml:space="preserve">Berry JA</w:t>
      </w:r>
      <w:r>
        <w:rPr>
          <w:bCs/>
          <w:b/>
        </w:rPr>
        <w:t xml:space="preserve">,</w:t>
      </w:r>
      <w:r>
        <w:rPr>
          <w:bCs/>
          <w:b/>
        </w:rPr>
        <w:t xml:space="preserve"> </w:t>
      </w:r>
      <w:r>
        <w:rPr>
          <w:bCs/>
          <w:b/>
          <w:bCs/>
          <w:b/>
        </w:rPr>
        <w:t xml:space="preserve">Martinelli LA</w:t>
      </w:r>
      <w:r>
        <w:rPr>
          <w:bCs/>
          <w:b/>
        </w:rPr>
        <w:t xml:space="preserve">,</w:t>
      </w:r>
      <w:r>
        <w:rPr>
          <w:bCs/>
          <w:b/>
        </w:rPr>
        <w:t xml:space="preserve"> </w:t>
      </w:r>
      <w:r>
        <w:rPr>
          <w:bCs/>
          <w:b/>
          <w:bCs/>
          <w:b/>
        </w:rPr>
        <w:t xml:space="preserve">Ometto JPHB</w:t>
      </w:r>
      <w:r>
        <w:rPr>
          <w:bCs/>
          <w:b/>
        </w:rPr>
        <w:t xml:space="preserve">,</w:t>
      </w:r>
      <w:r>
        <w:rPr>
          <w:bCs/>
          <w:b/>
        </w:rPr>
        <w:t xml:space="preserve"> </w:t>
      </w:r>
      <w:r>
        <w:rPr>
          <w:bCs/>
          <w:b/>
          <w:bCs/>
          <w:b/>
        </w:rPr>
        <w:t xml:space="preserve">Ehleringer JR</w:t>
      </w:r>
      <w:r>
        <w:t xml:space="preserve">.</w:t>
      </w:r>
      <w:r>
        <w:t xml:space="preserve"> </w:t>
      </w:r>
      <w:r>
        <w:rPr>
          <w:bCs/>
          <w:b/>
        </w:rPr>
        <w:t xml:space="preserve">2005</w:t>
      </w:r>
      <w:r>
        <w:t xml:space="preserve">. Parameterization of</w:t>
      </w:r>
      <w:r>
        <w:t xml:space="preserve"> </w:t>
      </w:r>
      <w:r>
        <w:t xml:space="preserve">Canopy Structure</w:t>
      </w:r>
      <w:r>
        <w:t xml:space="preserve"> </w:t>
      </w:r>
      <w:r>
        <w:t xml:space="preserve">and</w:t>
      </w:r>
      <w:r>
        <w:t xml:space="preserve"> </w:t>
      </w:r>
      <w:r>
        <w:t xml:space="preserve">Leaf-Level Gas Exchange</w:t>
      </w:r>
      <w:r>
        <w:t xml:space="preserve"> </w:t>
      </w:r>
      <w:r>
        <w:t xml:space="preserve">for an</w:t>
      </w:r>
      <w:r>
        <w:t xml:space="preserve"> </w:t>
      </w:r>
      <w:r>
        <w:t xml:space="preserve">Eastern Amazonian Tropical Rain Forest</w:t>
      </w:r>
      <w:r>
        <w:t xml:space="preserve"> </w:t>
      </w:r>
      <w:r>
        <w:t xml:space="preserve">(</w:t>
      </w:r>
      <w:r>
        <w:t xml:space="preserve">Tapajós National Forest</w:t>
      </w:r>
      <w:r>
        <w:t xml:space="preserve">,</w:t>
      </w:r>
      <w:r>
        <w:t xml:space="preserve"> </w:t>
      </w:r>
      <w:r>
        <w:t xml:space="preserve">Pará</w:t>
      </w:r>
      <w:r>
        <w:t xml:space="preserve">,</w:t>
      </w:r>
      <w:r>
        <w:t xml:space="preserve"> </w:t>
      </w:r>
      <w:r>
        <w:t xml:space="preserve">Brazil</w:t>
      </w:r>
      <w:r>
        <w:t xml:space="preserve">).</w:t>
      </w:r>
      <w:r>
        <w:t xml:space="preserve"> </w:t>
      </w:r>
      <w:r>
        <w:rPr>
          <w:iCs/>
          <w:i/>
        </w:rPr>
        <w:t xml:space="preserve">Earth Interactions</w:t>
      </w:r>
      <w:r>
        <w:t xml:space="preserve"> </w:t>
      </w:r>
      <w:r>
        <w:rPr>
          <w:bCs/>
          <w:b/>
        </w:rPr>
        <w:t xml:space="preserve">9</w:t>
      </w:r>
      <w:r>
        <w:t xml:space="preserve">: 1–23.</w:t>
      </w:r>
    </w:p>
    <w:bookmarkEnd w:id="38"/>
    <w:bookmarkStart w:id="39" w:name="ref-hanberryOpenForestEcosystems2020"/>
    <w:p>
      <w:pPr>
        <w:pStyle w:val="Bibliography"/>
      </w:pPr>
      <w:r>
        <w:rPr>
          <w:bCs/>
          <w:b/>
          <w:bCs/>
          <w:b/>
        </w:rPr>
        <w:t xml:space="preserve">Hanberry BB</w:t>
      </w:r>
      <w:r>
        <w:rPr>
          <w:bCs/>
          <w:b/>
        </w:rPr>
        <w:t xml:space="preserve">,</w:t>
      </w:r>
      <w:r>
        <w:rPr>
          <w:bCs/>
          <w:b/>
        </w:rPr>
        <w:t xml:space="preserve"> </w:t>
      </w:r>
      <w:r>
        <w:rPr>
          <w:bCs/>
          <w:b/>
          <w:bCs/>
          <w:b/>
        </w:rPr>
        <w:t xml:space="preserve">Bragg DC</w:t>
      </w:r>
      <w:r>
        <w:rPr>
          <w:bCs/>
          <w:b/>
        </w:rPr>
        <w:t xml:space="preserve">,</w:t>
      </w:r>
      <w:r>
        <w:rPr>
          <w:bCs/>
          <w:b/>
        </w:rPr>
        <w:t xml:space="preserve"> </w:t>
      </w:r>
      <w:r>
        <w:rPr>
          <w:bCs/>
          <w:b/>
          <w:bCs/>
          <w:b/>
        </w:rPr>
        <w:t xml:space="preserve">Alexander HD</w:t>
      </w:r>
      <w:r>
        <w:t xml:space="preserve">.</w:t>
      </w:r>
      <w:r>
        <w:t xml:space="preserve"> </w:t>
      </w:r>
      <w:r>
        <w:rPr>
          <w:bCs/>
          <w:b/>
        </w:rPr>
        <w:t xml:space="preserve">2020</w:t>
      </w:r>
      <w:r>
        <w:t xml:space="preserve">. Open forest ecosystems:</w:t>
      </w:r>
      <w:r>
        <w:t xml:space="preserve"> </w:t>
      </w:r>
      <w:r>
        <w:t xml:space="preserve">An</w:t>
      </w:r>
      <w:r>
        <w:t xml:space="preserve"> </w:t>
      </w:r>
      <w:r>
        <w:t xml:space="preserve">excluded state.</w:t>
      </w:r>
      <w:r>
        <w:t xml:space="preserve"> </w:t>
      </w:r>
      <w:r>
        <w:rPr>
          <w:iCs/>
          <w:i/>
        </w:rPr>
        <w:t xml:space="preserve">Forest Ecology and Management</w:t>
      </w:r>
      <w:r>
        <w:t xml:space="preserve"> </w:t>
      </w:r>
      <w:r>
        <w:rPr>
          <w:bCs/>
          <w:b/>
        </w:rPr>
        <w:t xml:space="preserve">472</w:t>
      </w:r>
      <w:r>
        <w:t xml:space="preserve">: 118256.</w:t>
      </w:r>
    </w:p>
    <w:bookmarkEnd w:id="39"/>
    <w:bookmarkStart w:id="40"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40"/>
    <w:bookmarkStart w:id="41" w:name="ref-koikeCanopyStructureTropical1993"/>
    <w:p>
      <w:pPr>
        <w:pStyle w:val="Bibliography"/>
      </w:pPr>
      <w:r>
        <w:rPr>
          <w:bCs/>
          <w:b/>
          <w:bCs/>
          <w:b/>
        </w:rPr>
        <w:t xml:space="preserve">Koike F</w:t>
      </w:r>
      <w:r>
        <w:rPr>
          <w:bCs/>
          <w:b/>
        </w:rPr>
        <w:t xml:space="preserve">,</w:t>
      </w:r>
      <w:r>
        <w:rPr>
          <w:bCs/>
          <w:b/>
        </w:rPr>
        <w:t xml:space="preserve"> </w:t>
      </w:r>
      <w:r>
        <w:rPr>
          <w:bCs/>
          <w:b/>
          <w:bCs/>
          <w:b/>
        </w:rPr>
        <w:t xml:space="preserve">Syahbuddin</w:t>
      </w:r>
      <w:r>
        <w:t xml:space="preserve">.</w:t>
      </w:r>
      <w:r>
        <w:t xml:space="preserve"> </w:t>
      </w:r>
      <w:r>
        <w:rPr>
          <w:bCs/>
          <w:b/>
        </w:rPr>
        <w:t xml:space="preserve">1993</w:t>
      </w:r>
      <w:r>
        <w:t xml:space="preserve">. Canopy</w:t>
      </w:r>
      <w:r>
        <w:t xml:space="preserve"> </w:t>
      </w:r>
      <w:r>
        <w:t xml:space="preserve">Structure</w:t>
      </w:r>
      <w:r>
        <w:t xml:space="preserve"> </w:t>
      </w:r>
      <w:r>
        <w:t xml:space="preserve">of a</w:t>
      </w:r>
      <w:r>
        <w:t xml:space="preserve"> </w:t>
      </w:r>
      <w:r>
        <w:t xml:space="preserve">Tropical Rain Forest</w:t>
      </w:r>
      <w:r>
        <w:t xml:space="preserve"> </w:t>
      </w:r>
      <w:r>
        <w:t xml:space="preserve">and the</w:t>
      </w:r>
      <w:r>
        <w:t xml:space="preserve"> </w:t>
      </w:r>
      <w:r>
        <w:t xml:space="preserve">Nature</w:t>
      </w:r>
      <w:r>
        <w:t xml:space="preserve"> </w:t>
      </w:r>
      <w:r>
        <w:t xml:space="preserve">of an</w:t>
      </w:r>
      <w:r>
        <w:t xml:space="preserve"> </w:t>
      </w:r>
      <w:r>
        <w:t xml:space="preserve">Unstratified Upper Layer</w:t>
      </w:r>
      <w:r>
        <w:t xml:space="preserve">.</w:t>
      </w:r>
      <w:r>
        <w:t xml:space="preserve"> </w:t>
      </w:r>
      <w:r>
        <w:rPr>
          <w:iCs/>
          <w:i/>
        </w:rPr>
        <w:t xml:space="preserve">Functional Ecology</w:t>
      </w:r>
      <w:r>
        <w:t xml:space="preserve"> </w:t>
      </w:r>
      <w:r>
        <w:rPr>
          <w:bCs/>
          <w:b/>
        </w:rPr>
        <w:t xml:space="preserve">7</w:t>
      </w:r>
      <w:r>
        <w:t xml:space="preserve">: 230–235.</w:t>
      </w:r>
    </w:p>
    <w:bookmarkEnd w:id="41"/>
    <w:bookmarkStart w:id="42" w:name="ref-lawLeafAreaDistribution2001"/>
    <w:p>
      <w:pPr>
        <w:pStyle w:val="Bibliography"/>
      </w:pPr>
      <w:r>
        <w:rPr>
          <w:bCs/>
          <w:b/>
          <w:bCs/>
          <w:b/>
        </w:rPr>
        <w:t xml:space="preserve">Law BE</w:t>
      </w:r>
      <w:r>
        <w:rPr>
          <w:bCs/>
          <w:b/>
        </w:rPr>
        <w:t xml:space="preserve">,</w:t>
      </w:r>
      <w:r>
        <w:rPr>
          <w:bCs/>
          <w:b/>
        </w:rPr>
        <w:t xml:space="preserve"> </w:t>
      </w:r>
      <w:r>
        <w:rPr>
          <w:bCs/>
          <w:b/>
          <w:bCs/>
          <w:b/>
        </w:rPr>
        <w:t xml:space="preserve">Cescatti A</w:t>
      </w:r>
      <w:r>
        <w:rPr>
          <w:bCs/>
          <w:b/>
        </w:rPr>
        <w:t xml:space="preserve">,</w:t>
      </w:r>
      <w:r>
        <w:rPr>
          <w:bCs/>
          <w:b/>
        </w:rPr>
        <w:t xml:space="preserve"> </w:t>
      </w:r>
      <w:r>
        <w:rPr>
          <w:bCs/>
          <w:b/>
          <w:bCs/>
          <w:b/>
        </w:rPr>
        <w:t xml:space="preserve">Baldocchi DD</w:t>
      </w:r>
      <w:r>
        <w:t xml:space="preserve">.</w:t>
      </w:r>
      <w:r>
        <w:t xml:space="preserve"> </w:t>
      </w:r>
      <w:r>
        <w:rPr>
          <w:bCs/>
          <w:b/>
        </w:rPr>
        <w:t xml:space="preserve">2001</w:t>
      </w:r>
      <w:r>
        <w:t xml:space="preserve">. Leaf area distribution and radiative transfer in open-canopy forests: Implications for mass and energy exchange.</w:t>
      </w:r>
      <w:r>
        <w:t xml:space="preserve"> </w:t>
      </w:r>
      <w:r>
        <w:rPr>
          <w:iCs/>
          <w:i/>
        </w:rPr>
        <w:t xml:space="preserve">Tree Physiology</w:t>
      </w:r>
      <w:r>
        <w:t xml:space="preserve"> </w:t>
      </w:r>
      <w:r>
        <w:rPr>
          <w:bCs/>
          <w:b/>
        </w:rPr>
        <w:t xml:space="preserve">21</w:t>
      </w:r>
      <w:r>
        <w:t xml:space="preserve">: 777–787.</w:t>
      </w:r>
    </w:p>
    <w:bookmarkEnd w:id="42"/>
    <w:bookmarkStart w:id="43"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3"/>
    <w:bookmarkStart w:id="4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4"/>
    <w:bookmarkStart w:id="45"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45"/>
    <w:bookmarkStart w:id="46" w:name="ref-parkerVerticalProfileCanopy1989"/>
    <w:p>
      <w:pPr>
        <w:pStyle w:val="Bibliography"/>
      </w:pPr>
      <w:r>
        <w:rPr>
          <w:bCs/>
          <w:b/>
          <w:bCs/>
          <w:b/>
        </w:rPr>
        <w:t xml:space="preserve">Parker GG</w:t>
      </w:r>
      <w:r>
        <w:rPr>
          <w:bCs/>
          <w:b/>
        </w:rPr>
        <w:t xml:space="preserve">,</w:t>
      </w:r>
      <w:r>
        <w:rPr>
          <w:bCs/>
          <w:b/>
        </w:rPr>
        <w:t xml:space="preserve"> </w:t>
      </w:r>
      <w:r>
        <w:rPr>
          <w:bCs/>
          <w:b/>
          <w:bCs/>
          <w:b/>
        </w:rPr>
        <w:t xml:space="preserve">O’Neill JP</w:t>
      </w:r>
      <w:r>
        <w:rPr>
          <w:bCs/>
          <w:b/>
        </w:rPr>
        <w:t xml:space="preserve">,</w:t>
      </w:r>
      <w:r>
        <w:rPr>
          <w:bCs/>
          <w:b/>
        </w:rPr>
        <w:t xml:space="preserve"> </w:t>
      </w:r>
      <w:r>
        <w:rPr>
          <w:bCs/>
          <w:b/>
          <w:bCs/>
          <w:b/>
        </w:rPr>
        <w:t xml:space="preserve">work(s): DHR</w:t>
      </w:r>
      <w:r>
        <w:t xml:space="preserve">.</w:t>
      </w:r>
      <w:r>
        <w:t xml:space="preserve"> </w:t>
      </w:r>
      <w:r>
        <w:rPr>
          <w:bCs/>
          <w:b/>
        </w:rPr>
        <w:t xml:space="preserve">1989</w:t>
      </w:r>
      <w:r>
        <w:t xml:space="preserve">. Vertical</w:t>
      </w:r>
      <w:r>
        <w:t xml:space="preserve"> </w:t>
      </w:r>
      <w:r>
        <w:t xml:space="preserve">Profile</w:t>
      </w:r>
      <w:r>
        <w:t xml:space="preserve"> </w:t>
      </w:r>
      <w:r>
        <w:t xml:space="preserve">and</w:t>
      </w:r>
      <w:r>
        <w:t xml:space="preserve"> </w:t>
      </w:r>
      <w:r>
        <w:t xml:space="preserve">Canopy Organization</w:t>
      </w:r>
      <w:r>
        <w:t xml:space="preserve"> </w:t>
      </w:r>
      <w:r>
        <w:t xml:space="preserve">in a</w:t>
      </w:r>
      <w:r>
        <w:t xml:space="preserve"> </w:t>
      </w:r>
      <w:r>
        <w:t xml:space="preserve">Mixed Deciduous Forest</w:t>
      </w:r>
      <w:r>
        <w:t xml:space="preserve">.</w:t>
      </w:r>
      <w:r>
        <w:t xml:space="preserve"> </w:t>
      </w:r>
      <w:r>
        <w:rPr>
          <w:iCs/>
          <w:i/>
        </w:rPr>
        <w:t xml:space="preserve">Vegetatio</w:t>
      </w:r>
      <w:r>
        <w:t xml:space="preserve"> </w:t>
      </w:r>
      <w:r>
        <w:rPr>
          <w:bCs/>
          <w:b/>
        </w:rPr>
        <w:t xml:space="preserve">85</w:t>
      </w:r>
      <w:r>
        <w:t xml:space="preserve">: 1–11.</w:t>
      </w:r>
    </w:p>
    <w:bookmarkEnd w:id="46"/>
    <w:bookmarkStart w:id="47"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47"/>
    <w:bookmarkStart w:id="48"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48"/>
    <w:bookmarkStart w:id="49"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49"/>
    <w:bookmarkStart w:id="50"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0"/>
    <w:bookmarkStart w:id="51"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1"/>
    <w:bookmarkStart w:id="52" w:name="ref-terborghVerticalComponentPlant1985"/>
    <w:p>
      <w:pPr>
        <w:pStyle w:val="Bibliography"/>
      </w:pPr>
      <w:r>
        <w:rPr>
          <w:bCs/>
          <w:b/>
          <w:bCs/>
          <w:b/>
        </w:rPr>
        <w:t xml:space="preserve">Terborgh J</w:t>
      </w:r>
      <w:r>
        <w:t xml:space="preserve">.</w:t>
      </w:r>
      <w:r>
        <w:t xml:space="preserve"> </w:t>
      </w:r>
      <w:r>
        <w:rPr>
          <w:bCs/>
          <w:b/>
        </w:rPr>
        <w:t xml:space="preserve">1985</w:t>
      </w:r>
      <w:r>
        <w:t xml:space="preserve">. The</w:t>
      </w:r>
      <w:r>
        <w:t xml:space="preserve"> </w:t>
      </w:r>
      <w:r>
        <w:t xml:space="preserve">Vertical Component</w:t>
      </w:r>
      <w:r>
        <w:t xml:space="preserve"> </w:t>
      </w:r>
      <w:r>
        <w:t xml:space="preserve">of</w:t>
      </w:r>
      <w:r>
        <w:t xml:space="preserve"> </w:t>
      </w:r>
      <w:r>
        <w:t xml:space="preserve">Plant Species Diversity</w:t>
      </w:r>
      <w:r>
        <w:t xml:space="preserve"> </w:t>
      </w:r>
      <w:r>
        <w:t xml:space="preserve">in</w:t>
      </w:r>
      <w:r>
        <w:t xml:space="preserve"> </w:t>
      </w:r>
      <w:r>
        <w:t xml:space="preserve">Temperate</w:t>
      </w:r>
      <w:r>
        <w:t xml:space="preserve"> </w:t>
      </w:r>
      <w:r>
        <w:t xml:space="preserve">and</w:t>
      </w:r>
      <w:r>
        <w:t xml:space="preserve"> </w:t>
      </w:r>
      <w:r>
        <w:t xml:space="preserve">Tropical Forests</w:t>
      </w:r>
      <w:r>
        <w:t xml:space="preserve">.</w:t>
      </w:r>
      <w:r>
        <w:t xml:space="preserve"> </w:t>
      </w:r>
      <w:r>
        <w:rPr>
          <w:iCs/>
          <w:i/>
        </w:rPr>
        <w:t xml:space="preserve">The American Naturalist</w:t>
      </w:r>
      <w:r>
        <w:t xml:space="preserve"> </w:t>
      </w:r>
      <w:r>
        <w:rPr>
          <w:bCs/>
          <w:b/>
        </w:rPr>
        <w:t xml:space="preserve">126</w:t>
      </w:r>
      <w:r>
        <w:t xml:space="preserve">: 760–776.</w:t>
      </w:r>
    </w:p>
    <w:bookmarkEnd w:id="52"/>
    <w:bookmarkStart w:id="53"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2022-03-27T15:31:59Z</dcterms:created>
  <dcterms:modified xsi:type="dcterms:W3CDTF">2022-03-27T15:31:59Z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