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p>
      <w:pPr>
        <w:pStyle w:val="FirstParagraph"/>
      </w:pPr>
      <w:r>
        <w:rPr>
          <w:bCs/>
          <w:b/>
        </w:rPr>
        <w:t xml:space="preserve">Title:</w:t>
      </w:r>
      <w:r>
        <w:t xml:space="preserve"> </w:t>
      </w:r>
      <w:r>
        <w:t xml:space="preserve">Thermal sensitivity across forest vertical profiles: patterns, mechanisms, and ecological implications</w:t>
      </w:r>
    </w:p>
    <w:p>
      <w:pPr>
        <w:pStyle w:val="BodyText"/>
      </w:pPr>
      <w:r>
        <w:rPr>
          <w:bCs/>
          <w:b/>
        </w:rPr>
        <w:t xml:space="preserve">Authors:</w:t>
      </w:r>
      <w:r>
        <w:t xml:space="preserve"> </w:t>
      </w:r>
      <w:r>
        <w:t xml:space="preserve">Nidhi Vinod</w:t>
      </w:r>
      <w:r>
        <w:rPr>
          <w:vertAlign w:val="superscript"/>
        </w:rPr>
        <w:t xml:space="preserve">1</w:t>
      </w:r>
      <w:r>
        <w:t xml:space="preserve">,</w:t>
      </w:r>
      <w:r>
        <w:t xml:space="preserve"> </w:t>
      </w:r>
      <w:r>
        <w:t xml:space="preserve">Martijn Slot</w:t>
      </w:r>
      <w:r>
        <w:rPr>
          <w:vertAlign w:val="superscript"/>
        </w:rPr>
        <w:t xml:space="preserve">2</w:t>
      </w:r>
      <w:r>
        <w:t xml:space="preserve">,</w:t>
      </w:r>
      <w:r>
        <w:t xml:space="preserve"> </w:t>
      </w:r>
      <w:r>
        <w:t xml:space="preserve">Ian McGregor</w:t>
      </w:r>
      <w:r>
        <w:rPr>
          <w:vertAlign w:val="superscript"/>
        </w:rPr>
        <w:t xml:space="preserve">3</w:t>
      </w:r>
      <w:r>
        <w:t xml:space="preserve">,</w:t>
      </w:r>
      <w:r>
        <w:t xml:space="preserve"> </w:t>
      </w:r>
      <w:r>
        <w:t xml:space="preserve">Elsa M. Ordway</w:t>
      </w:r>
      <w:r>
        <w:rPr>
          <w:vertAlign w:val="superscript"/>
        </w:rPr>
        <w:t xml:space="preserve">4</w:t>
      </w:r>
      <w:r>
        <w:t xml:space="preserve">,</w:t>
      </w:r>
      <w:r>
        <w:t xml:space="preserve"> </w:t>
      </w:r>
      <w:r>
        <w:t xml:space="preserve">Marielle N. Smith</w:t>
      </w:r>
      <w:r>
        <w:rPr>
          <w:vertAlign w:val="superscript"/>
        </w:rPr>
        <w:t xml:space="preserve">5</w:t>
      </w:r>
      <w:r>
        <w:t xml:space="preserve">,</w:t>
      </w:r>
      <w:r>
        <w:t xml:space="preserve"> </w:t>
      </w:r>
      <w:r>
        <w:t xml:space="preserve">Tyeen Taylor,</w:t>
      </w:r>
      <w:r>
        <w:t xml:space="preserve"> </w:t>
      </w:r>
      <w:r>
        <w:t xml:space="preserve">Lawren Sack,</w:t>
      </w:r>
      <w:r>
        <w:t xml:space="preserve"> </w:t>
      </w:r>
      <w:r>
        <w:t xml:space="preserve">Kristina J. Anderson-Teixeira</w:t>
      </w:r>
      <w:r>
        <w:rPr>
          <w:vertAlign w:val="superscript"/>
        </w:rPr>
        <w:t xml:space="preserve">1,2</w:t>
      </w:r>
      <w:r>
        <w:t xml:space="preserve">*</w:t>
      </w:r>
    </w:p>
    <w:p>
      <w:r>
        <w:br w:type="page"/>
      </w:r>
    </w:p>
    <w:p>
      <w:pPr>
        <w:pStyle w:val="BodyText"/>
      </w:pPr>
      <w:r>
        <w:t xml:space="preserve">S1 Note:</w:t>
      </w:r>
    </w:p>
    <w:p>
      <w:pPr>
        <w:pStyle w:val="BodyText"/>
      </w:pPr>
      <w:r>
        <w:t xml:space="preserve">It is noteworthy that 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measured using sensors that integrate across both leaves and woody vegetation (e.g., infrared sensors for</w:t>
      </w:r>
      <w:r>
        <w:t xml:space="preserve"> </w:t>
      </w:r>
      <m:oMath>
        <m:sSub>
          <m:e>
            <m:r>
              <m:t>T</m:t>
            </m:r>
          </m:e>
          <m:sub>
            <m:r>
              <m:t>v</m:t>
            </m:r>
            <m:r>
              <m:t>e</m:t>
            </m:r>
            <m:r>
              <m:t>g</m:t>
            </m:r>
          </m:sub>
        </m:sSub>
      </m:oMath>
      <w:r>
        <w:t xml:space="preserve"> </w:t>
      </w:r>
      <w:r>
        <w:t xml:space="preserve">at NEON sites, Fig. 2h) does not always equal</w:t>
      </w:r>
      <w:r>
        <w:t xml:space="preserve"> </w:t>
      </w:r>
      <m:oMath>
        <m:sSub>
          <m:e>
            <m:r>
              <m:t>T</m:t>
            </m:r>
          </m:e>
          <m:sub>
            <m:r>
              <m:t>l</m:t>
            </m:r>
            <m:r>
              <m:t>e</m:t>
            </m:r>
            <m:r>
              <m:t>a</m:t>
            </m:r>
            <m:r>
              <m:t>f</m:t>
            </m:r>
          </m:sub>
        </m:sSub>
      </m:oMath>
      <w:r>
        <w:t xml:space="preserve">, particularly in settings where leaf area is low relative to woody vegetation (</w:t>
      </w:r>
      <w:r>
        <w:rPr>
          <w:iCs/>
          <w:i/>
        </w:rPr>
        <w:t xml:space="preserve">i.e.</w:t>
      </w:r>
      <w:r>
        <w:t xml:space="preserve">, low-LAI ecosystems and understories).</w:t>
      </w:r>
      <w:r>
        <w:t xml:space="preserve"> </w:t>
      </w:r>
      <w:r>
        <w:t xml:space="preserve">Recent advances in</w:t>
      </w:r>
      <w:r>
        <w:t xml:space="preserve"> </w:t>
      </w:r>
      <m:oMath>
        <m:sSub>
          <m:e>
            <m:r>
              <m:t>T</m:t>
            </m:r>
          </m:e>
          <m:sub>
            <m:r>
              <m:t>l</m:t>
            </m:r>
            <m:r>
              <m:t>e</m:t>
            </m:r>
            <m:r>
              <m:t>a</m:t>
            </m:r>
            <m:r>
              <m:t>f</m:t>
            </m:r>
          </m:sub>
        </m:sSub>
      </m:oMath>
      <w:r>
        <w:t xml:space="preserve"> </w:t>
      </w:r>
      <w:r>
        <w:t xml:space="preserve">modeling (see</w:t>
      </w:r>
      <w:r>
        <w:t xml:space="preserve"> </w:t>
      </w:r>
      <w:r>
        <w:t xml:space="preserve">“</w:t>
      </w:r>
      <w:r>
        <w:t xml:space="preserve">Scaling across Space and Time</w:t>
      </w:r>
      <w:r>
        <w:t xml:space="preserve">”</w:t>
      </w:r>
      <w:r>
        <w:t xml:space="preserve">) will enhance our understanding of large scale</w:t>
      </w:r>
      <w:r>
        <w:t xml:space="preserve"> </w:t>
      </w:r>
      <m:oMath>
        <m:sSub>
          <m:e>
            <m:r>
              <m:t>T</m:t>
            </m:r>
          </m:e>
          <m:sub>
            <m:r>
              <m:t>l</m:t>
            </m:r>
            <m:r>
              <m:t>e</m:t>
            </m:r>
            <m:r>
              <m:t>a</m:t>
            </m:r>
            <m:r>
              <m:t>f</m:t>
            </m:r>
          </m:sub>
        </m:sSub>
      </m:oMath>
      <w:r>
        <w:t xml:space="preserve"> </w:t>
      </w:r>
      <w:r>
        <w:t xml:space="preserve">vertical patterns</w:t>
      </w:r>
      <w:r>
        <w:t xml:space="preserve"> </w:t>
      </w:r>
      <w:r>
        <w:t xml:space="preserve">(Still</w:t>
      </w:r>
      <w:r>
        <w:t xml:space="preserve"> </w:t>
      </w:r>
      <w:r>
        <w:rPr>
          <w:iCs/>
          <w:i/>
        </w:rPr>
        <w:t xml:space="preserve">et al.</w:t>
      </w:r>
      <w:r>
        <w:t xml:space="preserve">, 2021; Maclean &amp; Klinges, 2021)</w:t>
      </w:r>
    </w:p>
    <w:bookmarkStart w:id="23" w:name="X15519aea17eeceebad46ab9a4e1fb5be972e659"/>
    <w:p>
      <w:pPr>
        <w:pStyle w:val="Heading1"/>
      </w:pPr>
      <w:r>
        <w:t xml:space="preserve">Methods S1. Methods for analyzing vertical gradients in the biophysical environment</w:t>
      </w:r>
    </w:p>
    <w:p>
      <w:pPr>
        <w:pStyle w:val="FirstParagraph"/>
      </w:pPr>
      <w:r>
        <w:rPr>
          <w:iCs/>
          <w:i/>
        </w:rPr>
        <w:t xml:space="preserve">be sure to cite</w:t>
      </w:r>
      <w:r>
        <w:rPr>
          <w:iCs/>
          <w:i/>
        </w:rPr>
        <w:t xml:space="preserve"> </w:t>
      </w:r>
      <w:r>
        <w:rPr>
          <w:iCs/>
          <w:i/>
        </w:rPr>
        <w:t xml:space="preserve">Schimel</w:t>
      </w:r>
      <w:r>
        <w:rPr>
          <w:iCs/>
          <w:i/>
        </w:rPr>
        <w:t xml:space="preserve"> </w:t>
      </w:r>
      <w:r>
        <w:rPr>
          <w:iCs/>
          <w:i/>
          <w:iCs/>
          <w:i/>
        </w:rPr>
        <w:t xml:space="preserve">et al.</w:t>
      </w:r>
      <w:r>
        <w:rPr>
          <w:iCs/>
          <w:i/>
        </w:rPr>
        <w:t xml:space="preserve"> </w:t>
      </w:r>
      <w:r>
        <w:rPr>
          <w:iCs/>
          <w:i/>
        </w:rPr>
        <w:t xml:space="preserve">(2007)</w:t>
      </w:r>
      <w:r>
        <w:rPr>
          <w:iCs/>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720"/>
        <w:gridCol w:w="1728"/>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geographic coordinates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44.063889, -71.287375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deciduous broadleaf forest</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65.15401,&lt;a0&gt;-147.50258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boreal mixed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33.40123,&lt;a0&gt;-97.57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63.88112,&lt;a0&gt;-145.75136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32.541727,&lt;a0&gt;-87.803877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35.68896,&lt;a0&gt;-83.50195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 -66.8687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 -72.17266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northern hardwood and coniferous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 -84.46861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 -88.16122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 -80.52484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 -84.2826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29.689282, -81.993431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longleaf pine savanna</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Pu&lt;d4&gt;u Maka&lt;d4&gt;ala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 -155.31731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tropical montane broadleaf evergreen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38.892925, -78.139494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38.890131, -76.560014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 -119.73228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 -119.26219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 -89.58637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 -87.39327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 -119.00602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 -89.58571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 -95.19215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46.23391,&lt;a0&gt;-89.537254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45.8090043, -121.9823059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temperate conifer forest</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 -110.53914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bl>
    <w:p>
      <w:r>
        <w:br w:type="page"/>
      </w:r>
    </w:p>
    <w:bookmarkEnd w:id="29"/>
    <w:bookmarkStart w:id="30" w:name="table-s2.-tealeaves-parameters"/>
    <w:p>
      <w:pPr>
        <w:pStyle w:val="Heading1"/>
      </w:pPr>
      <w:r>
        <w:t xml:space="preserve">Table S2. (Tealeaves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3"/>
        <w:gridCol w:w="1971"/>
        <w:gridCol w:w="2681"/>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 position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mean of July daily maximum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r>
    </w:tbl>
    <w:p>
      <w:r>
        <w:br w:type="page"/>
      </w:r>
    </w:p>
    <w:bookmarkEnd w:id="30"/>
    <w:bookmarkStart w:id="4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39" w:name="references"/>
    <w:p>
      <w:pPr>
        <w:pStyle w:val="Heading2"/>
      </w:pPr>
      <w:r>
        <w:t xml:space="preserve">References</w:t>
      </w:r>
    </w:p>
    <w:bookmarkStart w:id="38" w:name="refs"/>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X100803c3698c24d8f47d72d6048009e4b7089ab"/>
    <w:p>
      <w:pPr>
        <w:pStyle w:val="Bibliography"/>
      </w:pPr>
      <w:r>
        <w:rPr>
          <w:bCs/>
          <w:b/>
          <w:bCs/>
          <w:b/>
        </w:rPr>
        <w:t xml:space="preserve">Maclean IMD</w:t>
      </w:r>
      <w:r>
        <w:rPr>
          <w:bCs/>
          <w:b/>
        </w:rPr>
        <w:t xml:space="preserve">,</w:t>
      </w:r>
      <w:r>
        <w:rPr>
          <w:bCs/>
          <w:b/>
        </w:rPr>
        <w:t xml:space="preserve"> </w:t>
      </w:r>
      <w:r>
        <w:rPr>
          <w:bCs/>
          <w:b/>
          <w:bCs/>
          <w:b/>
        </w:rPr>
        <w:t xml:space="preserve">Klinges DH</w:t>
      </w:r>
      <w:r>
        <w:t xml:space="preserve">.</w:t>
      </w:r>
      <w:r>
        <w:t xml:space="preserve"> </w:t>
      </w:r>
      <w:r>
        <w:rPr>
          <w:bCs/>
          <w:b/>
        </w:rPr>
        <w:t xml:space="preserve">2021</w:t>
      </w:r>
      <w:r>
        <w:t xml:space="preserve">. Microclimc:</w:t>
      </w:r>
      <w:r>
        <w:t xml:space="preserve"> </w:t>
      </w:r>
      <w:r>
        <w:t xml:space="preserve">A</w:t>
      </w:r>
      <w:r>
        <w:t xml:space="preserve"> </w:t>
      </w:r>
      <w:r>
        <w:t xml:space="preserve">mechanistic model of above, below and within-canopy microclimate.</w:t>
      </w:r>
      <w:r>
        <w:t xml:space="preserve"> </w:t>
      </w:r>
      <w:r>
        <w:rPr>
          <w:iCs/>
          <w:i/>
        </w:rPr>
        <w:t xml:space="preserve">Ecological Modelling</w:t>
      </w:r>
      <w:r>
        <w:t xml:space="preserve"> </w:t>
      </w:r>
      <w:r>
        <w:rPr>
          <w:bCs/>
          <w:b/>
        </w:rPr>
        <w:t xml:space="preserve">451</w:t>
      </w:r>
      <w:r>
        <w:t xml:space="preserve">: 109567.</w:t>
      </w:r>
    </w:p>
    <w:bookmarkEnd w:id="33"/>
    <w:bookmarkStart w:id="3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4"/>
    <w:bookmarkStart w:id="35"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5"/>
    <w:bookmarkStart w:id="36"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6"/>
    <w:bookmarkStart w:id="37"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dcterms:created xsi:type="dcterms:W3CDTF">2021-09-03T14:49:09Z</dcterms:created>
  <dcterms:modified xsi:type="dcterms:W3CDTF">2021-09-03T14:49:09Z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