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p>
      <w:pPr>
        <w:pStyle w:val="BodyText"/>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52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deciduous broadleaf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boreal mixed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northern hardwood and coniferous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longleaf pine savanna</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tropical montane broadleaf evergreen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temperate conifer forest</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bl>
    <w:p>
      <w:r>
        <w:br w:type="page"/>
      </w:r>
    </w:p>
    <w:bookmarkEnd w:id="29"/>
    <w:bookmarkStart w:id="30" w:name="table-s2.-tealeaves-parameters"/>
    <w:p>
      <w:pPr>
        <w:pStyle w:val="Heading1"/>
      </w:pPr>
      <w:r>
        <w:t xml:space="preserve">Table S2. (Tealeaves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3"/>
        <w:gridCol w:w="1971"/>
        <w:gridCol w:w="2681"/>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 position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mean of July daily maximum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r>
    </w:tbl>
    <w:p>
      <w:r>
        <w:br w:type="page"/>
      </w:r>
    </w:p>
    <w:bookmarkEnd w:id="30"/>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9" w:name="references"/>
    <w:p>
      <w:pPr>
        <w:pStyle w:val="Heading2"/>
      </w:pPr>
      <w:r>
        <w:t xml:space="preserve">References</w:t>
      </w:r>
    </w:p>
    <w:bookmarkStart w:id="38"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5"/>
    <w:bookmarkStart w:id="36"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2021-09-03T14:59:40Z</dcterms:created>
  <dcterms:modified xsi:type="dcterms:W3CDTF">2021-09-03T14:59:40Z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