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Thermal sensitivity across forest vertical profiles: patterns, mechanisms, and ecological implications</w:t>
      </w:r>
    </w:p>
    <w:p>
      <w:pPr>
        <w:pStyle w:val="BodyText"/>
      </w:pPr>
      <w:r>
        <w:rPr>
          <w:bCs/>
          <w:b/>
        </w:rPr>
        <w:t xml:space="preserve">Authors: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Elsa M. Ordway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Marielle N. Smith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Tyeen Taylor,</w:t>
      </w:r>
      <w:r>
        <w:t xml:space="preserve"> </w:t>
      </w:r>
      <w:r>
        <w:t xml:space="preserve">Lawren Sack,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r>
        <w:br w:type="page"/>
      </w:r>
    </w:p>
    <w:bookmarkStart w:id="22" w:name="X260e002c230bee23ea00891c92b45587b05b7b2"/>
    <w:p>
      <w:pPr>
        <w:pStyle w:val="Heading1"/>
      </w:pPr>
      <w:r>
        <w:t xml:space="preserve">Appendix S1. Methods for NEON vertical profiles</w:t>
      </w:r>
    </w:p>
    <w:p>
      <w:pPr>
        <w:pStyle w:val="FirstParagraph"/>
      </w:pPr>
      <w:r>
        <w:t xml:space="preserve">S1 Note:</w:t>
      </w:r>
    </w:p>
    <w:p>
      <w:pPr>
        <w:pStyle w:val="BodyText"/>
      </w:pPr>
      <w:r>
        <w:t xml:space="preserve">It is noteworthy that leaf and branch temperatures often differ substantially. For instance, exposed tropical tree bark can be much warmer than leaves</w:t>
      </w:r>
      <w:r>
        <w:t xml:space="preserve"> </w:t>
      </w:r>
      <w:r>
        <w:t xml:space="preserve">(Pau</w:t>
      </w:r>
      <w:r>
        <w:t xml:space="preserve"> </w:t>
      </w:r>
      <w:r>
        <w:rPr>
          <w:iCs/>
          <w:i/>
        </w:rPr>
        <w:t xml:space="preserve">et al.</w:t>
      </w:r>
      <w:r>
        <w:t xml:space="preserve">, 2018; Johnston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Still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Thus, vegetation temperature (</w:t>
      </w:r>
      <m:oMath>
        <m:sSub>
          <m:e>
            <m:r>
              <m:t>T</m:t>
            </m:r>
          </m:e>
          <m:sub>
            <m:r>
              <m:t>v</m:t>
            </m:r>
            <m:r>
              <m:t>e</m:t>
            </m:r>
            <m:r>
              <m:t>g</m:t>
            </m:r>
          </m:sub>
        </m:sSub>
      </m:oMath>
      <w:r>
        <w:t xml:space="preserve">) measured using sensors that integrate across both leaves and woody vegetation (e.g., infrared sensors for</w:t>
      </w:r>
      <w:r>
        <w:t xml:space="preserve"> </w:t>
      </w:r>
      <m:oMath>
        <m:sSub>
          <m:e>
            <m:r>
              <m:t>T</m:t>
            </m:r>
          </m:e>
          <m:sub>
            <m:r>
              <m:t>v</m:t>
            </m:r>
            <m:r>
              <m:t>e</m:t>
            </m:r>
            <m:r>
              <m:t>g</m:t>
            </m:r>
          </m:sub>
        </m:sSub>
      </m:oMath>
      <w:r>
        <w:t xml:space="preserve"> </w:t>
      </w:r>
      <w:r>
        <w:t xml:space="preserve">at NEON sites, Fig. 2h) does not always equal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, particularly in settings where leaf area is low relative to woody vegetation (</w:t>
      </w:r>
      <w:r>
        <w:rPr>
          <w:iCs/>
          <w:i/>
        </w:rPr>
        <w:t xml:space="preserve">i.e.</w:t>
      </w:r>
      <w:r>
        <w:t xml:space="preserve">, low-LAI ecosystems and understories).</w:t>
      </w:r>
      <w:r>
        <w:t xml:space="preserve"> </w:t>
      </w:r>
      <w:r>
        <w:t xml:space="preserve">Recent advances in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 </w:t>
      </w:r>
      <w:r>
        <w:t xml:space="preserve">modeling (see</w:t>
      </w:r>
      <w:r>
        <w:t xml:space="preserve"> </w:t>
      </w:r>
      <w:r>
        <w:t xml:space="preserve">“</w:t>
      </w:r>
      <w:r>
        <w:t xml:space="preserve">Scaling across Space and Time</w:t>
      </w:r>
      <w:r>
        <w:t xml:space="preserve">”</w:t>
      </w:r>
      <w:r>
        <w:t xml:space="preserve">) will enhance our understanding of large scale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 </w:t>
      </w:r>
      <w:r>
        <w:t xml:space="preserve">vertical patterns</w:t>
      </w:r>
      <w:r>
        <w:t xml:space="preserve"> </w:t>
      </w:r>
      <w:r>
        <w:t xml:space="preserve">(Still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Maclean &amp; Klinges, 2021)</w:t>
      </w:r>
    </w:p>
    <w:p>
      <w:pPr>
        <w:pStyle w:val="BodyText"/>
      </w:pPr>
      <w:r>
        <w:t xml:space="preserve">METHODS ON NEON ANALYSIS GO HERE.</w:t>
      </w:r>
    </w:p>
    <w:p>
      <w:pPr>
        <w:pStyle w:val="BodyText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Issue 2</w:t>
        </w:r>
      </w:hyperlink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issue 20</w:t>
        </w:r>
      </w:hyperlink>
    </w:p>
    <w:p>
      <w:r>
        <w:br w:type="page"/>
      </w:r>
    </w:p>
    <w:bookmarkEnd w:id="22"/>
    <w:bookmarkStart w:id="23" w:name="Xa7c37e88eea33e2be91922182aa22173979a9f9"/>
    <w:p>
      <w:pPr>
        <w:pStyle w:val="Heading1"/>
      </w:pPr>
      <w:r>
        <w:t xml:space="preserve">Appendix S2. Methods for leaf energy balance modeling</w:t>
      </w:r>
    </w:p>
    <w:p>
      <w:pPr>
        <w:pStyle w:val="FirstParagraph"/>
      </w:pPr>
      <w:r>
        <w:t xml:space="preserve">Energy balance for a typical overstory sun leaf and understory shade leaf were modeled in the R package</w:t>
      </w:r>
      <w:r>
        <w:t xml:space="preserve"> </w:t>
      </w:r>
      <w:r>
        <w:rPr>
          <w:iCs/>
          <w:i/>
        </w:rPr>
        <w:t xml:space="preserve">Tleaves</w:t>
      </w:r>
      <w:r>
        <w:t xml:space="preserve"> </w:t>
      </w:r>
      <w:r>
        <w:t xml:space="preserve">(Muir, 2019)</w:t>
      </w:r>
      <w:r>
        <w:t xml:space="preserve">, parameterized for</w:t>
      </w:r>
      <w:r>
        <w:t xml:space="preserve"> </w:t>
      </w:r>
      <w:r>
        <w:rPr>
          <w:iCs/>
          <w:i/>
        </w:rPr>
        <w:t xml:space="preserve">Quercus rubra</w:t>
      </w:r>
      <w:r>
        <w:t xml:space="preserve"> </w:t>
      </w:r>
      <w:r>
        <w:t xml:space="preserve">L. leaves at Harvard Forest, MA, USA (**GEOGRAPHIC COORDINATES).</w:t>
      </w:r>
      <w:r>
        <w:t xml:space="preserve"> </w:t>
      </w:r>
      <w:r>
        <w:t xml:space="preserve">Parameters are presented in Table S1.</w:t>
      </w:r>
    </w:p>
    <w:p>
      <w:pPr>
        <w:pStyle w:val="BodyText"/>
      </w:pPr>
      <w:r>
        <w:rPr>
          <w:iCs/>
          <w:i/>
        </w:rPr>
        <w:t xml:space="preserve">Describe where you came up with all the parameters:</w:t>
      </w:r>
    </w:p>
    <w:p>
      <w:pPr>
        <w:numPr>
          <w:ilvl w:val="0"/>
          <w:numId w:val="1001"/>
        </w:numPr>
        <w:pStyle w:val="Compact"/>
      </w:pPr>
      <w:r>
        <w:t xml:space="preserve">micromet from NEON (explain exactly what you used)</w:t>
      </w:r>
    </w:p>
    <w:p>
      <w:pPr>
        <w:numPr>
          <w:ilvl w:val="0"/>
          <w:numId w:val="1001"/>
        </w:numPr>
        <w:pStyle w:val="Compact"/>
      </w:pPr>
      <w:r>
        <w:t xml:space="preserve">leaf characteristic dimension, was measured on</w:t>
      </w:r>
      <w:r>
        <w:t xml:space="preserve"> </w:t>
      </w:r>
      <w:r>
        <w:rPr>
          <w:iCs/>
          <w:i/>
        </w:rPr>
        <w:t xml:space="preserve">Quercus rubra</w:t>
      </w:r>
      <w:r>
        <w:t xml:space="preserve"> </w:t>
      </w:r>
      <w:r>
        <w:t xml:space="preserve">sun and shade leaf,</w:t>
      </w:r>
    </w:p>
    <w:p>
      <w:pPr>
        <w:numPr>
          <w:ilvl w:val="0"/>
          <w:numId w:val="1001"/>
        </w:numPr>
        <w:pStyle w:val="Compact"/>
      </w:pPr>
      <w:r>
        <w:t xml:space="preserve">stomatal conductance measurements were referred from Tleaves typical sun and shade measurements</w:t>
      </w:r>
      <w:r>
        <w:t xml:space="preserve"> </w:t>
      </w:r>
      <w:r>
        <w:t xml:space="preserve">(Muir, 2019)</w:t>
      </w:r>
    </w:p>
    <w:p>
      <w:pPr>
        <w:numPr>
          <w:ilvl w:val="0"/>
          <w:numId w:val="1001"/>
        </w:numPr>
        <w:pStyle w:val="Compact"/>
      </w:pPr>
    </w:p>
    <w:p>
      <w:pPr>
        <w:pStyle w:val="FirstParagraph"/>
      </w:pPr>
      <w:r>
        <w:t xml:space="preserve">For drought scenario, biophysical variables were parameterized similar to normal scenario using Harvard NEON data. Overstory drought PAR values reflect maximum observed Harvard NEON PAR and understory drought reflect 50% increased PAR of understory normal value. Leaf trait measurements for leaf width is the same as normal scenario, stomatal conductance is kept constant at a minimum value of 0.01 umol/m^2/s/Pa for both positions. In each visual, all variables are constant (Biophysical Constants table) except for the independent variable that represents minimum - maximum range.</w:t>
      </w:r>
    </w:p>
    <w:p>
      <w:r>
        <w:br w:type="page"/>
      </w:r>
    </w:p>
    <w:bookmarkEnd w:id="23"/>
    <w:bookmarkStart w:id="25" w:name="table-s1.-tealeaves-parameters"/>
    <w:p>
      <w:pPr>
        <w:pStyle w:val="Heading1"/>
      </w:pPr>
      <w:r>
        <w:t xml:space="preserve">Table S1. Tealeaves parameters</w:t>
      </w:r>
    </w:p>
    <w:p>
      <w:pPr>
        <w:pStyle w:val="FirstParagraph"/>
      </w:pPr>
      <w:r>
        <w:t xml:space="preserve">Make a table from this:</w:t>
      </w:r>
      <w:r>
        <w:t xml:space="preserve"> </w:t>
      </w:r>
      <w:hyperlink r:id="rId24">
        <w:r>
          <w:rPr>
            <w:rStyle w:val="Hyperlink"/>
          </w:rPr>
          <w:t xml:space="preserve">https://github.com/EcoClimLab/vertical-thermal-review/blob/master/NEON_height_profiles/HARV_neon_stats.csv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verticalPosition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month_num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max_mean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min_mean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max_sd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min_sd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norm_height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month_char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var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96.83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RHMean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90.81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RHMean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26.20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189.70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196.60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132.86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677.82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367.77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1,723.45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8.48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372.42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1,741.65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368.16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1,738.48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378.96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8.87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SWIR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868.40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-3.89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184.67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July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SWIR</w:t>
            </w:r>
          </w:p>
        </w:tc>
      </w:tr>
    </w:tbl>
    <w:p>
      <w:r>
        <w:br w:type="page"/>
      </w:r>
    </w:p>
    <w:bookmarkEnd w:id="25"/>
    <w:bookmarkStart w:id="35" w:name="Xffc62d20bb585bb07718940744d2dd55a3eca0b"/>
    <w:p>
      <w:pPr>
        <w:pStyle w:val="Heading1"/>
      </w:pPr>
      <w:r>
        <w:t xml:space="preserve">Figure S1. Vertical gradients in micrometeorological conditions for all forested sites in the National Ecological Observatory Network (NEON)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S1. Vertical gradients in micrometeorological conditions for all forested sites in the National Ecological Observatory Network (NEON). Shown are height profiles in July mean ± 1 standard deviation for maximum photosyntehtically active ratiation (PAR), maximum wind speed, minimum humidity, maximum T_{air}, and maximum biological temperature, T_{bio}. Sites are grouped into the following categories: (A) (sub)subtropical and warm temperate broadleaf: …, (B) temperate open/ savanna forests: …, (C) temperate mesic broadleaf forests: …, (D) temperate conifer forests: …, (E) northern and boreal forests: … Issue #35." title="" id="1" name="Picture"/>
            <a:graphic>
              <a:graphicData uri="http://schemas.openxmlformats.org/drawingml/2006/picture">
                <pic:pic>
                  <pic:nvPicPr>
                    <pic:cNvPr descr="NEON_height_profiles/figures/profile_all_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S1. Vertical gradients in micrometeorological conditions for all forested sites in the National Ecological Observatory Network (NEON)</w:t>
      </w:r>
      <w:r>
        <w:t xml:space="preserve">. Shown are height profiles in July mean ± 1 standard deviation for maximum photosyntehtically active ratiation (PAR), maximum wind speed, minimum humidity, maximum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, and maximum biological temperature,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  <m:r>
              <m:t>i</m:t>
            </m:r>
            <m:r>
              <m:t>o</m:t>
            </m:r>
          </m:sub>
        </m:sSub>
      </m:oMath>
      <w:r>
        <w:t xml:space="preserve">. Sites are grouped into the following categories: (A) (sub)subtropical and warm temperate broadleaf: …, (B) temperate open/ savanna forests: …, (C) temperate mesic broadleaf forests: …, (D) temperate conifer forests: …, (E) northern and boreal forests: …</w:t>
      </w:r>
      <w:r>
        <w:t xml:space="preserve"> </w:t>
      </w:r>
      <w:hyperlink r:id="rId27">
        <w:r>
          <w:rPr>
            <w:rStyle w:val="Hyperlink"/>
          </w:rPr>
          <w:t xml:space="preserve">Issue #35</w:t>
        </w:r>
      </w:hyperlink>
      <w:r>
        <w:t xml:space="preserve">.</w:t>
      </w:r>
    </w:p>
    <w:p>
      <w:r>
        <w:br w:type="page"/>
      </w:r>
    </w:p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28" w:name="ref-johnstonWhatLiesVertical2020"/>
    <w:p>
      <w:pPr>
        <w:pStyle w:val="Bibliography"/>
      </w:pPr>
      <w:r>
        <w:rPr>
          <w:bCs/>
          <w:b/>
          <w:bCs/>
          <w:b/>
        </w:rPr>
        <w:t xml:space="preserve">Johnston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Andreu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Verfaillie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Moorcroft PR</w:t>
      </w:r>
      <w:r>
        <w:t xml:space="preserve">.</w:t>
      </w:r>
      <w:r>
        <w:t xml:space="preserve"> </w:t>
      </w:r>
      <w:r>
        <w:rPr>
          <w:bCs/>
          <w:b/>
        </w:rPr>
        <w:t xml:space="preserve">2020</w:t>
      </w:r>
      <w:r>
        <w:t xml:space="preserve">. What</w:t>
      </w:r>
      <w:r>
        <w:t xml:space="preserve"> </w:t>
      </w:r>
      <w:r>
        <w:t xml:space="preserve">Lies Beneath</w:t>
      </w:r>
      <w:r>
        <w:t xml:space="preserve">:</w:t>
      </w:r>
      <w:r>
        <w:t xml:space="preserve"> </w:t>
      </w:r>
      <w:r>
        <w:t xml:space="preserve">Vertical 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Vegetation Canopy Temperatures</w:t>
      </w:r>
      <w:r>
        <w:t xml:space="preserve">.</w:t>
      </w:r>
      <w:r>
        <w:t xml:space="preserve"> </w:t>
      </w:r>
      <w:r>
        <w:rPr>
          <w:bCs/>
          <w:b/>
        </w:rPr>
        <w:t xml:space="preserve">2020</w:t>
      </w:r>
      <w:r>
        <w:t xml:space="preserve">: B088–03.</w:t>
      </w:r>
    </w:p>
    <w:bookmarkEnd w:id="28"/>
    <w:bookmarkStart w:id="29" w:name="X100803c3698c24d8f47d72d6048009e4b7089ab"/>
    <w:p>
      <w:pPr>
        <w:pStyle w:val="Bibliography"/>
      </w:pPr>
      <w:r>
        <w:rPr>
          <w:bCs/>
          <w:b/>
          <w:bCs/>
          <w:b/>
        </w:rPr>
        <w:t xml:space="preserve">Maclean IMD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Klinges DH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Microclimc:</w:t>
      </w:r>
      <w:r>
        <w:t xml:space="preserve"> </w:t>
      </w:r>
      <w:r>
        <w:t xml:space="preserve">A</w:t>
      </w:r>
      <w:r>
        <w:t xml:space="preserve"> </w:t>
      </w:r>
      <w:r>
        <w:t xml:space="preserve">mechanistic model of above, below and within-canopy microclimate.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rPr>
          <w:bCs/>
          <w:b/>
        </w:rPr>
        <w:t xml:space="preserve">451</w:t>
      </w:r>
      <w:r>
        <w:t xml:space="preserve">: 109567.</w:t>
      </w:r>
    </w:p>
    <w:bookmarkEnd w:id="29"/>
    <w:bookmarkStart w:id="30" w:name="ref-muir_tealeaves_2019"/>
    <w:p>
      <w:pPr>
        <w:pStyle w:val="Bibliography"/>
      </w:pPr>
      <w:r>
        <w:rPr>
          <w:bCs/>
          <w:b/>
          <w:bCs/>
          <w:b/>
        </w:rPr>
        <w:t xml:space="preserve">Muir CD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 Tealeaves: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modelling leaf temperature using energy budgets.</w:t>
      </w:r>
      <w:r>
        <w:t xml:space="preserve"> </w:t>
      </w:r>
      <w:r>
        <w:rPr>
          <w:iCs/>
          <w:i/>
        </w:rPr>
        <w:t xml:space="preserve">AoB PLANTS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bookmarkEnd w:id="30"/>
    <w:bookmarkStart w:id="31" w:name="ref-pauTropicalForestTemperature2018"/>
    <w:p>
      <w:pPr>
        <w:pStyle w:val="Bibliography"/>
      </w:pPr>
      <w:r>
        <w:rPr>
          <w:bCs/>
          <w:b/>
          <w:bCs/>
          <w:b/>
        </w:rPr>
        <w:t xml:space="preserve">Pau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Detto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Still CJ</w:t>
      </w:r>
      <w:r>
        <w:t xml:space="preserve">.</w:t>
      </w:r>
      <w:r>
        <w:t xml:space="preserve"> </w:t>
      </w:r>
      <w:r>
        <w:rPr>
          <w:bCs/>
          <w:b/>
        </w:rPr>
        <w:t xml:space="preserve">2018</w:t>
      </w:r>
      <w:r>
        <w:t xml:space="preserve">. Tropical forest temperature thresholds for gross primary productivity.</w:t>
      </w:r>
      <w:r>
        <w:t xml:space="preserve"> </w:t>
      </w:r>
      <w:r>
        <w:rPr>
          <w:iCs/>
          <w:i/>
        </w:rPr>
        <w:t xml:space="preserve">Ecosphere</w:t>
      </w:r>
      <w:r>
        <w:t xml:space="preserve"> </w:t>
      </w:r>
      <w:r>
        <w:rPr>
          <w:bCs/>
          <w:b/>
        </w:rPr>
        <w:t xml:space="preserve">9</w:t>
      </w:r>
      <w:r>
        <w:t xml:space="preserve">: e02311.</w:t>
      </w:r>
    </w:p>
    <w:bookmarkEnd w:id="31"/>
    <w:bookmarkStart w:id="32" w:name="ref-stillImagingCanopyTemperature2021"/>
    <w:p>
      <w:pPr>
        <w:pStyle w:val="Bibliography"/>
      </w:pPr>
      <w:r>
        <w:rPr>
          <w:bCs/>
          <w:b/>
          <w:bCs/>
          <w:b/>
        </w:rPr>
        <w:t xml:space="preserve">Still CJ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Rastogi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Page GFM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Griffith DM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Sibley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Schulze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Hawkins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Pau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Detto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Helliker BR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Imaging canopy temperature: Shedding (thermal) light on ecosystem processes.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230</w:t>
      </w:r>
      <w:r>
        <w:t xml:space="preserve">: 1746–1753.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3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2021-09-01T15:11:03Z</dcterms:created>
  <dcterms:modified xsi:type="dcterms:W3CDTF">2021-09-01T15:11:03Z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Zotero_references.bib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