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“Manipula” Brush (Latin). series, chipboard, levkas, acrylic, tempera, 2020.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Pollex 36x29, Index 38x28, Medius 40x35, Annularis 38x29, Minimus 40x21.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The depicted human heads have the names of the fingers and symbolize the union into one acting force, the hand.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70A8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0IAPoo7fIgMP830cXdkkXmA8Yw==">AMUW2mWXVXEoinkld003Cgn9DOUIe95jkuCVZfzPW+94DZ7wp/VmNJcUObCDJEmMVAGDzRvm4zJGo69VtJ6eVIXenqpa4lxv0bac5peXqNygDDGXcT1T07M=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2020-09-30T11:26:00Z</dcterms:created>
  <dc:creator>Pavlo</dc:creator>
</cp:coreProperties>
</file>