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44l7vtqo2t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Índice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Prólogo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 colapso del sistema fiduciario y la necesidad de una transición civilizatoria.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 nacimiento del proyecto al calor de la Feria Conuquera Agroecológica.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 propósito de este libro: Un manual para la soberanía integral.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hb0eskxc679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I: Filosofía Conuquera y el Modelo de Vida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1: El Horizonte del Conuco y la Agroecología.</w:t>
      </w:r>
      <w:r w:rsidDel="00000000" w:rsidR="00000000" w:rsidRPr="00000000">
        <w:rPr>
          <w:color w:val="1f1f1f"/>
          <w:rtl w:val="0"/>
        </w:rPr>
        <w:t xml:space="preserve"> La tierra como escuela comunitaria y la agroecología como ciencia, práctica y movimiento social.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2: Rescate de los Saberes Ancestrales.</w:t>
      </w:r>
      <w:r w:rsidDel="00000000" w:rsidR="00000000" w:rsidRPr="00000000">
        <w:rPr>
          <w:color w:val="1f1f1f"/>
          <w:rtl w:val="0"/>
        </w:rPr>
        <w:t xml:space="preserve"> El uso de bahareque, la cocción en ollas de barro, la medicina natural y el diálogo intergeneracional.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3: El Sueño del "Campo Soberano".</w:t>
      </w:r>
      <w:r w:rsidDel="00000000" w:rsidR="00000000" w:rsidRPr="00000000">
        <w:rPr>
          <w:color w:val="1f1f1f"/>
          <w:rtl w:val="0"/>
        </w:rPr>
        <w:t xml:space="preserve"> Qué es una ecoaldea, los 4 pilares fundamentales (permacultura, bioconstrucción, energías limpias y economía solidaria) y el diseño de ciclo cerrado.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4: Diversidad e Inclusión Universal.</w:t>
      </w:r>
      <w:r w:rsidDel="00000000" w:rsidR="00000000" w:rsidRPr="00000000">
        <w:rPr>
          <w:color w:val="1f1f1f"/>
          <w:rtl w:val="0"/>
        </w:rPr>
        <w:t xml:space="preserve"> Cómo el sistema permite la integración de cooperativas, conucos aislados, familias y personas que no viven en ecoaldeas, respetando su propia cultura.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f4fw5avihhl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II: La Única Regla Inquebrantable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5: El Cambio de Paradigma Monetario.</w:t>
      </w:r>
      <w:r w:rsidDel="00000000" w:rsidR="00000000" w:rsidRPr="00000000">
        <w:rPr>
          <w:color w:val="1f1f1f"/>
          <w:rtl w:val="0"/>
        </w:rPr>
        <w:t xml:space="preserve"> Por qué el TQ no es riqueza acumulable, sino una métrica contable (una cinta métrica) para medir reciprocidad.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6: La Termodinámica del Valor (1 TQ = 1 kWh).</w:t>
      </w:r>
      <w:r w:rsidDel="00000000" w:rsidR="00000000" w:rsidRPr="00000000">
        <w:rPr>
          <w:color w:val="1f1f1f"/>
          <w:rtl w:val="0"/>
        </w:rPr>
        <w:t xml:space="preserve"> El anclaje de la moneda a la energía física real humana y de sustento (3.6 megajoules), eliminando la creación de dinero de la nada.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7: La Prohibición Cambiaria.</w:t>
      </w:r>
      <w:r w:rsidDel="00000000" w:rsidR="00000000" w:rsidRPr="00000000">
        <w:rPr>
          <w:color w:val="1f1f1f"/>
          <w:rtl w:val="0"/>
        </w:rPr>
        <w:t xml:space="preserve"> La regla estricta que impide intercambiar TQ directamente por dinero fiat o criptomonedas para evitar la especulación, y cómo extraer o introducir valor mediante bienes tangibles.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fh5v7wjbenc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III: Economía de Saldo Cero y Protección contra la Desigualdad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8: Los 5 Pilares del Sistema de Moneda Cero.</w:t>
      </w:r>
      <w:r w:rsidDel="00000000" w:rsidR="00000000" w:rsidRPr="00000000">
        <w:rPr>
          <w:color w:val="1f1f1f"/>
          <w:rtl w:val="0"/>
        </w:rPr>
        <w:t xml:space="preserve"> El punto de partida sin capital previo, el crédito mutuo dinámico, los límites de amortiguación, el techo contra la acumulación y el respaldo energético.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9: El Límite Simétrico.</w:t>
      </w:r>
      <w:r w:rsidDel="00000000" w:rsidR="00000000" w:rsidRPr="00000000">
        <w:rPr>
          <w:color w:val="1f1f1f"/>
          <w:rtl w:val="0"/>
        </w:rPr>
        <w:t xml:space="preserve"> Explicación profunda del piso negativo (-500 TQ) como red de seguridad y el techo positivo (+500 TQ) como mecanismo anti-acaparamiento.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10: Confianza Progresiva y Organizaciones.</w:t>
      </w:r>
      <w:r w:rsidDel="00000000" w:rsidR="00000000" w:rsidRPr="00000000">
        <w:rPr>
          <w:color w:val="1f1f1f"/>
          <w:rtl w:val="0"/>
        </w:rPr>
        <w:t xml:space="preserve"> Cómo los límites pueden escalar (1,000 TQ, 5,000 TQ) por decisión de asamblea y cómo funcionan las organizaciones de múltiples firmas dentro de la economía.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11: El Catálogo Energético.</w:t>
      </w:r>
      <w:r w:rsidDel="00000000" w:rsidR="00000000" w:rsidRPr="00000000">
        <w:rPr>
          <w:color w:val="1f1f1f"/>
          <w:rtl w:val="0"/>
        </w:rPr>
        <w:t xml:space="preserve"> Cómo se calculan los precios objetivos utilizando bases de datos científicas internacionales (ICE Database, Ecoinvent) y la energía embebida en lugar de la especulación.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jd1o0aupw26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IV: Gobernanza Soberana (Sugerencias Adaptables)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12: Autonomía Total de las Ecoaldeas.</w:t>
      </w:r>
      <w:r w:rsidDel="00000000" w:rsidR="00000000" w:rsidRPr="00000000">
        <w:rPr>
          <w:color w:val="1f1f1f"/>
          <w:rtl w:val="0"/>
        </w:rPr>
        <w:t xml:space="preserve"> El principio de que las normas internas, la cultura y la estructura de gobierno son 100% configurables por cada nodo para evitar la fragmentación de la red.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13: La Ley de la Aldea y la Asamblea.</w:t>
      </w:r>
      <w:r w:rsidDel="00000000" w:rsidR="00000000" w:rsidRPr="00000000">
        <w:rPr>
          <w:color w:val="1f1f1f"/>
          <w:rtl w:val="0"/>
        </w:rPr>
        <w:t xml:space="preserve"> Herramientas digitales para gestionar admisiones, deberes, reglas de convivencia, prohibiciones, y sistemas de votación (sociocracia y consenso).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14: Tenencia de la Tierra.</w:t>
      </w:r>
      <w:r w:rsidDel="00000000" w:rsidR="00000000" w:rsidRPr="00000000">
        <w:rPr>
          <w:color w:val="1f1f1f"/>
          <w:rtl w:val="0"/>
        </w:rPr>
        <w:t xml:space="preserve"> Modelos sugeridos como el fideicomiso comunitario indivisible, el derecho de usufructo y la prohibición de venta comercial de la tierra.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15: Impuestos y el Fondo Comunitario.</w:t>
      </w:r>
      <w:r w:rsidDel="00000000" w:rsidR="00000000" w:rsidRPr="00000000">
        <w:rPr>
          <w:color w:val="1f1f1f"/>
          <w:rtl w:val="0"/>
        </w:rPr>
        <w:t xml:space="preserve"> El uso del fondo público, tasas impositivas para organizaciones y la administración de servicios comunes.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9qq4erubndw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V: Infraestructura y Soberanía Tecnológica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16: Arquitectura de la Red Federada.</w:t>
      </w:r>
      <w:r w:rsidDel="00000000" w:rsidR="00000000" w:rsidRPr="00000000">
        <w:rPr>
          <w:color w:val="1f1f1f"/>
          <w:rtl w:val="0"/>
        </w:rPr>
        <w:t xml:space="preserve"> Cómo los nodos independientes se conectan de forma descentralizada mediante mTLS, protocolo Gossip y bases de datos compartidas (YugabyteDB).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17: Hardware Soberano y Terminales NFC.</w:t>
      </w:r>
      <w:r w:rsidDel="00000000" w:rsidR="00000000" w:rsidRPr="00000000">
        <w:rPr>
          <w:color w:val="1f1f1f"/>
          <w:rtl w:val="0"/>
        </w:rPr>
        <w:t xml:space="preserve"> El diseño de los terminales de pago con ESP32 (Keypad, Web, Touch), autenticación criptográfica Ed25519 y tarjetas inteligentes para transacciones físicas.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18: Seguridad y Soberanía Digital.</w:t>
      </w:r>
      <w:r w:rsidDel="00000000" w:rsidR="00000000" w:rsidRPr="00000000">
        <w:rPr>
          <w:color w:val="1f1f1f"/>
          <w:rtl w:val="0"/>
        </w:rPr>
        <w:t xml:space="preserve"> Redes Mesh sin depender del internet global, claves efímeras y privacidad de los miembros de la red.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lypfg5l3w96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VI: El Ecosistema Global y la Transición Civilizatoria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19: El Comercio Intercomunitario (Cross-Node).</w:t>
      </w:r>
      <w:r w:rsidDel="00000000" w:rsidR="00000000" w:rsidRPr="00000000">
        <w:rPr>
          <w:color w:val="1f1f1f"/>
          <w:rtl w:val="0"/>
        </w:rPr>
        <w:t xml:space="preserve"> Cómo las comunidades negocian entre sí aplicando límites globales del nodo, límites bilaterales y piscinas separadas de deuda.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20: Soberanía del Territorio y Federación de Productos.</w:t>
      </w:r>
      <w:r w:rsidDel="00000000" w:rsidR="00000000" w:rsidRPr="00000000">
        <w:rPr>
          <w:color w:val="1f1f1f"/>
          <w:rtl w:val="0"/>
        </w:rPr>
        <w:t xml:space="preserve"> El protocolo estricto donde cada comunidad debe aprobar los productos foráneos antes de que puedan ser vendidos en su mercado local.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21: El Puente de Comercio Externo (DEX).</w:t>
      </w:r>
      <w:r w:rsidDel="00000000" w:rsidR="00000000" w:rsidRPr="00000000">
        <w:rPr>
          <w:color w:val="1f1f1f"/>
          <w:rtl w:val="0"/>
        </w:rPr>
        <w:t xml:space="preserve"> El uso del Factor de Conversión (FC) basado en la canasta básica para comerciar con el mercado tradicional fiat (dólares, euros, pesos) por extrema necesidad.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22: El Futuro: Autonomía Progresiva.</w:t>
      </w:r>
      <w:r w:rsidDel="00000000" w:rsidR="00000000" w:rsidRPr="00000000">
        <w:rPr>
          <w:color w:val="1f1f1f"/>
          <w:rtl w:val="0"/>
        </w:rPr>
        <w:t xml:space="preserve"> Estrategias pragmáticas para cerrar la "escotilla" de dependencia externa a medida que la Federación crece en territorio y capacidad productiva.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¿Qué te parece este esquema? Es la estructura de un libro de gran formato. Si estás de acuerdo con el índice, o si quieres mover, quitar o agregar un capítulo, dímelo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empezaremos de inmediato a desarrollar a profundidad la Introducción y el Capítulo 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