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PARTE III: Economía de Saldo Cero y Protección contra la Desigualdad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Capítulo 10: Confianza Progresiva y Organizaciones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Una crítica frecuente al sistema de trueque con saldo cero es suponer que unos límites tan estrictos (como los 500 TQ iniciales) asfixiarían la capacidad de comercio o impedirían el crecimiento natural de proyectos más grandes, como la compra de un tractor o la instalación de un taller. Sin embargo, el Límite Simétrico no es una celda rígida y universal; es un mecanismo vivo, un peldaño de inicio que se expande orgánicamente en paralelo al grado de confianza, trabajo y aporte real que el miembro demuestra a la comunidad.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Crecimiento de las Cuentas de Personas Naturales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Es un error conceptual grave afirmar que el tope máximo para un conuquero individual es de 1,000 TQ. La realidad técnica y de gobernanza establece un sistema de </w:t>
      </w:r>
      <w:r w:rsidDel="00000000" w:rsidR="00000000" w:rsidRPr="00000000">
        <w:rPr>
          <w:rFonts w:ascii="Arial" w:cs="Arial" w:eastAsia="Arial" w:hAnsi="Arial"/>
          <w:b w:val="1"/>
          <w:bCs w:val="1"/>
          <w:rtl w:val="0"/>
        </w:rPr>
        <w:t xml:space="preserve">confianza progresiva sin techo predefinido por software</w:t>
      </w:r>
      <w:r w:rsidDel="00000000" w:rsidR="00000000" w:rsidRPr="00000000">
        <w:rPr>
          <w:rFonts w:ascii="Arial" w:cs="Arial" w:eastAsia="Arial" w:hAnsi="Arial"/>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Primer Escalón (Límite Inicial de Protección):</w:t>
      </w:r>
      <w:r w:rsidDel="00000000" w:rsidR="00000000" w:rsidRPr="00000000">
        <w:rPr>
          <w:rFonts w:ascii="Arial" w:cs="Arial" w:eastAsia="Arial" w:hAnsi="Arial"/>
          <w:rtl w:val="0"/>
        </w:rPr>
        <w:t xml:space="preserve"> -500 TQ / +500 TQ. Exclusivo para nuevos miembros; garantiza una canasta básica familiar por un mes y protege a la red de un endeudamiento precoz de personas que no se integren.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Segundo Escalón (Límite de Integración):</w:t>
      </w:r>
      <w:r w:rsidDel="00000000" w:rsidR="00000000" w:rsidRPr="00000000">
        <w:rPr>
          <w:rFonts w:ascii="Arial" w:cs="Arial" w:eastAsia="Arial" w:hAnsi="Arial"/>
          <w:rtl w:val="0"/>
        </w:rPr>
        <w:t xml:space="preserve"> -1,000 TQ / +1,000 TQ. Se alcanza cuando el miembro demuestra ser activo y retributivo (asiste a las cayapas, produce y cumple).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Escalones Avanzados (Sin Límite Máximo):</w:t>
      </w:r>
      <w:r w:rsidDel="00000000" w:rsidR="00000000" w:rsidRPr="00000000">
        <w:rPr>
          <w:rFonts w:ascii="Arial" w:cs="Arial" w:eastAsia="Arial" w:hAnsi="Arial"/>
          <w:rtl w:val="0"/>
        </w:rPr>
        <w:t xml:space="preserve"> A medida que un miembro se vuelve crucial para la soberanía de la ecoaldea (por ejemplo, si adquiere maquinaria para arar las tierras de todos), la </w:t>
      </w:r>
      <w:r w:rsidDel="00000000" w:rsidR="00000000" w:rsidRPr="00000000">
        <w:rPr>
          <w:rFonts w:ascii="Arial" w:cs="Arial" w:eastAsia="Arial" w:hAnsi="Arial"/>
          <w:b w:val="1"/>
          <w:bCs w:val="1"/>
          <w:rtl w:val="0"/>
        </w:rPr>
        <w:t xml:space="preserve">Asamblea General</w:t>
      </w:r>
      <w:r w:rsidDel="00000000" w:rsidR="00000000" w:rsidRPr="00000000">
        <w:rPr>
          <w:rFonts w:ascii="Arial" w:cs="Arial" w:eastAsia="Arial" w:hAnsi="Arial"/>
          <w:rtl w:val="0"/>
        </w:rPr>
        <w:t xml:space="preserve"> evalúa su trayectoria de manera formal y vota elevar sus límites a montos sustancialmente superiores (ej. 2,000 o 5,000 TQ). La única regla es que </w:t>
      </w:r>
      <w:r w:rsidDel="00000000" w:rsidR="00000000" w:rsidRPr="00000000">
        <w:rPr>
          <w:rFonts w:ascii="Arial" w:cs="Arial" w:eastAsia="Arial" w:hAnsi="Arial"/>
          <w:b w:val="1"/>
          <w:bCs w:val="1"/>
          <w:rtl w:val="0"/>
        </w:rPr>
        <w:t xml:space="preserve">siempre debe mantenerse la simetría</w:t>
      </w:r>
      <w:r w:rsidDel="00000000" w:rsidR="00000000" w:rsidRPr="00000000">
        <w:rPr>
          <w:rFonts w:ascii="Arial" w:cs="Arial" w:eastAsia="Arial" w:hAnsi="Arial"/>
          <w:rtl w:val="0"/>
        </w:rPr>
        <w:t xml:space="preserve"> entre su límite negativo y positivo para garantizar reciprocidad.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Las Organizaciones (Cuentas Multi-firma y Unipersonales)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sistema permite el registro de </w:t>
      </w:r>
      <w:r w:rsidDel="00000000" w:rsidR="00000000" w:rsidRPr="00000000">
        <w:rPr>
          <w:rFonts w:ascii="Arial" w:cs="Arial" w:eastAsia="Arial" w:hAnsi="Arial"/>
          <w:b w:val="1"/>
          <w:bCs w:val="1"/>
          <w:rtl w:val="0"/>
        </w:rPr>
        <w:t xml:space="preserve">Organizaciones</w:t>
      </w:r>
      <w:r w:rsidDel="00000000" w:rsidR="00000000" w:rsidRPr="00000000">
        <w:rPr>
          <w:rFonts w:ascii="Arial" w:cs="Arial" w:eastAsia="Arial" w:hAnsi="Arial"/>
          <w:rtl w:val="0"/>
        </w:rPr>
        <w:t xml:space="preserve"> (cooperativas, empresas familiares, colectivos, emprendimientos artesanales). Existe un mito que sugiere que se necesitan varias personas para crear una organización como un "atajo" para obtener un límite de crédito más alto. Esto es falso.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Cualquier unidad productiva puede registrarse como organización, incluso con un mínimo de una (1) sola persona.</w:t>
      </w:r>
      <w:r w:rsidDel="00000000" w:rsidR="00000000" w:rsidRPr="00000000">
        <w:rPr>
          <w:rFonts w:ascii="Arial" w:cs="Arial" w:eastAsia="Arial" w:hAnsi="Arial"/>
          <w:rtl w:val="0"/>
        </w:rPr>
        <w:t xml:space="preserve"> Lo que define a una organización no es la cantidad de individuos, sino su estructura operativa, su transparencia y su sometimiento al sistema impositivo comunitario:</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Límites Operativos de Mayor Escala:</w:t>
      </w:r>
      <w:r w:rsidDel="00000000" w:rsidR="00000000" w:rsidRPr="00000000">
        <w:rPr>
          <w:rFonts w:ascii="Arial" w:cs="Arial" w:eastAsia="Arial" w:hAnsi="Arial"/>
          <w:rtl w:val="0"/>
        </w:rPr>
        <w:t xml:space="preserve"> Empiezan con escalones iniciales como </w:t>
      </w:r>
      <w:r w:rsidDel="00000000" w:rsidR="00000000" w:rsidRPr="00000000">
        <w:rPr>
          <w:rFonts w:ascii="Arial" w:cs="Arial" w:eastAsia="Arial" w:hAnsi="Arial"/>
          <w:b w:val="1"/>
          <w:bCs w:val="1"/>
          <w:rtl w:val="0"/>
        </w:rPr>
        <w:t xml:space="preserve">-5,000 TQ / +5,000 TQ</w:t>
      </w:r>
      <w:r w:rsidDel="00000000" w:rsidR="00000000" w:rsidRPr="00000000">
        <w:rPr>
          <w:rFonts w:ascii="Arial" w:cs="Arial" w:eastAsia="Arial" w:hAnsi="Arial"/>
          <w:rtl w:val="0"/>
        </w:rPr>
        <w:t xml:space="preserve"> para organizaciones de producción, y </w:t>
      </w:r>
      <w:r w:rsidDel="00000000" w:rsidR="00000000" w:rsidRPr="00000000">
        <w:rPr>
          <w:rFonts w:ascii="Arial" w:cs="Arial" w:eastAsia="Arial" w:hAnsi="Arial"/>
          <w:b w:val="1"/>
          <w:bCs w:val="1"/>
          <w:rtl w:val="0"/>
        </w:rPr>
        <w:t xml:space="preserve">-3,000 TQ / +3,000 TQ</w:t>
      </w:r>
      <w:r w:rsidDel="00000000" w:rsidR="00000000" w:rsidRPr="00000000">
        <w:rPr>
          <w:rFonts w:ascii="Arial" w:cs="Arial" w:eastAsia="Arial" w:hAnsi="Arial"/>
          <w:rtl w:val="0"/>
        </w:rPr>
        <w:t xml:space="preserve"> para consumo. Esto es indispensable para gestionar la adquisición de maquinaria agrícola pesada, herramientas industriales o fletes de transporte, necesidades que rebasan a un conuco pequeño.</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Obligaciones Impositivas:</w:t>
      </w:r>
      <w:r w:rsidDel="00000000" w:rsidR="00000000" w:rsidRPr="00000000">
        <w:rPr>
          <w:rFonts w:ascii="Arial" w:cs="Arial" w:eastAsia="Arial" w:hAnsi="Arial"/>
          <w:rtl w:val="0"/>
        </w:rPr>
        <w:t xml:space="preserve"> A diferencia de un nuevo usuario exento, las organizaciones están sujetas a impuestos porcentuales automatizados (por ej. un 2% por transacción) que van directamente al Fondo Comunitario para el financiamiento de asambleas, educación e infraestructura pública.</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Multi-firma para Transparencia:</w:t>
      </w:r>
      <w:r w:rsidDel="00000000" w:rsidR="00000000" w:rsidRPr="00000000">
        <w:rPr>
          <w:rFonts w:ascii="Arial" w:cs="Arial" w:eastAsia="Arial" w:hAnsi="Arial"/>
          <w:rtl w:val="0"/>
        </w:rPr>
        <w:t xml:space="preserve"> Si la organización incluye varios miembros, se configura un sistema multi-firma. Un solo directivo no puede transferir fondos; se requieren múltiples firmas criptográficas de la junta para que una transacción pase, bloqueando así cualquier intento de corrupción interna o desvío de capital.</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Escalabilidad Infinita:</w:t>
      </w:r>
      <w:r w:rsidDel="00000000" w:rsidR="00000000" w:rsidRPr="00000000">
        <w:rPr>
          <w:rFonts w:ascii="Arial" w:cs="Arial" w:eastAsia="Arial" w:hAnsi="Arial"/>
          <w:rtl w:val="0"/>
        </w:rPr>
        <w:t xml:space="preserve"> Del mismo modo que los individuos, las organizaciones que demuestren ser motores fundamentales para la economía del nodo (ej. la organización del servicio eléctrico) pueden solicitar aumentos de límite a la asamblea sin un tope predefinido de software, alcanzando límites tan altos como 100,000 TQ.</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Al utilizar el modelo de confianza progresiva, Campo Soberano blinda su estructura económica: cada crédito extendido a un miembro no es dinero impreso al azar, sino el reflejo de un historial tangible de honorabilidad y producción real demostrada ante su comunidad.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