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PARTE IV: Gobernanza Soberana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Capítulo 12: Autonomía Total de las Ecoaldeas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historia de los movimientos alternativos está llena de intentos fallidos por crear una "gran comuna global" con un solo manual de reglas. Esos intentos siempre fracasan porque el ser humano es diverso. Si exigimos que todas las comunidades tengan la misma cultura, la misma religión o los mismos métodos agrícolas, la red se fragmenta inmediatamente por diferencias ideológicas. La verdadera red se construye sobre el principio de autonomía total: la Federación une los nodos en lo económico, pero los hace soberanos en su vida interna.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 Única Regla Común vs. Soberanía Local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Como se estableció en capítulos anteriores, el </w:t>
      </w:r>
      <w:r w:rsidDel="00000000" w:rsidR="00000000" w:rsidRPr="00000000">
        <w:rPr>
          <w:rFonts w:ascii="Arial" w:cs="Arial" w:eastAsia="Arial" w:hAnsi="Arial"/>
          <w:b w:val="1"/>
          <w:bCs w:val="1"/>
          <w:rtl w:val="0"/>
        </w:rPr>
        <w:t xml:space="preserve">único hilo unificador</w:t>
      </w:r>
      <w:r w:rsidDel="00000000" w:rsidR="00000000" w:rsidRPr="00000000">
        <w:rPr>
          <w:rFonts w:ascii="Arial" w:cs="Arial" w:eastAsia="Arial" w:hAnsi="Arial"/>
          <w:rtl w:val="0"/>
        </w:rPr>
        <w:t xml:space="preserve"> que no se puede romper ni modificar en toda la Federación es la métrica del Trueque TQ (1 TQ = 1 kWh) y su anclaje termodinámico. Fuera de esta regla contable inquebrantable, </w:t>
      </w:r>
      <w:r w:rsidDel="00000000" w:rsidR="00000000" w:rsidRPr="00000000">
        <w:rPr>
          <w:rFonts w:ascii="Arial" w:cs="Arial" w:eastAsia="Arial" w:hAnsi="Arial"/>
          <w:b w:val="1"/>
          <w:bCs w:val="1"/>
          <w:rtl w:val="0"/>
        </w:rPr>
        <w:t xml:space="preserve">todo lo demás es completamente sugerido, opcional y configurable por cada nodo o ecoaldea</w:t>
      </w:r>
      <w:r w:rsidDel="00000000" w:rsidR="00000000" w:rsidRPr="00000000">
        <w:rPr>
          <w:rFonts w:ascii="Arial" w:cs="Arial" w:eastAsia="Arial" w:hAnsi="Arial"/>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Cada comunidad federada es libre de configurar su propia identidad en los siguientes aspectos estructurales: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b w:val="1"/>
          <w:bCs w:val="1"/>
          <w:rtl w:val="0"/>
        </w:rPr>
        <w:t xml:space="preserve">Cultura y Convivencia:</w:t>
      </w:r>
      <w:r w:rsidDel="00000000" w:rsidR="00000000" w:rsidRPr="00000000">
        <w:rPr>
          <w:rFonts w:ascii="Arial" w:cs="Arial" w:eastAsia="Arial" w:hAnsi="Arial"/>
          <w:rtl w:val="0"/>
        </w:rPr>
        <w:t xml:space="preserve"> Una comunidad puede ser de carácter espiritual, otra puede ser estrictamente científica; una puede ser vegana prohibiendo la carne, y otra puede criar animales para consumo local.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600" w:hanging="360"/>
      </w:pPr>
      <w:r w:rsidDel="00000000" w:rsidR="00000000" w:rsidRPr="00000000">
        <w:rPr>
          <w:rFonts w:ascii="Arial" w:cs="Arial" w:eastAsia="Arial" w:hAnsi="Arial"/>
          <w:b w:val="1"/>
          <w:bCs w:val="1"/>
          <w:rtl w:val="0"/>
        </w:rPr>
        <w:t xml:space="preserve">Modelo de Gobernanza:</w:t>
      </w:r>
      <w:r w:rsidDel="00000000" w:rsidR="00000000" w:rsidRPr="00000000">
        <w:rPr>
          <w:rFonts w:ascii="Arial" w:cs="Arial" w:eastAsia="Arial" w:hAnsi="Arial"/>
          <w:rtl w:val="0"/>
        </w:rPr>
        <w:t xml:space="preserve"> Cada nodo define cómo toma sus decisiones: asambleas horizontales de democracia directa, sociocracia con consentimiento (Sociocracia 3.0), o delegación en juntas directivas y consejos de ancianos.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b w:val="1"/>
          <w:bCs w:val="1"/>
          <w:rtl w:val="0"/>
        </w:rPr>
        <w:t xml:space="preserve">Tenencia de la Tierra:</w:t>
      </w:r>
      <w:r w:rsidDel="00000000" w:rsidR="00000000" w:rsidRPr="00000000">
        <w:rPr>
          <w:rFonts w:ascii="Arial" w:cs="Arial" w:eastAsia="Arial" w:hAnsi="Arial"/>
          <w:rtl w:val="0"/>
        </w:rPr>
        <w:t xml:space="preserve"> Pueden elegir operar bajo propiedad comunal y fideicomiso indivisible, derecho de usufructo vitalicio, cooperativas agrícolas compartidas, o incluso propiedad familiar tradicional (respetando los linderos de cada conuco).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Software Configurable: Reflejo de la Ley Local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Existe un falso mito de que el software de la plataforma Campo Soberano "impone" un modelo único de sociocracia donde todo avanza automáticamente si no hay quejas. Esto es falso. El sistema cuenta con un módulo de gobernanza que es </w:t>
      </w:r>
      <w:r w:rsidDel="00000000" w:rsidR="00000000" w:rsidRPr="00000000">
        <w:rPr>
          <w:rFonts w:ascii="Arial" w:cs="Arial" w:eastAsia="Arial" w:hAnsi="Arial"/>
          <w:b w:val="1"/>
          <w:bCs w:val="1"/>
          <w:rtl w:val="0"/>
        </w:rPr>
        <w:t xml:space="preserve">100% configurable</w:t>
      </w:r>
      <w:r w:rsidDel="00000000" w:rsidR="00000000" w:rsidRPr="00000000">
        <w:rPr>
          <w:rFonts w:ascii="Arial" w:cs="Arial" w:eastAsia="Arial" w:hAnsi="Arial"/>
          <w:rtl w:val="0"/>
        </w:rPr>
        <w:t xml:space="preserve">. La plataforma no decide cuáles son las leyes; su función es automatizar y obligar al cumplimiento técnico de las reglas que la asamblea ya ha decidido configurar.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Por ejemplo, los </w:t>
      </w:r>
      <w:r w:rsidDel="00000000" w:rsidR="00000000" w:rsidRPr="00000000">
        <w:rPr>
          <w:rFonts w:ascii="Arial" w:cs="Arial" w:eastAsia="Arial" w:hAnsi="Arial"/>
          <w:b w:val="1"/>
          <w:bCs w:val="1"/>
          <w:rtl w:val="0"/>
        </w:rPr>
        <w:t xml:space="preserve">Umbrales de Aprobación</w:t>
      </w:r>
      <w:r w:rsidDel="00000000" w:rsidR="00000000" w:rsidRPr="00000000">
        <w:rPr>
          <w:rFonts w:ascii="Arial" w:cs="Arial" w:eastAsia="Arial" w:hAnsi="Arial"/>
          <w:rtl w:val="0"/>
        </w:rPr>
        <w:t xml:space="preserve"> son definidos por la comunidad: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600" w:hanging="360"/>
      </w:pPr>
      <w:r w:rsidDel="00000000" w:rsidR="00000000" w:rsidRPr="00000000">
        <w:rPr>
          <w:rFonts w:ascii="Arial" w:cs="Arial" w:eastAsia="Arial" w:hAnsi="Arial"/>
          <w:rtl w:val="0"/>
        </w:rPr>
        <w:t xml:space="preserve">Pueden configurar un umbral bajo (ej. 10% o 50%+1) para decisiones operativas rápidas como comprar insumos o herramientas menores.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75" w:before="0" w:beforeAutospacing="0" w:line="300" w:lineRule="auto"/>
        <w:ind w:left="600" w:hanging="360"/>
      </w:pPr>
      <w:r w:rsidDel="00000000" w:rsidR="00000000" w:rsidRPr="00000000">
        <w:rPr>
          <w:rFonts w:ascii="Arial" w:cs="Arial" w:eastAsia="Arial" w:hAnsi="Arial"/>
          <w:rtl w:val="0"/>
        </w:rPr>
        <w:t xml:space="preserve">Pueden exigir un umbral alto o de consenso casi total (ej. 75% o 90%) para decisiones críticas, como admitir a un nuevo residente, expulsar a un miembro por faltas graves o cambiar los estatutos de convivencia.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Si la asamblea configuró que se necesita un 75% para cambiar una ley, el software de la plataforma bloqueará estrictamente cualquier transacción o modificación que no logre los votos firmados criptográficamente para alcanzar ese porcentaje.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Protección mediante Filtros y Libertad de Asociación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Debido a esta diversidad, cuando dos comunidades comercian (Comercio Federado), el software activa un </w:t>
      </w:r>
      <w:r w:rsidDel="00000000" w:rsidR="00000000" w:rsidRPr="00000000">
        <w:rPr>
          <w:rFonts w:ascii="Arial" w:cs="Arial" w:eastAsia="Arial" w:hAnsi="Arial"/>
          <w:b w:val="1"/>
          <w:bCs w:val="1"/>
          <w:rtl w:val="0"/>
        </w:rPr>
        <w:t xml:space="preserve">Filtro de Catálogo de Productos</w:t>
      </w:r>
      <w:r w:rsidDel="00000000" w:rsidR="00000000" w:rsidRPr="00000000">
        <w:rPr>
          <w:rFonts w:ascii="Arial" w:cs="Arial" w:eastAsia="Arial" w:hAnsi="Arial"/>
          <w:rtl w:val="0"/>
        </w:rPr>
        <w:t xml:space="preserve">. Si la Ecoaldea "A" prohíbe el uso de agrotóxicos o ciertos tipos de carne en su asamblea, el software impedirá técnicamente que cualquier visitante del Nodo "B" les venda esos productos específicos, blindando así su cultura sin entrar en conflictos.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Finalmente, el mayor garante de esta soberanía es la </w:t>
      </w:r>
      <w:r w:rsidDel="00000000" w:rsidR="00000000" w:rsidRPr="00000000">
        <w:rPr>
          <w:rFonts w:ascii="Arial" w:cs="Arial" w:eastAsia="Arial" w:hAnsi="Arial"/>
          <w:b w:val="1"/>
          <w:bCs w:val="1"/>
          <w:rtl w:val="0"/>
        </w:rPr>
        <w:t xml:space="preserve">libertad de movimiento y asociación (El voto con los pies)</w:t>
      </w:r>
      <w:r w:rsidDel="00000000" w:rsidR="00000000" w:rsidRPr="00000000">
        <w:rPr>
          <w:rFonts w:ascii="Arial" w:cs="Arial" w:eastAsia="Arial" w:hAnsi="Arial"/>
          <w:rtl w:val="0"/>
        </w:rPr>
        <w:t xml:space="preserve">. Al haber total claridad de reglas publicadas en la plataforma antes de ingresar a un nodo, si con los años un individuo cambia su filosofía y ya no está de acuerdo con las decisiones tomadas por consenso en su comunidad, no está obligado a someterse. El sistema federado le permite retirar su capital (saldando sus cuentas), mudarse a otro nodo que piense como él y seguir comerciando. La diversidad, lejos de debilitar la red, la hace inquebrantable.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