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IV: Gobernanza Soberana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13: La Ley de la Aldea y la Asamblea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la autonomía comunitaria no degenere en caos ni en tiranía de unos pocos, es imprescindible contar con reglas de convivencia públicas, explícitas y auditables desde el primer instante. En la plataforma digital de   Las ecoaldeas federadas, esta estructura normativa se denomina </w:t>
      </w:r>
      <w:r w:rsidDel="00000000" w:rsidR="00000000" w:rsidRPr="00000000">
        <w:rPr>
          <w:b w:val="1"/>
          <w:bCs w:val="1"/>
          <w:rtl w:val="0"/>
        </w:rPr>
        <w:t xml:space="preserve">La Ley de la Aldea</w:t>
      </w:r>
      <w:r w:rsidDel="00000000" w:rsidR="00000000" w:rsidRPr="00000000">
        <w:rPr>
          <w:rtl w:val="0"/>
        </w:rPr>
        <w:t xml:space="preserve"> y se articula directamente con el módulo de Gobernanza y Asambleas. Aquí la democracia no es un concepto abstracto, sino una infraestructura digital auditable y transparente que convierte los acuerdos colectivos en parámetros técnicos verificables y respetados por todos los miembros.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Ley de la Aldea: Transparencia desde el Día Cero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exige que las normas del territorio sean visibles tanto en la página pública del nodo como en el formulario dinámico de admisión. Todo aspirante debe leer y aceptar obligatoriamente este marco normativo antes de remitir su postulación, garantizando un acuerdo pleno desde el primer día. El proceso para unirse consta de tres fases (aspirante, provisional y miembro pleno), y las normas que rigen la convivencia se organizan en categorías claras: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Deberes:</w:t>
      </w:r>
      <w:r w:rsidDel="00000000" w:rsidR="00000000" w:rsidRPr="00000000">
        <w:rPr>
          <w:rtl w:val="0"/>
        </w:rPr>
        <w:t xml:space="preserve"> Obligaciones fundamentales de los miembros, tales como la asistencia a las asambleas, el aporte en jornadas de trabajo colectivo (cayapas), la preservación de semillas libres, la crianza responsable y el compromiso ineludible con la agroecología.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Permitido:</w:t>
      </w:r>
      <w:r w:rsidDel="00000000" w:rsidR="00000000" w:rsidRPr="00000000">
        <w:rPr>
          <w:rtl w:val="0"/>
        </w:rPr>
        <w:t xml:space="preserve"> Prácticas autorizadas en el territorio, como la bioconstrucción con bahareque, la instalación de baños secos, la generación energética off-grid mediante microrredes, y el intercambio a través del comercio TQ.</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Prohibido:</w:t>
      </w:r>
      <w:r w:rsidDel="00000000" w:rsidR="00000000" w:rsidRPr="00000000">
        <w:rPr>
          <w:rtl w:val="0"/>
        </w:rPr>
        <w:t xml:space="preserve"> Acciones terminantemente vetadas según la decisión de cada comunidad (por ejemplo, uso de agroquímicos, semillas transgénicas, especulación financiera, quema contaminante, usura, o venta comercial de la tierra a terceros).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Faltas y Sanciones:</w:t>
      </w:r>
      <w:r w:rsidDel="00000000" w:rsidR="00000000" w:rsidRPr="00000000">
        <w:rPr>
          <w:rtl w:val="0"/>
        </w:rPr>
        <w:t xml:space="preserve"> Clasificación gradual y estricta de las infracciones en faltas leves, graves y muy graves. Las faltas muy graves, tales como la agresión, el sabotaje técnico o el daño directo a los recursos naturales, constituyen causales directas e inmediatas de expulsión.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Democrática de Tres Niveles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prevenir la sobrecarga y el agotamiento deliberativo que suele afectar a los modelos asamblearios convencionales, la arquitectura de la red distribuye el poder de decisión en tres ámbitos diferenciados para no paralizar a la comunidad con votaciones irrelevantes: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Asamblea General del Nodo:</w:t>
      </w:r>
      <w:r w:rsidDel="00000000" w:rsidR="00000000" w:rsidRPr="00000000">
        <w:rPr>
          <w:rtl w:val="0"/>
        </w:rPr>
        <w:t xml:space="preserve"> Es el órgano máximo de decisión. Reúne a todos los miembros plenos y resuelve exclusivamente sobre materias estructurales y de largo plazo, tales como la admisión y expulsión de integrantes, reformas impositivas, modificaciones de tarifas energéticas y los lineamientos de configuración para la federación exterior. Es importante recalcar que la asamblea general del nodo nunca transfiere fondos de forma directa a individuos; sus distribuciones financieras se destinan únicamente a las cuentas de organizaciones y departamentos.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Asambleas de Organización:</w:t>
      </w:r>
      <w:r w:rsidDel="00000000" w:rsidR="00000000" w:rsidRPr="00000000">
        <w:rPr>
          <w:rtl w:val="0"/>
        </w:rPr>
        <w:t xml:space="preserve"> Las unidades productivas, cooperativas y organizaciones de servicios disponen de autonomía asamblearia interna para definir sus propios presupuestos, distribución de excedentes y políticas organizacionales, sin trasladar sus gestiones cotidianas a toda la ecoaldea.</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Asambleas de Departamento:</w:t>
      </w:r>
      <w:r w:rsidDel="00000000" w:rsidR="00000000" w:rsidRPr="00000000">
        <w:rPr>
          <w:rtl w:val="0"/>
        </w:rPr>
        <w:t xml:space="preserve"> Equipos operativos o áreas de trabajo (como logística, educación o comunicación) que deliberan de manera autónoma sobre la aplicación técnica de sus recursos y metas.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Separación de Poderes: Asamblea General vs. Junta Directiva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Uno de los mayores errores de los colectivos horizontales es someter cada detalle operativo (desde comprar un saco de tierra hasta fijar el precio de una artesanía) al debate general, generando lentitud. Para evitar esto, la plataforma establece una separación institucional estricta a través de sus espacios digitales de reunión (</w:t>
      </w:r>
      <w:r w:rsidDel="00000000" w:rsidR="00000000" w:rsidRPr="00000000">
        <w:rPr>
          <w:i w:val="1"/>
          <w:iCs w:val="1"/>
          <w:rtl w:val="0"/>
        </w:rPr>
        <w:t xml:space="preserve">meeting_types</w:t>
      </w:r>
      <w:r w:rsidDel="00000000" w:rsidR="00000000" w:rsidRPr="00000000">
        <w:rPr>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w:t>
      </w:r>
      <w:r w:rsidDel="00000000" w:rsidR="00000000" w:rsidRPr="00000000">
        <w:rPr>
          <w:b w:val="1"/>
          <w:bCs w:val="1"/>
          <w:rtl w:val="0"/>
        </w:rPr>
        <w:t xml:space="preserve">Asamblea General</w:t>
      </w:r>
      <w:r w:rsidDel="00000000" w:rsidR="00000000" w:rsidRPr="00000000">
        <w:rPr>
          <w:rtl w:val="0"/>
        </w:rPr>
        <w:t xml:space="preserve"> concentra las determinaciones constitutivas. Por otro lado, la </w:t>
      </w:r>
      <w:r w:rsidDel="00000000" w:rsidR="00000000" w:rsidRPr="00000000">
        <w:rPr>
          <w:b w:val="1"/>
          <w:bCs w:val="1"/>
          <w:rtl w:val="0"/>
        </w:rPr>
        <w:t xml:space="preserve">Junta Directiva del Nodo</w:t>
      </w:r>
      <w:r w:rsidDel="00000000" w:rsidR="00000000" w:rsidRPr="00000000">
        <w:rPr>
          <w:rtl w:val="0"/>
        </w:rPr>
        <w:t xml:space="preserve"> opera en sesiones ejecutivas separadas. La asamblea delega en la directiva la capacidad de tomar decisiones operativas y cotidianas, como la apertura de cuentas contables, modificaciones menores de los límites de crédito/débito, la actualización de productos en el catálogo o la distribución operativa de los fondos. El quórum para la toma de decisiones en la junta directiva se calcula exclusivamente sobre sus propios miembros activos, dotando a la ecoaldea de total agilidad sin vulnerar el control de la asamblea matriz.</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Voto Criptográfico: El Fin del Consenso Pasivo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Finalmente, es indispensable desmentir el mito persistente de que en la plataforma Campo Soberano las decisiones se asumen aprobadas por omisión (la idea errónea de que "si nadie objeta, se aprueba automáticamente"). La gobernanza del sistema se fundamenta única y estrictamente en </w:t>
      </w:r>
      <w:r w:rsidDel="00000000" w:rsidR="00000000" w:rsidRPr="00000000">
        <w:rPr>
          <w:b w:val="1"/>
          <w:bCs w:val="1"/>
          <w:rtl w:val="0"/>
        </w:rPr>
        <w:t xml:space="preserve">votaciones formales e individuales</w:t>
      </w:r>
      <w:r w:rsidDel="00000000" w:rsidR="00000000" w:rsidRPr="00000000">
        <w:rPr>
          <w:rtl w:val="0"/>
        </w:rPr>
        <w:t xml:space="preserve"> a través de la infraestructura digital.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sufragio emitido queda sellado y firmado criptográficamente utilizando pares de claves de alta seguridad (Ed25519) y es registrado de manera inmutable en la base de datos de la red. Hacia el exterior y en las actas y minutas públicas, el sistema reporta únicamente las cifras globales y porcentajes de adhesión, rechazo y abstención; de esta manera, se protege la privacidad de la elección individual, a la vez que se garantiza una asamblea transparente, auditable matemáticamente e invulnerable a fraudes.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software es 100% configurable para la autonomía local: la asamblea general puede ajustar los umbrales de aprobación según el peso de la decisión, estableciendo consensos mínimos (ej. 10%) para acciones menores, mayoría simple (51%) para administración regular, hasta alcanzar requerimientos de consenso absoluto (75% a 90%) para reformas críticas como las expulsiones o los cambios de estatutos comunitarios.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