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VI: El Ecosistema Global y la Transición Civilizatoria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19: El Comercio Intercomunitario (Cross-Node)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Hasta ahora hemos analizado cómo funciona el ecosistema interno de una sola ecoaldea: cómo se rige su asamblea, cómo asegura la tenencia de su tierra y cómo sus miembros intercambian valor con el Trueque TQ. Sin embargo, ninguna comunidad puede producir absolutamente todo lo que necesita para prosperar de forma aislada. La verdadera resiliencia civilizatoria nace cuando estas pequeñas células autónomas comienzan a comerciar y cooperar entre sí, formando una Federación Global. A esta interacción económica descentralizada la denominamos Comercio Intercomunitario o "Cross-Node".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Federación Comercial y el Flujo Transaccional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comercio entre ecoaldeas no depende de un servidor central ni de un banco mediador. Cuando un agricultor del Nodo A (por ejemplo, una ecoaldea en la montaña) visita el Nodo B (una cooperativa costera) para comprar pescado, la transacción ocurre de manera directa entre los servidores de ambas comunidades. El terminal de cobro del Nodo B envía un mensaje encriptado directamente al "Buzón de Entrada" (Inbox) del Nodo A. Si todo está en orden, el saldo se actualiza simultáneamente en ambas comunidades, debitando al visitante y acreditando al pescador local. Esto crea un balance multilateral inmediato.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Protección de las Economías Locales: Tres Capas de Límites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comercio capitalista global, el libre mercado sin restricciones permite que las grandes potencias inunden y endeuden a los países pequeños, destruyendo su producción local. Para que la Red de Ecoaldeas Federadas jamás replique este modelo de endeudamiento parasitario, el software implementa un sistema automatizado de tres capas protectoras de límites: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Límites Globales de Nodo:</w:t>
      </w:r>
      <w:r w:rsidDel="00000000" w:rsidR="00000000" w:rsidRPr="00000000">
        <w:rPr>
          <w:rtl w:val="0"/>
        </w:rPr>
        <w:t xml:space="preserve"> Cada ecoaldea configura un límite máximo total de deuda y crédito que está dispuesta a asumir frente a la Federación entera. Para evitar crisis, el sistema genera alertas tempranas a la Asamblea General cuando el endeudamiento de la comunidad alcanza el 80% (advertencia temprana), el 90% (urgente) y el 95% (alerta crítica) de su capacidad global, permitiendo a la comunidad tomar medidas antes de quebrar.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Límites Bilaterales:</w:t>
      </w:r>
      <w:r w:rsidDel="00000000" w:rsidR="00000000" w:rsidRPr="00000000">
        <w:rPr>
          <w:rtl w:val="0"/>
        </w:rPr>
        <w:t xml:space="preserve"> Además del límite general, el comercio específico entre dos comunidades está regulado por acuerdos bilaterales de mutuo acuerdo. Si el Nodo A y el Nodo B quieren comerciar a mayor escala, ambas asambleas deben votar y aprobar un aumento en su límite bilateral. El software bloqueará cualquier intento de compra masiva que exceda lo que ambas comunidades pactaron formalmente.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Piscinas Separadas (Isolated Pools):</w:t>
      </w:r>
      <w:r w:rsidDel="00000000" w:rsidR="00000000" w:rsidRPr="00000000">
        <w:rPr>
          <w:rtl w:val="0"/>
        </w:rPr>
        <w:t xml:space="preserve"> La red encapsula los riesgos financieros. Las relaciones comerciales son totalmente independientes entre sí. Esto significa que si un miembro o una ecoaldea llega a su límite de deuda (saldo negativo) con el Nodo A, esto no afecta ni reduce en lo absoluto su capacidad comercial ni sus límites vigentes con el Nodo B. Las crisis locales no generan "contagio sistémico" hacia el resto de la Federación.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Experiencia del Usuario: Pagos Fluidos sin Fronteras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 esta compleja arquitectura de límites bilaterales y validaciones entre servidores ocurre de forma invisible para el conuquero común. La tecnología actúa en segundo plano para que la experiencia de pago sea tan sencilla y rápida como usar una tarjeta de transporte: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Tarjetas NFC Inteligentes (Formato BIN-Style):</w:t>
      </w:r>
      <w:r w:rsidDel="00000000" w:rsidR="00000000" w:rsidRPr="00000000">
        <w:rPr>
          <w:rtl w:val="0"/>
        </w:rPr>
        <w:t xml:space="preserve"> Las tarjetas de cada miembro poseen un identificador universal que funciona como un prefijo bancario (por ejemplo: </w:t>
      </w:r>
      <w:r w:rsidDel="00000000" w:rsidR="00000000" w:rsidRPr="00000000">
        <w:rPr>
          <w:i w:val="1"/>
          <w:iCs w:val="1"/>
          <w:rtl w:val="0"/>
        </w:rPr>
        <w:t xml:space="preserve">nodo_montaña:a1b2c3d4</w:t>
      </w:r>
      <w:r w:rsidDel="00000000" w:rsidR="00000000" w:rsidRPr="00000000">
        <w:rPr>
          <w:rtl w:val="0"/>
        </w:rPr>
        <w:t xml:space="preserve">). Cuando un visitante acerca su tarjeta física al punto de venta de una feria lejana, el terminal lee el prefijo, identifica de inmediato el nodo de origen del forastero y se comunica por internet o intranet con el servidor correcto para liquidar la compra en segundos.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Códigos QR Cross-Node:</w:t>
      </w:r>
      <w:r w:rsidDel="00000000" w:rsidR="00000000" w:rsidRPr="00000000">
        <w:rPr>
          <w:rtl w:val="0"/>
        </w:rPr>
        <w:t xml:space="preserve"> Al igual que un "pago móvil", un usuario puede escanear el código QR de un productor de otra ecoaldea desde su teléfono móvil. El sistema procesa la transferencia de forma automática, validando que ambos nodos mantengan un acuerdo comercial vigente y respetando los límites de endeudamiento.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soberanía comercial estructurada permite construir una red global de comunidades que comercian activamente, sin sacrificar jamás la protección de sus producciones locales frente a los abusos del libre mercado irrestricto.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