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PARTE VI: El Ecosistema Global y la Transición Civilizatoria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Capítulo 20: Soberanía del Territorio y Federación de Productos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libre comercio globalizado del sistema capitalista ha demostrado ser una fuerza destructiva para las economías locales. En ese modelo, las grandes corporaciones introducen libremente sus productos en cualquier territorio, destruyendo la producción autóctona e imponiendo hábitos de consumo ajenos a la cultura local. En la Red de Ecoaldeas Federadas, el comercio intercomunitario es vibrante y activo, pero jamás ocurre a expensas de la soberanía. Para garantizar esto, el software de la plataforma establece un estricto protocolo conocido como </w:t>
      </w:r>
      <w:r w:rsidDel="00000000" w:rsidR="00000000" w:rsidRPr="00000000">
        <w:rPr>
          <w:b w:val="1"/>
          <w:bCs w:val="1"/>
          <w:rtl w:val="0"/>
        </w:rPr>
        <w:t xml:space="preserve">Federación de Productos</w:t>
      </w:r>
      <w:r w:rsidDel="00000000" w:rsidR="00000000" w:rsidRPr="00000000">
        <w:rPr>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Catálogo Común y el Filtro de la Asamblea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comercio entre nodos no permite la libre circulación automática de cualquier mercancía. Si la Ecoaldea "A" comienza a cultivar una nueva variedad de frijol y la aprueba en su catálogo interno, el sistema envía automáticamente una propuesta de producto (ProductProposal) a las demás ecoaldeas de la red mediante el protocolo de comunicación Gossip.</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 embargo, el nodo receptor no incorpora este producto a su mercado de forma automática. La asamblea local de cada comunidad receptora debe evaluar y </w:t>
      </w:r>
      <w:r w:rsidDel="00000000" w:rsidR="00000000" w:rsidRPr="00000000">
        <w:rPr>
          <w:b w:val="1"/>
          <w:bCs w:val="1"/>
          <w:rtl w:val="0"/>
        </w:rPr>
        <w:t xml:space="preserve">aprobar individualmente</w:t>
      </w:r>
      <w:r w:rsidDel="00000000" w:rsidR="00000000" w:rsidRPr="00000000">
        <w:rPr>
          <w:rtl w:val="0"/>
        </w:rPr>
        <w:t xml:space="preserve"> la entrada de ese producto a su territorio. Si la asamblea lo aprueba, el producto aparece en el catálogo local con la etiqueta de origen "federado", permitiendo a sus miembros comprarlo. Si la asamblea lo rechaza (por ejemplo, porque la semilla no cumple con sus estándares agroecológicos), el software bloqueará cualquier intento técnico de comerciar ese producto dentro de sus fronteras.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Regla Estricta de los Productos Compuestos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mayor blindaje a la soberanía cultural y ecológica de cada nodo se encuentra en la forma en que el sistema maneja los </w:t>
      </w:r>
      <w:r w:rsidDel="00000000" w:rsidR="00000000" w:rsidRPr="00000000">
        <w:rPr>
          <w:b w:val="1"/>
          <w:bCs w:val="1"/>
          <w:rtl w:val="0"/>
        </w:rPr>
        <w:t xml:space="preserve">Productos Compuestos</w:t>
      </w:r>
      <w:r w:rsidDel="00000000" w:rsidR="00000000" w:rsidRPr="00000000">
        <w:rPr>
          <w:rtl w:val="0"/>
        </w:rPr>
        <w:t xml:space="preserve">. Los productores de la red pueden elaborar bienes que combinan múltiples materias primas; por ejemplo, un "Jugo de Naranja Artesanal" hecho con naranjas locales, azúcar, agua y un envase de vidrio reciclado.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Si un habitante de una ecoaldea vegetariana e higienista intenta comprar a través del comercio inter-nodos un producto elaborado en otra comunidad, el software realiza una verificación exhaustiva y profunda de la receta. </w:t>
      </w:r>
      <w:r w:rsidDel="00000000" w:rsidR="00000000" w:rsidRPr="00000000">
        <w:rPr>
          <w:b w:val="1"/>
          <w:bCs w:val="1"/>
          <w:rtl w:val="0"/>
        </w:rPr>
        <w:t xml:space="preserve">La compra se bloqueará automáticamente si tan solo uno de los ingredientes o componentes individuales no está aprobado por la asamblea del nodo del comprador.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la asamblea del comprador prohibió el uso de "azúcar refinada" en su territorio, el sistema no permitirá que el miembro compre el jugo, aunque la naranja y el envase de vidrio sí estén permitidos. Esta arquitectura de software garantiza que los valores éticos, dietéticos y ecológicos que una comunidad votó en su asamblea no puedan ser vulnerados o "contrabandeados" a través de productos procesados provenientes del exterior.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Garantía de la Diversidad y la Libre Asociación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nivel de control territorial y aduanero digital no busca aislar a las comunidades, sino proteger su diversidad. Al brindar la certeza de que las reglas locales se respetarán matemáticamente, las comunidades se sienten seguras para abrir sus fronteras comerciales. Saben que comerciar con la red no significa sacrificar su identidad.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última instancia, este filtro también refuerza la responsabilidad individual y la libre asociación. El habitante de una ecoaldea sabe de antemano qué tipo de vida ha elegido al sumarse a un proyecto específico. Si sus valores personales cambian y desea consumir productos que su asamblea actual rechaza, el sistema federado le permite retirarse en paz, saldar sus cuentas y mudarse a otra comunidad de la red que posea un catálogo de productos acorde a sus nuevas necesidades.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