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VI: El Ecosistema Global y la Transición Civilizatoria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Capítulo 22: El Futuro: Autonomía Progresiva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construcción de una nueva civilización no ocurre de la noche a la mañana mediante un decreto utópico; se logra a través de un pragmatismo implacable y una transición gradual. A medida que las Ecoaldeas Federadas crecen en número, en diversidad productiva y en fuerza tecnológica, la dependencia hacia el dinero fiduciario y el sistema capitalista global se irá reduciendo hasta desaparecer. Este proceso estratégico es lo que en Campo Soberano llamamos </w:t>
      </w:r>
      <w:r w:rsidDel="00000000" w:rsidR="00000000" w:rsidRPr="00000000">
        <w:rPr>
          <w:b w:val="1"/>
          <w:bCs w:val="1"/>
          <w:rtl w:val="0"/>
        </w:rPr>
        <w:t xml:space="preserve">Autonomía Progresiva</w:t>
      </w:r>
      <w:r w:rsidDel="00000000" w:rsidR="00000000" w:rsidRPr="00000000">
        <w:rPr>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Sellado de la "Escotilla" de Dependencia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vimos en el capítulo anterior, el Puente de Comercio Externo (DEX) actúa como una escotilla táctica para importar bienes foráneos críticos utilizando dinero tradicional. Sin embargo, esta vía está diseñada para cerrarse paulatinamente desde adentro.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regla de oro de la Autonomía Progresiva dicta que en el momento exacto en que un miembro, una cooperativa o un nuevo nodo con la capacidad técnica requerida se une a la Federación, </w:t>
      </w:r>
      <w:r w:rsidDel="00000000" w:rsidR="00000000" w:rsidRPr="00000000">
        <w:rPr>
          <w:b w:val="1"/>
          <w:bCs w:val="1"/>
          <w:rtl w:val="0"/>
        </w:rPr>
        <w:t xml:space="preserve">la red sella la importación de ese rubro</w:t>
      </w:r>
      <w:r w:rsidDel="00000000" w:rsidR="00000000" w:rsidRPr="00000000">
        <w:rPr>
          <w:rtl w:val="0"/>
        </w:rPr>
        <w:t xml:space="preserve">. Por ejemplo: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la comunidad dependía de comprar herramientas de metal en ferreterías externas (usando el DEX y dólares), pero un herrero o metalúrgico se une al nodo, la asamblea prohíbe la compra externa de herramientas. A partir de ese día, el metal y el hierro se procesan internamente y se intercambian exclusivamente en </w:t>
      </w:r>
      <w:r w:rsidDel="00000000" w:rsidR="00000000" w:rsidRPr="00000000">
        <w:rPr>
          <w:b w:val="1"/>
          <w:bCs w:val="1"/>
          <w:rtl w:val="0"/>
        </w:rPr>
        <w:t xml:space="preserve">TQ</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la aldea importaba jabones o productos de higiene, y un grupo de artesanos boticarios ingresa a la red, la importación cesa. Ese esfuerzo humano pasa a circular dentro de la economía de Saldo Cero.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vez que un nuevo talento, oficio o maquinaria ingresa al ecosistema federado, la comunidad recupera una porción más de su soberanía, sustituyendo el flujo de dinero inorgánico externo por el intercambio de energía humana y reciprocidad interna.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Crecimiento Cuantitativo: El Efecto de Red y la Resiliencia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poder de la plataforma TQ no reside en una única y monumental ecoaldea aislada en la montaña, sino en la multiplicación exponencial de pequeños nodos autónomos descentralizados que comercian entre sí. Este </w:t>
      </w:r>
      <w:r w:rsidDel="00000000" w:rsidR="00000000" w:rsidRPr="00000000">
        <w:rPr>
          <w:b w:val="1"/>
          <w:bCs w:val="1"/>
          <w:rtl w:val="0"/>
        </w:rPr>
        <w:t xml:space="preserve">efecto de red</w:t>
      </w:r>
      <w:r w:rsidDel="00000000" w:rsidR="00000000" w:rsidRPr="00000000">
        <w:rPr>
          <w:rtl w:val="0"/>
        </w:rPr>
        <w:t xml:space="preserve"> asegura que: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diversidad climática y geográfica garantice que si el Nodo A sufre una mala cosecha por una sequía, el Nodo B pueda suplirlo mediante sus excedentes cruzados (Cross-Node), protegiendo la seguridad alimentaria total de la federación.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Las crisis bancarias internacionales, las hiperinflaciones o los colapsos de los gobiernos de turno sean absorbidos como meros ecos lejanos por la red. La economía interna no se devalúa porque está amarrada al trabajo físico y a los Joules invertidos en el suelo, que son inmutables frente a la especulación.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Horizonte Civilizatorio: Emancipación Total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horizonte final de la Red de Ecoaldeas Federadas es alcanzar un tamaño crítico donde la producción interna sea tan vasta y diversificada que la dependencia del dinero emitido por corporaciones y Estados centralizados caiga a cero. En ese punto de inflexión, la "escotilla" del DEX se sellará de forma casi definitiva.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emancipación no requerirá de conflictos bélicos ni revoluciones teóricas, sino del simple acto cotidiano de miles de personas utilizando su fuerza productiva para sustentarse mutuamente a través de un pacto inquebrantable de honestidad termodinámica. Al demostrar que es posible organizar la vida, la educación, el hábitat y el comercio sin extraer deuda ficticia del futuro y sin acumular números vacíos en un servidor corporativo, la Red de Ecoaldeas ofrece al mundo la infraestructura de una transición pacífica y regenerativa hacia el Buen Vivir.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