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07A" w:rsidRPr="006872E9" w:rsidRDefault="0030407A" w:rsidP="004B7199">
      <w:pPr>
        <w:pStyle w:val="Caption"/>
        <w:rPr>
          <w:rFonts w:ascii="Times New Roman" w:hAnsi="Times New Roman"/>
          <w:sz w:val="22"/>
          <w:szCs w:val="22"/>
        </w:rPr>
      </w:pPr>
    </w:p>
    <w:p w:rsidR="0030407A" w:rsidRPr="006872E9" w:rsidRDefault="0030407A" w:rsidP="0030407A">
      <w:pPr>
        <w:autoSpaceDE w:val="0"/>
        <w:autoSpaceDN w:val="0"/>
        <w:adjustRightInd w:val="0"/>
        <w:jc w:val="center"/>
        <w:rPr>
          <w:b/>
          <w:bCs/>
          <w:color w:val="1F497D"/>
          <w:sz w:val="22"/>
          <w:szCs w:val="22"/>
        </w:rPr>
      </w:pPr>
    </w:p>
    <w:p w:rsidR="0030407A" w:rsidRPr="006872E9" w:rsidRDefault="0030407A" w:rsidP="0030407A">
      <w:pPr>
        <w:autoSpaceDE w:val="0"/>
        <w:autoSpaceDN w:val="0"/>
        <w:adjustRightInd w:val="0"/>
        <w:jc w:val="center"/>
        <w:rPr>
          <w:b/>
          <w:bCs/>
          <w:color w:val="1F497D"/>
          <w:sz w:val="22"/>
          <w:szCs w:val="22"/>
        </w:rPr>
      </w:pPr>
    </w:p>
    <w:p w:rsidR="0030407A" w:rsidRPr="006872E9" w:rsidRDefault="0030407A" w:rsidP="0030407A">
      <w:pPr>
        <w:autoSpaceDE w:val="0"/>
        <w:autoSpaceDN w:val="0"/>
        <w:adjustRightInd w:val="0"/>
        <w:jc w:val="center"/>
        <w:rPr>
          <w:b/>
          <w:bCs/>
          <w:color w:val="1F497D"/>
          <w:sz w:val="22"/>
          <w:szCs w:val="22"/>
        </w:rPr>
      </w:pPr>
    </w:p>
    <w:p w:rsidR="00062CFC" w:rsidRPr="006872E9" w:rsidRDefault="00062CFC" w:rsidP="009D48F9">
      <w:pPr>
        <w:jc w:val="center"/>
        <w:rPr>
          <w:b/>
          <w:bCs/>
          <w:color w:val="1F497D" w:themeColor="text2"/>
          <w:sz w:val="52"/>
          <w:szCs w:val="22"/>
        </w:rPr>
      </w:pPr>
    </w:p>
    <w:p w:rsidR="00062CFC" w:rsidRPr="006872E9" w:rsidRDefault="00062CFC" w:rsidP="009D48F9">
      <w:pPr>
        <w:jc w:val="center"/>
        <w:rPr>
          <w:b/>
          <w:bCs/>
          <w:color w:val="1F497D" w:themeColor="text2"/>
          <w:sz w:val="52"/>
          <w:szCs w:val="22"/>
        </w:rPr>
      </w:pPr>
    </w:p>
    <w:p w:rsidR="00062CFC" w:rsidRPr="006872E9" w:rsidRDefault="00062CFC" w:rsidP="009D48F9">
      <w:pPr>
        <w:jc w:val="center"/>
        <w:rPr>
          <w:b/>
          <w:bCs/>
          <w:color w:val="1F497D" w:themeColor="text2"/>
          <w:sz w:val="52"/>
          <w:szCs w:val="22"/>
        </w:rPr>
      </w:pPr>
    </w:p>
    <w:p w:rsidR="00062CFC" w:rsidRPr="006872E9" w:rsidRDefault="00062CFC" w:rsidP="009D48F9">
      <w:pPr>
        <w:jc w:val="center"/>
        <w:rPr>
          <w:b/>
          <w:bCs/>
          <w:color w:val="1F497D" w:themeColor="text2"/>
          <w:sz w:val="52"/>
          <w:szCs w:val="22"/>
        </w:rPr>
      </w:pPr>
    </w:p>
    <w:p w:rsidR="00062CFC" w:rsidRPr="006872E9" w:rsidRDefault="00062CFC" w:rsidP="009D48F9">
      <w:pPr>
        <w:jc w:val="center"/>
        <w:rPr>
          <w:b/>
          <w:bCs/>
          <w:color w:val="1F497D" w:themeColor="text2"/>
          <w:sz w:val="52"/>
          <w:szCs w:val="22"/>
        </w:rPr>
      </w:pPr>
    </w:p>
    <w:p w:rsidR="00F532E4" w:rsidRDefault="00C35072" w:rsidP="009D48F9">
      <w:pPr>
        <w:jc w:val="center"/>
        <w:rPr>
          <w:b/>
          <w:bCs/>
          <w:color w:val="1F497D" w:themeColor="text2"/>
          <w:sz w:val="52"/>
          <w:szCs w:val="22"/>
        </w:rPr>
      </w:pPr>
      <w:r>
        <w:rPr>
          <w:b/>
          <w:bCs/>
          <w:color w:val="1F497D" w:themeColor="text2"/>
          <w:sz w:val="52"/>
          <w:szCs w:val="22"/>
        </w:rPr>
        <w:t>Cross Domain</w:t>
      </w:r>
      <w:r w:rsidR="00CD2D85">
        <w:rPr>
          <w:b/>
          <w:bCs/>
          <w:color w:val="1F497D" w:themeColor="text2"/>
          <w:sz w:val="52"/>
          <w:szCs w:val="22"/>
        </w:rPr>
        <w:t xml:space="preserve"> Threat and Risk</w:t>
      </w:r>
      <w:r w:rsidR="00F532E4">
        <w:rPr>
          <w:b/>
          <w:bCs/>
          <w:color w:val="1F497D" w:themeColor="text2"/>
          <w:sz w:val="52"/>
          <w:szCs w:val="22"/>
        </w:rPr>
        <w:t xml:space="preserve"> Information Sharing</w:t>
      </w:r>
    </w:p>
    <w:p w:rsidR="00817FC8" w:rsidRDefault="00817FC8" w:rsidP="009D48F9">
      <w:pPr>
        <w:jc w:val="center"/>
        <w:rPr>
          <w:b/>
          <w:bCs/>
          <w:color w:val="1F497D" w:themeColor="text2"/>
          <w:sz w:val="52"/>
          <w:szCs w:val="22"/>
        </w:rPr>
      </w:pPr>
    </w:p>
    <w:p w:rsidR="00201884" w:rsidRPr="006872E9" w:rsidRDefault="00817FC8" w:rsidP="009D48F9">
      <w:pPr>
        <w:jc w:val="center"/>
        <w:rPr>
          <w:noProof/>
          <w:color w:val="1F497D" w:themeColor="text2"/>
          <w:sz w:val="52"/>
          <w:szCs w:val="22"/>
        </w:rPr>
      </w:pPr>
      <w:r>
        <w:rPr>
          <w:b/>
          <w:bCs/>
          <w:color w:val="1F497D" w:themeColor="text2"/>
          <w:sz w:val="52"/>
          <w:szCs w:val="22"/>
        </w:rPr>
        <w:t>Scenario Descriptions</w:t>
      </w:r>
    </w:p>
    <w:p w:rsidR="0030407A" w:rsidRPr="006872E9" w:rsidRDefault="0030407A">
      <w:pPr>
        <w:rPr>
          <w:noProof/>
          <w:sz w:val="22"/>
          <w:szCs w:val="22"/>
        </w:rPr>
      </w:pPr>
      <w:r w:rsidRPr="006872E9">
        <w:rPr>
          <w:noProof/>
          <w:sz w:val="22"/>
          <w:szCs w:val="22"/>
        </w:rPr>
        <w:br w:type="page"/>
      </w:r>
    </w:p>
    <w:p w:rsidR="002B3EC1" w:rsidRPr="006872E9" w:rsidRDefault="001624E6" w:rsidP="00201884">
      <w:pPr>
        <w:jc w:val="center"/>
        <w:rPr>
          <w:b/>
          <w:sz w:val="22"/>
          <w:szCs w:val="22"/>
        </w:rPr>
      </w:pPr>
      <w:r w:rsidRPr="006872E9">
        <w:rPr>
          <w:b/>
          <w:noProof/>
          <w:sz w:val="22"/>
          <w:szCs w:val="22"/>
        </w:rPr>
        <mc:AlternateContent>
          <mc:Choice Requires="wps">
            <w:drawing>
              <wp:anchor distT="0" distB="0" distL="114300" distR="114300" simplePos="0" relativeHeight="251657216" behindDoc="0" locked="0" layoutInCell="1" allowOverlap="1" wp14:anchorId="3AFA7E2C" wp14:editId="36C732A7">
                <wp:simplePos x="0" y="0"/>
                <wp:positionH relativeFrom="column">
                  <wp:posOffset>1668780</wp:posOffset>
                </wp:positionH>
                <wp:positionV relativeFrom="paragraph">
                  <wp:posOffset>-8635365</wp:posOffset>
                </wp:positionV>
                <wp:extent cx="1988820" cy="952500"/>
                <wp:effectExtent l="1905" t="381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87B" w:rsidRPr="00A51E8A" w:rsidRDefault="0013687B">
                            <w:pPr>
                              <w:rPr>
                                <w:rFonts w:ascii="Souvenir Lt BT" w:hAnsi="Souvenir Lt BT"/>
                                <w:b/>
                                <w:color w:val="FF0000"/>
                                <w:sz w:val="72"/>
                                <w:szCs w:val="72"/>
                              </w:rPr>
                            </w:pPr>
                            <w:r w:rsidRPr="00A51E8A">
                              <w:rPr>
                                <w:rFonts w:ascii="Souvenir Lt BT" w:hAnsi="Souvenir Lt BT"/>
                                <w:b/>
                                <w:color w:val="FF0000"/>
                                <w:sz w:val="72"/>
                                <w:szCs w:val="72"/>
                              </w:rPr>
                              <w:t>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FA7E2C" id="_x0000_t202" coordsize="21600,21600" o:spt="202" path="m,l,21600r21600,l21600,xe">
                <v:stroke joinstyle="miter"/>
                <v:path gradientshapeok="t" o:connecttype="rect"/>
              </v:shapetype>
              <v:shape id="Text Box 3" o:spid="_x0000_s1026" type="#_x0000_t202" style="position:absolute;left:0;text-align:left;margin-left:131.4pt;margin-top:-679.95pt;width:156.6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obsg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" filled="f" stroked="f">
                <v:textbox>
                  <w:txbxContent>
                    <w:p w:rsidR="0013687B" w:rsidRPr="00A51E8A" w:rsidRDefault="0013687B">
                      <w:pPr>
                        <w:rPr>
                          <w:rFonts w:ascii="Souvenir Lt BT" w:hAnsi="Souvenir Lt BT"/>
                          <w:b/>
                          <w:color w:val="FF0000"/>
                          <w:sz w:val="72"/>
                          <w:szCs w:val="72"/>
                        </w:rPr>
                      </w:pPr>
                      <w:r w:rsidRPr="00A51E8A">
                        <w:rPr>
                          <w:rFonts w:ascii="Souvenir Lt BT" w:hAnsi="Souvenir Lt BT"/>
                          <w:b/>
                          <w:color w:val="FF0000"/>
                          <w:sz w:val="72"/>
                          <w:szCs w:val="72"/>
                        </w:rPr>
                        <w:t>DRAFT</w:t>
                      </w:r>
                    </w:p>
                  </w:txbxContent>
                </v:textbox>
              </v:shape>
            </w:pict>
          </mc:Fallback>
        </mc:AlternateContent>
      </w:r>
      <w:r w:rsidR="00604E6A" w:rsidRPr="006872E9">
        <w:rPr>
          <w:b/>
          <w:noProof/>
          <w:sz w:val="22"/>
          <w:szCs w:val="22"/>
        </w:rPr>
        <w:t>Table</w:t>
      </w:r>
      <w:r w:rsidR="002B3EC1" w:rsidRPr="006872E9">
        <w:rPr>
          <w:b/>
          <w:sz w:val="22"/>
          <w:szCs w:val="22"/>
        </w:rPr>
        <w:t xml:space="preserve"> of Contents</w:t>
      </w:r>
    </w:p>
    <w:p w:rsidR="00A24F4B" w:rsidRPr="006872E9" w:rsidRDefault="00A24F4B" w:rsidP="00A24F4B">
      <w:pPr>
        <w:pStyle w:val="TOC1"/>
        <w:spacing w:before="0" w:after="0" w:line="360" w:lineRule="auto"/>
        <w:rPr>
          <w:rFonts w:ascii="Times New Roman" w:hAnsi="Times New Roman"/>
          <w:szCs w:val="22"/>
        </w:rPr>
      </w:pPr>
    </w:p>
    <w:sdt>
      <w:sdtPr>
        <w:rPr>
          <w:rFonts w:ascii="Times New Roman" w:hAnsi="Times New Roman"/>
          <w:b w:val="0"/>
          <w:bCs w:val="0"/>
          <w:color w:val="auto"/>
          <w:sz w:val="20"/>
          <w:szCs w:val="20"/>
        </w:rPr>
        <w:id w:val="-1197228785"/>
        <w:docPartObj>
          <w:docPartGallery w:val="Table of Contents"/>
          <w:docPartUnique/>
        </w:docPartObj>
      </w:sdtPr>
      <w:sdtEndPr>
        <w:rPr>
          <w:noProof/>
        </w:rPr>
      </w:sdtEndPr>
      <w:sdtContent>
        <w:p w:rsidR="00550EEA" w:rsidRDefault="00550EEA">
          <w:pPr>
            <w:pStyle w:val="TOCHeading"/>
          </w:pPr>
          <w:r>
            <w:t>Table of Contents</w:t>
          </w:r>
        </w:p>
        <w:p w:rsidR="00F5451B" w:rsidRDefault="004E4C68">
          <w:pPr>
            <w:pStyle w:val="TOC1"/>
            <w:tabs>
              <w:tab w:val="left" w:pos="432"/>
            </w:tabs>
            <w:rPr>
              <w:rFonts w:asciiTheme="minorHAnsi" w:eastAsiaTheme="minorEastAsia" w:hAnsiTheme="minorHAnsi" w:cstheme="minorBidi"/>
              <w:noProof/>
              <w:sz w:val="22"/>
              <w:szCs w:val="22"/>
            </w:rPr>
          </w:pPr>
          <w:r>
            <w:rPr>
              <w:sz w:val="22"/>
            </w:rPr>
            <w:fldChar w:fldCharType="begin"/>
          </w:r>
          <w:r>
            <w:rPr>
              <w:sz w:val="22"/>
            </w:rPr>
            <w:instrText xml:space="preserve"> TOC \o "1-4" \h \z \u </w:instrText>
          </w:r>
          <w:r>
            <w:rPr>
              <w:sz w:val="22"/>
            </w:rPr>
            <w:fldChar w:fldCharType="separate"/>
          </w:r>
          <w:hyperlink w:anchor="_Toc414269184" w:history="1">
            <w:r w:rsidR="00F5451B" w:rsidRPr="00072D01">
              <w:rPr>
                <w:rStyle w:val="Hyperlink"/>
                <w:rFonts w:ascii="Times New Roman" w:hAnsi="Times New Roman"/>
                <w:noProof/>
              </w:rPr>
              <w:t>1.</w:t>
            </w:r>
            <w:r w:rsidR="00F5451B">
              <w:rPr>
                <w:rFonts w:asciiTheme="minorHAnsi" w:eastAsiaTheme="minorEastAsia" w:hAnsiTheme="minorHAnsi" w:cstheme="minorBidi"/>
                <w:noProof/>
                <w:sz w:val="22"/>
                <w:szCs w:val="22"/>
              </w:rPr>
              <w:tab/>
            </w:r>
            <w:r w:rsidR="00F5451B" w:rsidRPr="00072D01">
              <w:rPr>
                <w:rStyle w:val="Hyperlink"/>
                <w:rFonts w:ascii="Times New Roman" w:hAnsi="Times New Roman"/>
                <w:noProof/>
              </w:rPr>
              <w:t>Background</w:t>
            </w:r>
            <w:r w:rsidR="00F5451B">
              <w:rPr>
                <w:noProof/>
                <w:webHidden/>
              </w:rPr>
              <w:tab/>
            </w:r>
            <w:r w:rsidR="00F5451B">
              <w:rPr>
                <w:noProof/>
                <w:webHidden/>
              </w:rPr>
              <w:fldChar w:fldCharType="begin"/>
            </w:r>
            <w:r w:rsidR="00F5451B">
              <w:rPr>
                <w:noProof/>
                <w:webHidden/>
              </w:rPr>
              <w:instrText xml:space="preserve"> PAGEREF _Toc414269184 \h </w:instrText>
            </w:r>
            <w:r w:rsidR="00F5451B">
              <w:rPr>
                <w:noProof/>
                <w:webHidden/>
              </w:rPr>
            </w:r>
            <w:r w:rsidR="00F5451B">
              <w:rPr>
                <w:noProof/>
                <w:webHidden/>
              </w:rPr>
              <w:fldChar w:fldCharType="separate"/>
            </w:r>
            <w:r w:rsidR="00E907D2">
              <w:rPr>
                <w:noProof/>
                <w:webHidden/>
              </w:rPr>
              <w:t>1</w:t>
            </w:r>
            <w:r w:rsidR="00F5451B">
              <w:rPr>
                <w:noProof/>
                <w:webHidden/>
              </w:rPr>
              <w:fldChar w:fldCharType="end"/>
            </w:r>
          </w:hyperlink>
        </w:p>
        <w:p w:rsidR="00F5451B" w:rsidRDefault="0013687B">
          <w:pPr>
            <w:pStyle w:val="TOC1"/>
            <w:tabs>
              <w:tab w:val="left" w:pos="432"/>
            </w:tabs>
            <w:rPr>
              <w:rFonts w:asciiTheme="minorHAnsi" w:eastAsiaTheme="minorEastAsia" w:hAnsiTheme="minorHAnsi" w:cstheme="minorBidi"/>
              <w:noProof/>
              <w:sz w:val="22"/>
              <w:szCs w:val="22"/>
            </w:rPr>
          </w:pPr>
          <w:hyperlink w:anchor="_Toc414269185" w:history="1">
            <w:r w:rsidR="00F5451B" w:rsidRPr="00072D01">
              <w:rPr>
                <w:rStyle w:val="Hyperlink"/>
                <w:noProof/>
              </w:rPr>
              <w:t>2.</w:t>
            </w:r>
            <w:r w:rsidR="00F5451B">
              <w:rPr>
                <w:rFonts w:asciiTheme="minorHAnsi" w:eastAsiaTheme="minorEastAsia" w:hAnsiTheme="minorHAnsi" w:cstheme="minorBidi"/>
                <w:noProof/>
                <w:sz w:val="22"/>
                <w:szCs w:val="22"/>
              </w:rPr>
              <w:tab/>
            </w:r>
            <w:r w:rsidR="00F5451B" w:rsidRPr="00072D01">
              <w:rPr>
                <w:rStyle w:val="Hyperlink"/>
                <w:rFonts w:ascii="Times New Roman" w:hAnsi="Times New Roman"/>
                <w:noProof/>
              </w:rPr>
              <w:t>Purpose</w:t>
            </w:r>
            <w:r w:rsidR="00F5451B">
              <w:rPr>
                <w:noProof/>
                <w:webHidden/>
              </w:rPr>
              <w:tab/>
            </w:r>
            <w:r w:rsidR="00F5451B">
              <w:rPr>
                <w:noProof/>
                <w:webHidden/>
              </w:rPr>
              <w:fldChar w:fldCharType="begin"/>
            </w:r>
            <w:r w:rsidR="00F5451B">
              <w:rPr>
                <w:noProof/>
                <w:webHidden/>
              </w:rPr>
              <w:instrText xml:space="preserve"> PAGEREF _Toc414269185 \h </w:instrText>
            </w:r>
            <w:r w:rsidR="00F5451B">
              <w:rPr>
                <w:noProof/>
                <w:webHidden/>
              </w:rPr>
            </w:r>
            <w:r w:rsidR="00F5451B">
              <w:rPr>
                <w:noProof/>
                <w:webHidden/>
              </w:rPr>
              <w:fldChar w:fldCharType="separate"/>
            </w:r>
            <w:r w:rsidR="00E907D2">
              <w:rPr>
                <w:noProof/>
                <w:webHidden/>
              </w:rPr>
              <w:t>1</w:t>
            </w:r>
            <w:r w:rsidR="00F5451B">
              <w:rPr>
                <w:noProof/>
                <w:webHidden/>
              </w:rPr>
              <w:fldChar w:fldCharType="end"/>
            </w:r>
          </w:hyperlink>
        </w:p>
        <w:p w:rsidR="00F5451B" w:rsidRDefault="0013687B">
          <w:pPr>
            <w:pStyle w:val="TOC2"/>
            <w:tabs>
              <w:tab w:val="left" w:pos="1008"/>
            </w:tabs>
            <w:rPr>
              <w:rFonts w:asciiTheme="minorHAnsi" w:eastAsiaTheme="minorEastAsia" w:hAnsiTheme="minorHAnsi" w:cstheme="minorBidi"/>
              <w:noProof/>
              <w:szCs w:val="22"/>
            </w:rPr>
          </w:pPr>
          <w:hyperlink w:anchor="_Toc414269186" w:history="1">
            <w:r w:rsidR="00F5451B" w:rsidRPr="00072D01">
              <w:rPr>
                <w:rStyle w:val="Hyperlink"/>
                <w:noProof/>
              </w:rPr>
              <w:t>2.1</w:t>
            </w:r>
            <w:r w:rsidR="00F5451B">
              <w:rPr>
                <w:rFonts w:asciiTheme="minorHAnsi" w:eastAsiaTheme="minorEastAsia" w:hAnsiTheme="minorHAnsi" w:cstheme="minorBidi"/>
                <w:noProof/>
                <w:szCs w:val="22"/>
              </w:rPr>
              <w:tab/>
            </w:r>
            <w:r w:rsidR="00F5451B" w:rsidRPr="00072D01">
              <w:rPr>
                <w:rStyle w:val="Hyperlink"/>
                <w:noProof/>
              </w:rPr>
              <w:t>Communities of Interest</w:t>
            </w:r>
            <w:r w:rsidR="00F5451B">
              <w:rPr>
                <w:noProof/>
                <w:webHidden/>
              </w:rPr>
              <w:tab/>
            </w:r>
            <w:r w:rsidR="00F5451B">
              <w:rPr>
                <w:noProof/>
                <w:webHidden/>
              </w:rPr>
              <w:fldChar w:fldCharType="begin"/>
            </w:r>
            <w:r w:rsidR="00F5451B">
              <w:rPr>
                <w:noProof/>
                <w:webHidden/>
              </w:rPr>
              <w:instrText xml:space="preserve"> PAGEREF _Toc414269186 \h </w:instrText>
            </w:r>
            <w:r w:rsidR="00F5451B">
              <w:rPr>
                <w:noProof/>
                <w:webHidden/>
              </w:rPr>
            </w:r>
            <w:r w:rsidR="00F5451B">
              <w:rPr>
                <w:noProof/>
                <w:webHidden/>
              </w:rPr>
              <w:fldChar w:fldCharType="separate"/>
            </w:r>
            <w:r w:rsidR="00E907D2">
              <w:rPr>
                <w:noProof/>
                <w:webHidden/>
              </w:rPr>
              <w:t>2</w:t>
            </w:r>
            <w:r w:rsidR="00F5451B">
              <w:rPr>
                <w:noProof/>
                <w:webHidden/>
              </w:rPr>
              <w:fldChar w:fldCharType="end"/>
            </w:r>
          </w:hyperlink>
        </w:p>
        <w:p w:rsidR="00F5451B" w:rsidRDefault="0013687B">
          <w:pPr>
            <w:pStyle w:val="TOC2"/>
            <w:tabs>
              <w:tab w:val="left" w:pos="1008"/>
            </w:tabs>
            <w:rPr>
              <w:rFonts w:asciiTheme="minorHAnsi" w:eastAsiaTheme="minorEastAsia" w:hAnsiTheme="minorHAnsi" w:cstheme="minorBidi"/>
              <w:noProof/>
              <w:szCs w:val="22"/>
            </w:rPr>
          </w:pPr>
          <w:hyperlink w:anchor="_Toc414269187" w:history="1">
            <w:r w:rsidR="00F5451B" w:rsidRPr="00072D01">
              <w:rPr>
                <w:rStyle w:val="Hyperlink"/>
                <w:rFonts w:ascii="Times New Roman" w:hAnsi="Times New Roman"/>
                <w:noProof/>
              </w:rPr>
              <w:t>2.2</w:t>
            </w:r>
            <w:r w:rsidR="00F5451B">
              <w:rPr>
                <w:rFonts w:asciiTheme="minorHAnsi" w:eastAsiaTheme="minorEastAsia" w:hAnsiTheme="minorHAnsi" w:cstheme="minorBidi"/>
                <w:noProof/>
                <w:szCs w:val="22"/>
              </w:rPr>
              <w:tab/>
            </w:r>
            <w:r w:rsidR="00F5451B" w:rsidRPr="00072D01">
              <w:rPr>
                <w:rStyle w:val="Hyperlink"/>
                <w:rFonts w:ascii="Times New Roman" w:hAnsi="Times New Roman"/>
                <w:noProof/>
              </w:rPr>
              <w:t>Cross Domain Key Communities</w:t>
            </w:r>
            <w:r w:rsidR="00F5451B">
              <w:rPr>
                <w:noProof/>
                <w:webHidden/>
              </w:rPr>
              <w:tab/>
            </w:r>
            <w:r w:rsidR="00F5451B">
              <w:rPr>
                <w:noProof/>
                <w:webHidden/>
              </w:rPr>
              <w:fldChar w:fldCharType="begin"/>
            </w:r>
            <w:r w:rsidR="00F5451B">
              <w:rPr>
                <w:noProof/>
                <w:webHidden/>
              </w:rPr>
              <w:instrText xml:space="preserve"> PAGEREF _Toc414269187 \h </w:instrText>
            </w:r>
            <w:r w:rsidR="00F5451B">
              <w:rPr>
                <w:noProof/>
                <w:webHidden/>
              </w:rPr>
            </w:r>
            <w:r w:rsidR="00F5451B">
              <w:rPr>
                <w:noProof/>
                <w:webHidden/>
              </w:rPr>
              <w:fldChar w:fldCharType="separate"/>
            </w:r>
            <w:r w:rsidR="00E907D2">
              <w:rPr>
                <w:noProof/>
                <w:webHidden/>
              </w:rPr>
              <w:t>2</w:t>
            </w:r>
            <w:r w:rsidR="00F5451B">
              <w:rPr>
                <w:noProof/>
                <w:webHidden/>
              </w:rPr>
              <w:fldChar w:fldCharType="end"/>
            </w:r>
          </w:hyperlink>
        </w:p>
        <w:p w:rsidR="00F5451B" w:rsidRDefault="0013687B">
          <w:pPr>
            <w:pStyle w:val="TOC1"/>
            <w:tabs>
              <w:tab w:val="left" w:pos="432"/>
            </w:tabs>
            <w:rPr>
              <w:rFonts w:asciiTheme="minorHAnsi" w:eastAsiaTheme="minorEastAsia" w:hAnsiTheme="minorHAnsi" w:cstheme="minorBidi"/>
              <w:noProof/>
              <w:sz w:val="22"/>
              <w:szCs w:val="22"/>
            </w:rPr>
          </w:pPr>
          <w:hyperlink w:anchor="_Toc414269188" w:history="1">
            <w:r w:rsidR="00F5451B" w:rsidRPr="00072D01">
              <w:rPr>
                <w:rStyle w:val="Hyperlink"/>
                <w:noProof/>
              </w:rPr>
              <w:t>3.</w:t>
            </w:r>
            <w:r w:rsidR="00F5451B">
              <w:rPr>
                <w:rFonts w:asciiTheme="minorHAnsi" w:eastAsiaTheme="minorEastAsia" w:hAnsiTheme="minorHAnsi" w:cstheme="minorBidi"/>
                <w:noProof/>
                <w:sz w:val="22"/>
                <w:szCs w:val="22"/>
              </w:rPr>
              <w:tab/>
            </w:r>
            <w:r w:rsidR="00F5451B" w:rsidRPr="00072D01">
              <w:rPr>
                <w:rStyle w:val="Hyperlink"/>
                <w:noProof/>
              </w:rPr>
              <w:t>Cross Domain Use Cases</w:t>
            </w:r>
            <w:r w:rsidR="00F5451B">
              <w:rPr>
                <w:noProof/>
                <w:webHidden/>
              </w:rPr>
              <w:tab/>
            </w:r>
            <w:r w:rsidR="00F5451B">
              <w:rPr>
                <w:noProof/>
                <w:webHidden/>
              </w:rPr>
              <w:fldChar w:fldCharType="begin"/>
            </w:r>
            <w:r w:rsidR="00F5451B">
              <w:rPr>
                <w:noProof/>
                <w:webHidden/>
              </w:rPr>
              <w:instrText xml:space="preserve"> PAGEREF _Toc414269188 \h </w:instrText>
            </w:r>
            <w:r w:rsidR="00F5451B">
              <w:rPr>
                <w:noProof/>
                <w:webHidden/>
              </w:rPr>
            </w:r>
            <w:r w:rsidR="00F5451B">
              <w:rPr>
                <w:noProof/>
                <w:webHidden/>
              </w:rPr>
              <w:fldChar w:fldCharType="separate"/>
            </w:r>
            <w:r w:rsidR="00E907D2">
              <w:rPr>
                <w:noProof/>
                <w:webHidden/>
              </w:rPr>
              <w:t>3</w:t>
            </w:r>
            <w:r w:rsidR="00F5451B">
              <w:rPr>
                <w:noProof/>
                <w:webHidden/>
              </w:rPr>
              <w:fldChar w:fldCharType="end"/>
            </w:r>
          </w:hyperlink>
        </w:p>
        <w:p w:rsidR="00F5451B" w:rsidRDefault="0013687B">
          <w:pPr>
            <w:pStyle w:val="TOC1"/>
            <w:rPr>
              <w:rFonts w:asciiTheme="minorHAnsi" w:eastAsiaTheme="minorEastAsia" w:hAnsiTheme="minorHAnsi" w:cstheme="minorBidi"/>
              <w:noProof/>
              <w:sz w:val="22"/>
              <w:szCs w:val="22"/>
            </w:rPr>
          </w:pPr>
          <w:hyperlink w:anchor="_Toc414269189" w:history="1">
            <w:r w:rsidR="00F5451B" w:rsidRPr="00072D01">
              <w:rPr>
                <w:rStyle w:val="Hyperlink"/>
                <w:rFonts w:ascii="Times New Roman" w:hAnsi="Times New Roman"/>
                <w:noProof/>
              </w:rPr>
              <w:t>Appendix A— Enhanced Shared Situational Awareness (ESSA) Information Exchanges</w:t>
            </w:r>
            <w:r w:rsidR="00F5451B">
              <w:rPr>
                <w:noProof/>
                <w:webHidden/>
              </w:rPr>
              <w:tab/>
            </w:r>
            <w:r w:rsidR="00F5451B">
              <w:rPr>
                <w:noProof/>
                <w:webHidden/>
              </w:rPr>
              <w:fldChar w:fldCharType="begin"/>
            </w:r>
            <w:r w:rsidR="00F5451B">
              <w:rPr>
                <w:noProof/>
                <w:webHidden/>
              </w:rPr>
              <w:instrText xml:space="preserve"> PAGEREF _Toc414269189 \h </w:instrText>
            </w:r>
            <w:r w:rsidR="00F5451B">
              <w:rPr>
                <w:noProof/>
                <w:webHidden/>
              </w:rPr>
            </w:r>
            <w:r w:rsidR="00F5451B">
              <w:rPr>
                <w:noProof/>
                <w:webHidden/>
              </w:rPr>
              <w:fldChar w:fldCharType="separate"/>
            </w:r>
            <w:r w:rsidR="00E907D2">
              <w:rPr>
                <w:noProof/>
                <w:webHidden/>
              </w:rPr>
              <w:t>23</w:t>
            </w:r>
            <w:r w:rsidR="00F5451B">
              <w:rPr>
                <w:noProof/>
                <w:webHidden/>
              </w:rPr>
              <w:fldChar w:fldCharType="end"/>
            </w:r>
          </w:hyperlink>
        </w:p>
        <w:p w:rsidR="00F5451B" w:rsidRDefault="0013687B">
          <w:pPr>
            <w:pStyle w:val="TOC1"/>
            <w:rPr>
              <w:rFonts w:asciiTheme="minorHAnsi" w:eastAsiaTheme="minorEastAsia" w:hAnsiTheme="minorHAnsi" w:cstheme="minorBidi"/>
              <w:noProof/>
              <w:sz w:val="22"/>
              <w:szCs w:val="22"/>
            </w:rPr>
          </w:pPr>
          <w:hyperlink w:anchor="_Toc414269190" w:history="1">
            <w:r w:rsidR="00F5451B" w:rsidRPr="00072D01">
              <w:rPr>
                <w:rStyle w:val="Hyperlink"/>
                <w:rFonts w:ascii="Times New Roman" w:hAnsi="Times New Roman"/>
                <w:noProof/>
              </w:rPr>
              <w:t>Appendix B— Document History</w:t>
            </w:r>
            <w:r w:rsidR="00F5451B">
              <w:rPr>
                <w:noProof/>
                <w:webHidden/>
              </w:rPr>
              <w:tab/>
            </w:r>
            <w:r w:rsidR="00F5451B">
              <w:rPr>
                <w:noProof/>
                <w:webHidden/>
              </w:rPr>
              <w:fldChar w:fldCharType="begin"/>
            </w:r>
            <w:r w:rsidR="00F5451B">
              <w:rPr>
                <w:noProof/>
                <w:webHidden/>
              </w:rPr>
              <w:instrText xml:space="preserve"> PAGEREF _Toc414269190 \h </w:instrText>
            </w:r>
            <w:r w:rsidR="00F5451B">
              <w:rPr>
                <w:noProof/>
                <w:webHidden/>
              </w:rPr>
            </w:r>
            <w:r w:rsidR="00F5451B">
              <w:rPr>
                <w:noProof/>
                <w:webHidden/>
              </w:rPr>
              <w:fldChar w:fldCharType="separate"/>
            </w:r>
            <w:r w:rsidR="00E907D2">
              <w:rPr>
                <w:noProof/>
                <w:webHidden/>
              </w:rPr>
              <w:t>24</w:t>
            </w:r>
            <w:r w:rsidR="00F5451B">
              <w:rPr>
                <w:noProof/>
                <w:webHidden/>
              </w:rPr>
              <w:fldChar w:fldCharType="end"/>
            </w:r>
          </w:hyperlink>
        </w:p>
        <w:p w:rsidR="00F5451B" w:rsidRDefault="0013687B">
          <w:pPr>
            <w:pStyle w:val="TOC1"/>
            <w:rPr>
              <w:rFonts w:asciiTheme="minorHAnsi" w:eastAsiaTheme="minorEastAsia" w:hAnsiTheme="minorHAnsi" w:cstheme="minorBidi"/>
              <w:noProof/>
              <w:sz w:val="22"/>
              <w:szCs w:val="22"/>
            </w:rPr>
          </w:pPr>
          <w:hyperlink w:anchor="_Toc414269191" w:history="1">
            <w:r w:rsidR="00F5451B" w:rsidRPr="00072D01">
              <w:rPr>
                <w:rStyle w:val="Hyperlink"/>
                <w:rFonts w:ascii="Times New Roman" w:hAnsi="Times New Roman"/>
                <w:noProof/>
              </w:rPr>
              <w:t>Appendix C—Fusion Center Cyber Information Sharing</w:t>
            </w:r>
            <w:r w:rsidR="00F5451B">
              <w:rPr>
                <w:noProof/>
                <w:webHidden/>
              </w:rPr>
              <w:tab/>
            </w:r>
            <w:r w:rsidR="00F5451B">
              <w:rPr>
                <w:noProof/>
                <w:webHidden/>
              </w:rPr>
              <w:fldChar w:fldCharType="begin"/>
            </w:r>
            <w:r w:rsidR="00F5451B">
              <w:rPr>
                <w:noProof/>
                <w:webHidden/>
              </w:rPr>
              <w:instrText xml:space="preserve"> PAGEREF _Toc414269191 \h </w:instrText>
            </w:r>
            <w:r w:rsidR="00F5451B">
              <w:rPr>
                <w:noProof/>
                <w:webHidden/>
              </w:rPr>
            </w:r>
            <w:r w:rsidR="00F5451B">
              <w:rPr>
                <w:noProof/>
                <w:webHidden/>
              </w:rPr>
              <w:fldChar w:fldCharType="separate"/>
            </w:r>
            <w:r w:rsidR="00E907D2">
              <w:rPr>
                <w:noProof/>
                <w:webHidden/>
              </w:rPr>
              <w:t>25</w:t>
            </w:r>
            <w:r w:rsidR="00F5451B">
              <w:rPr>
                <w:noProof/>
                <w:webHidden/>
              </w:rPr>
              <w:fldChar w:fldCharType="end"/>
            </w:r>
          </w:hyperlink>
        </w:p>
        <w:p w:rsidR="00F5451B" w:rsidRDefault="0013687B">
          <w:pPr>
            <w:pStyle w:val="TOC4"/>
            <w:rPr>
              <w:rFonts w:asciiTheme="minorHAnsi" w:eastAsiaTheme="minorEastAsia" w:hAnsiTheme="minorHAnsi" w:cstheme="minorBidi"/>
              <w:noProof/>
              <w:sz w:val="22"/>
              <w:szCs w:val="22"/>
            </w:rPr>
          </w:pPr>
          <w:hyperlink w:anchor="_Toc414269192" w:history="1">
            <w:r w:rsidR="00F5451B" w:rsidRPr="00072D01">
              <w:rPr>
                <w:rStyle w:val="Hyperlink"/>
                <w:noProof/>
                <w:highlight w:val="red"/>
              </w:rPr>
              <w:t>Fusion Center Cross-Domain Sharing</w:t>
            </w:r>
            <w:r w:rsidR="00F5451B">
              <w:rPr>
                <w:noProof/>
                <w:webHidden/>
              </w:rPr>
              <w:tab/>
            </w:r>
            <w:r w:rsidR="00F5451B">
              <w:rPr>
                <w:noProof/>
                <w:webHidden/>
              </w:rPr>
              <w:fldChar w:fldCharType="begin"/>
            </w:r>
            <w:r w:rsidR="00F5451B">
              <w:rPr>
                <w:noProof/>
                <w:webHidden/>
              </w:rPr>
              <w:instrText xml:space="preserve"> PAGEREF _Toc414269192 \h </w:instrText>
            </w:r>
            <w:r w:rsidR="00F5451B">
              <w:rPr>
                <w:noProof/>
                <w:webHidden/>
              </w:rPr>
            </w:r>
            <w:r w:rsidR="00F5451B">
              <w:rPr>
                <w:noProof/>
                <w:webHidden/>
              </w:rPr>
              <w:fldChar w:fldCharType="separate"/>
            </w:r>
            <w:r w:rsidR="00E907D2">
              <w:rPr>
                <w:noProof/>
                <w:webHidden/>
              </w:rPr>
              <w:t>25</w:t>
            </w:r>
            <w:r w:rsidR="00F5451B">
              <w:rPr>
                <w:noProof/>
                <w:webHidden/>
              </w:rPr>
              <w:fldChar w:fldCharType="end"/>
            </w:r>
          </w:hyperlink>
        </w:p>
        <w:p w:rsidR="00550EEA" w:rsidRDefault="004E4C68">
          <w:r>
            <w:rPr>
              <w:rFonts w:ascii="Souvenir Lt BT" w:hAnsi="Souvenir Lt BT"/>
              <w:sz w:val="22"/>
            </w:rPr>
            <w:fldChar w:fldCharType="end"/>
          </w:r>
        </w:p>
      </w:sdtContent>
    </w:sdt>
    <w:p w:rsidR="00A24F4B" w:rsidRPr="006872E9" w:rsidRDefault="00A24F4B" w:rsidP="00A24F4B">
      <w:pPr>
        <w:spacing w:line="360" w:lineRule="auto"/>
        <w:rPr>
          <w:sz w:val="22"/>
          <w:szCs w:val="22"/>
        </w:rPr>
      </w:pPr>
    </w:p>
    <w:p w:rsidR="00E52807" w:rsidRPr="006872E9" w:rsidRDefault="00E52807" w:rsidP="00E75051">
      <w:pPr>
        <w:rPr>
          <w:sz w:val="22"/>
          <w:szCs w:val="22"/>
          <w:lang w:eastAsia="x-none"/>
        </w:rPr>
      </w:pPr>
    </w:p>
    <w:p w:rsidR="00B72C57" w:rsidRPr="006872E9" w:rsidRDefault="00B72C57" w:rsidP="00E75051">
      <w:pPr>
        <w:pStyle w:val="TOC1"/>
        <w:tabs>
          <w:tab w:val="left" w:pos="432"/>
        </w:tabs>
        <w:spacing w:before="0" w:after="0"/>
        <w:rPr>
          <w:rFonts w:ascii="Times New Roman" w:hAnsi="Times New Roman"/>
          <w:szCs w:val="22"/>
        </w:rPr>
        <w:sectPr w:rsidR="00B72C57" w:rsidRPr="006872E9" w:rsidSect="00D3137D">
          <w:headerReference w:type="default" r:id="rId8"/>
          <w:footerReference w:type="default" r:id="rId9"/>
          <w:pgSz w:w="12240" w:h="15840" w:code="1"/>
          <w:pgMar w:top="1440" w:right="1440" w:bottom="1152" w:left="1440" w:header="720" w:footer="720" w:gutter="0"/>
          <w:pgNumType w:fmt="lowerRoman" w:start="1"/>
          <w:cols w:space="720"/>
          <w:noEndnote/>
          <w:titlePg/>
          <w:docGrid w:linePitch="326"/>
        </w:sectPr>
      </w:pPr>
    </w:p>
    <w:p w:rsidR="00983B12" w:rsidRPr="00844CA7" w:rsidRDefault="009D48F9" w:rsidP="00844CA7">
      <w:pPr>
        <w:pStyle w:val="Heading1"/>
        <w:rPr>
          <w:rFonts w:ascii="Times New Roman" w:hAnsi="Times New Roman"/>
        </w:rPr>
      </w:pPr>
      <w:bookmarkStart w:id="0" w:name="_Toc412789479"/>
      <w:bookmarkStart w:id="1" w:name="_Toc414269184"/>
      <w:r w:rsidRPr="006872E9">
        <w:rPr>
          <w:rFonts w:ascii="Times New Roman" w:hAnsi="Times New Roman"/>
        </w:rPr>
        <w:t>Background</w:t>
      </w:r>
      <w:bookmarkEnd w:id="0"/>
      <w:bookmarkEnd w:id="1"/>
    </w:p>
    <w:p w:rsidR="00853527" w:rsidRPr="006872E9" w:rsidRDefault="00853527" w:rsidP="00B72C57">
      <w:pPr>
        <w:rPr>
          <w:sz w:val="22"/>
          <w:szCs w:val="22"/>
        </w:rPr>
      </w:pPr>
    </w:p>
    <w:p w:rsidR="00276875" w:rsidRPr="00276875" w:rsidRDefault="00267967" w:rsidP="00276875">
      <w:pPr>
        <w:rPr>
          <w:sz w:val="22"/>
          <w:szCs w:val="22"/>
        </w:rPr>
      </w:pPr>
      <w:r w:rsidRPr="00C72E8B">
        <w:rPr>
          <w:sz w:val="22"/>
          <w:szCs w:val="22"/>
        </w:rPr>
        <w:t xml:space="preserve">Threats and risks are increasingly multi-dimensional in nature – spanning physical space and cyber space. Threat actors understand and exploit our </w:t>
      </w:r>
      <w:r w:rsidR="009D6CA5">
        <w:rPr>
          <w:sz w:val="22"/>
          <w:szCs w:val="22"/>
        </w:rPr>
        <w:t xml:space="preserve">government’s </w:t>
      </w:r>
      <w:r w:rsidRPr="00C72E8B">
        <w:rPr>
          <w:sz w:val="22"/>
          <w:szCs w:val="22"/>
        </w:rPr>
        <w:t>stove piped approach to sharing and analyzing information which</w:t>
      </w:r>
      <w:r w:rsidR="009D6CA5">
        <w:rPr>
          <w:sz w:val="22"/>
          <w:szCs w:val="22"/>
        </w:rPr>
        <w:t>,</w:t>
      </w:r>
      <w:r w:rsidRPr="00C72E8B">
        <w:rPr>
          <w:sz w:val="22"/>
          <w:szCs w:val="22"/>
        </w:rPr>
        <w:t xml:space="preserve"> leads to ineffective collaboration and mediation. </w:t>
      </w:r>
      <w:r>
        <w:rPr>
          <w:sz w:val="22"/>
          <w:szCs w:val="22"/>
        </w:rPr>
        <w:t xml:space="preserve"> </w:t>
      </w:r>
      <w:r w:rsidR="00276875" w:rsidRPr="00276875">
        <w:rPr>
          <w:sz w:val="22"/>
          <w:szCs w:val="22"/>
        </w:rPr>
        <w:t>In the broadest sense, organizations manage threats and risks in order to provide a systematic response to uncertainties and enhance situational awareness. Multiple communities have developed data and exchange schema and interfaces for sharing information about threats, risks</w:t>
      </w:r>
      <w:r w:rsidR="009D6CA5">
        <w:rPr>
          <w:sz w:val="22"/>
          <w:szCs w:val="22"/>
        </w:rPr>
        <w:t>,</w:t>
      </w:r>
      <w:r w:rsidR="00276875" w:rsidRPr="00276875">
        <w:rPr>
          <w:sz w:val="22"/>
          <w:szCs w:val="22"/>
        </w:rPr>
        <w:t xml:space="preserve"> and incidents that impact important government, commercial and personal assets and privacy. While each of these schema and interfaces provides value for a specific community it is difficult to federate these multiple representations to arrive at broad-based, planning, simulation, assessment, situational awareness and forensics, and to then enact the appropriate courses of action. Cyber related attacks have added a new dimension that stresses traditional assessment, monitoring and mitigation strategies.</w:t>
      </w:r>
      <w:r>
        <w:rPr>
          <w:sz w:val="22"/>
          <w:szCs w:val="22"/>
        </w:rPr>
        <w:t xml:space="preserve">  </w:t>
      </w:r>
      <w:r w:rsidRPr="00C72E8B">
        <w:rPr>
          <w:sz w:val="22"/>
          <w:szCs w:val="22"/>
        </w:rPr>
        <w:t xml:space="preserve">Only by federating information across multiple domains </w:t>
      </w:r>
      <w:r w:rsidR="009D6CA5">
        <w:rPr>
          <w:sz w:val="22"/>
          <w:szCs w:val="22"/>
        </w:rPr>
        <w:t>(</w:t>
      </w:r>
      <w:r w:rsidRPr="00C72E8B">
        <w:rPr>
          <w:sz w:val="22"/>
          <w:szCs w:val="22"/>
        </w:rPr>
        <w:t xml:space="preserve">such as cyber, </w:t>
      </w:r>
      <w:r w:rsidR="00983B12" w:rsidRPr="00C72E8B">
        <w:rPr>
          <w:sz w:val="22"/>
          <w:szCs w:val="22"/>
        </w:rPr>
        <w:t>criminal,</w:t>
      </w:r>
      <w:r w:rsidR="00983B12">
        <w:rPr>
          <w:sz w:val="22"/>
          <w:szCs w:val="22"/>
        </w:rPr>
        <w:t xml:space="preserve"> terrorism</w:t>
      </w:r>
      <w:r w:rsidRPr="00C72E8B">
        <w:rPr>
          <w:sz w:val="22"/>
          <w:szCs w:val="22"/>
        </w:rPr>
        <w:t>, critical infrastructure, intelligence and defense</w:t>
      </w:r>
      <w:r w:rsidR="009D6CA5">
        <w:rPr>
          <w:sz w:val="22"/>
          <w:szCs w:val="22"/>
        </w:rPr>
        <w:t>)</w:t>
      </w:r>
      <w:r w:rsidRPr="00C72E8B">
        <w:rPr>
          <w:sz w:val="22"/>
          <w:szCs w:val="22"/>
        </w:rPr>
        <w:t xml:space="preserve"> irrespective of technical and political boundaries, can we effectively counter multi-dimensional intentional threats, natural events and system failures.</w:t>
      </w:r>
      <w:r w:rsidR="009D6CA5">
        <w:rPr>
          <w:sz w:val="22"/>
          <w:szCs w:val="22"/>
        </w:rPr>
        <w:t xml:space="preserve"> Refer to the below</w:t>
      </w:r>
      <w:r w:rsidR="0076508B">
        <w:rPr>
          <w:sz w:val="22"/>
          <w:szCs w:val="22"/>
        </w:rPr>
        <w:t xml:space="preserve"> illustration of a cross-domain</w:t>
      </w:r>
      <w:r w:rsidR="00CD2D85">
        <w:rPr>
          <w:sz w:val="22"/>
          <w:szCs w:val="22"/>
        </w:rPr>
        <w:t xml:space="preserve"> integrated framework for threats and risks</w:t>
      </w:r>
      <w:r w:rsidR="009D6CA5">
        <w:rPr>
          <w:sz w:val="22"/>
          <w:szCs w:val="22"/>
        </w:rPr>
        <w:t>.</w:t>
      </w:r>
    </w:p>
    <w:p w:rsidR="003E186F" w:rsidRPr="00C72E8B" w:rsidRDefault="00C72E8B" w:rsidP="00C72E8B">
      <w:pPr>
        <w:spacing w:before="100" w:beforeAutospacing="1" w:after="384"/>
        <w:rPr>
          <w:sz w:val="22"/>
          <w:szCs w:val="22"/>
        </w:rPr>
      </w:pPr>
      <w:commentRangeStart w:id="2"/>
      <w:r w:rsidRPr="00C72E8B">
        <w:rPr>
          <w:noProof/>
          <w:color w:val="333333"/>
          <w:sz w:val="22"/>
          <w:szCs w:val="22"/>
        </w:rPr>
        <w:drawing>
          <wp:inline distT="0" distB="0" distL="0" distR="0" wp14:anchorId="12EF1440" wp14:editId="78E89E15">
            <wp:extent cx="6026932" cy="2464904"/>
            <wp:effectExtent l="19050" t="19050" r="12065" b="12065"/>
            <wp:docPr id="1" name="Picture 1" descr="ThreatRiskFramewor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tRiskFramewor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5369" cy="2472444"/>
                    </a:xfrm>
                    <a:prstGeom prst="rect">
                      <a:avLst/>
                    </a:prstGeom>
                    <a:noFill/>
                    <a:ln>
                      <a:solidFill>
                        <a:schemeClr val="accent1"/>
                      </a:solidFill>
                    </a:ln>
                  </pic:spPr>
                </pic:pic>
              </a:graphicData>
            </a:graphic>
          </wp:inline>
        </w:drawing>
      </w:r>
      <w:commentRangeEnd w:id="2"/>
      <w:r w:rsidR="00B05F5D">
        <w:rPr>
          <w:rStyle w:val="CommentReference"/>
          <w:rFonts w:ascii="Calibri" w:hAnsi="Calibri"/>
          <w:lang w:bidi="en-US"/>
        </w:rPr>
        <w:commentReference w:id="2"/>
      </w:r>
    </w:p>
    <w:p w:rsidR="00983B12" w:rsidRPr="00AE63BD" w:rsidRDefault="00983B12" w:rsidP="00F5451B">
      <w:pPr>
        <w:pStyle w:val="Heading1"/>
      </w:pPr>
      <w:bookmarkStart w:id="3" w:name="_Toc414269185"/>
      <w:r w:rsidRPr="00F5451B">
        <w:rPr>
          <w:rFonts w:ascii="Times New Roman" w:hAnsi="Times New Roman"/>
        </w:rPr>
        <w:t>Purpose</w:t>
      </w:r>
      <w:bookmarkEnd w:id="3"/>
    </w:p>
    <w:p w:rsidR="00983B12" w:rsidRDefault="00983B12" w:rsidP="00276875">
      <w:pPr>
        <w:rPr>
          <w:sz w:val="22"/>
          <w:szCs w:val="22"/>
        </w:rPr>
      </w:pPr>
    </w:p>
    <w:p w:rsidR="00055C72" w:rsidRDefault="0014180C" w:rsidP="00276875">
      <w:pPr>
        <w:rPr>
          <w:sz w:val="22"/>
          <w:szCs w:val="22"/>
        </w:rPr>
      </w:pPr>
      <w:r w:rsidRPr="00C72E8B">
        <w:rPr>
          <w:sz w:val="22"/>
          <w:szCs w:val="22"/>
        </w:rPr>
        <w:t xml:space="preserve">This document is meant to help capture </w:t>
      </w:r>
      <w:r w:rsidR="003E186F">
        <w:rPr>
          <w:sz w:val="22"/>
          <w:szCs w:val="22"/>
        </w:rPr>
        <w:t>a sampl</w:t>
      </w:r>
      <w:r w:rsidR="00CD2D85">
        <w:rPr>
          <w:sz w:val="22"/>
          <w:szCs w:val="22"/>
        </w:rPr>
        <w:t>ing</w:t>
      </w:r>
      <w:r w:rsidR="003E186F">
        <w:rPr>
          <w:sz w:val="22"/>
          <w:szCs w:val="22"/>
        </w:rPr>
        <w:t xml:space="preserve"> of </w:t>
      </w:r>
      <w:r w:rsidRPr="00C72E8B">
        <w:rPr>
          <w:sz w:val="22"/>
          <w:szCs w:val="22"/>
        </w:rPr>
        <w:t xml:space="preserve">scenarios that can </w:t>
      </w:r>
      <w:r w:rsidR="00CD2D85">
        <w:rPr>
          <w:sz w:val="22"/>
          <w:szCs w:val="22"/>
        </w:rPr>
        <w:t xml:space="preserve">potentially </w:t>
      </w:r>
      <w:r w:rsidRPr="00C72E8B">
        <w:rPr>
          <w:sz w:val="22"/>
          <w:szCs w:val="22"/>
        </w:rPr>
        <w:t>be used help fill the gaps</w:t>
      </w:r>
      <w:r w:rsidR="003E186F">
        <w:rPr>
          <w:sz w:val="22"/>
          <w:szCs w:val="22"/>
        </w:rPr>
        <w:t xml:space="preserve"> in cross domain information sharing requirements</w:t>
      </w:r>
      <w:r w:rsidRPr="00C72E8B">
        <w:rPr>
          <w:sz w:val="22"/>
          <w:szCs w:val="22"/>
        </w:rPr>
        <w:t xml:space="preserve">, </w:t>
      </w:r>
      <w:r w:rsidR="003E186F">
        <w:rPr>
          <w:sz w:val="22"/>
          <w:szCs w:val="22"/>
        </w:rPr>
        <w:t xml:space="preserve">to </w:t>
      </w:r>
      <w:r w:rsidRPr="00C72E8B">
        <w:rPr>
          <w:sz w:val="22"/>
          <w:szCs w:val="22"/>
        </w:rPr>
        <w:t xml:space="preserve">validate definitions and model structures, and </w:t>
      </w:r>
      <w:r w:rsidR="003E186F">
        <w:rPr>
          <w:sz w:val="22"/>
          <w:szCs w:val="22"/>
        </w:rPr>
        <w:t xml:space="preserve">assist in </w:t>
      </w:r>
      <w:r w:rsidR="003E186F" w:rsidRPr="00C72E8B">
        <w:rPr>
          <w:sz w:val="22"/>
          <w:szCs w:val="22"/>
        </w:rPr>
        <w:t>identif</w:t>
      </w:r>
      <w:r w:rsidR="003E186F">
        <w:rPr>
          <w:sz w:val="22"/>
          <w:szCs w:val="22"/>
        </w:rPr>
        <w:t>ying</w:t>
      </w:r>
      <w:r w:rsidRPr="00C72E8B">
        <w:rPr>
          <w:sz w:val="22"/>
          <w:szCs w:val="22"/>
        </w:rPr>
        <w:t xml:space="preserve"> opportunities where </w:t>
      </w:r>
      <w:r w:rsidR="003E186F">
        <w:rPr>
          <w:sz w:val="22"/>
          <w:szCs w:val="22"/>
        </w:rPr>
        <w:t>an information sharing</w:t>
      </w:r>
      <w:r w:rsidRPr="00C72E8B">
        <w:rPr>
          <w:sz w:val="22"/>
          <w:szCs w:val="22"/>
        </w:rPr>
        <w:t xml:space="preserve"> model</w:t>
      </w:r>
      <w:r w:rsidR="00CD2D85">
        <w:rPr>
          <w:sz w:val="22"/>
          <w:szCs w:val="22"/>
        </w:rPr>
        <w:t>s</w:t>
      </w:r>
      <w:r w:rsidRPr="00C72E8B">
        <w:rPr>
          <w:sz w:val="22"/>
          <w:szCs w:val="22"/>
        </w:rPr>
        <w:t xml:space="preserve"> may be extended to address needs of a specific community.  </w:t>
      </w:r>
      <w:r w:rsidR="00983B12">
        <w:rPr>
          <w:sz w:val="22"/>
          <w:szCs w:val="22"/>
        </w:rPr>
        <w:t>These cross domain</w:t>
      </w:r>
      <w:r w:rsidR="00BF75BE" w:rsidRPr="00C72E8B">
        <w:rPr>
          <w:sz w:val="22"/>
          <w:szCs w:val="22"/>
        </w:rPr>
        <w:t xml:space="preserve"> use cases provide the</w:t>
      </w:r>
      <w:r w:rsidR="00BF75BE" w:rsidRPr="006872E9">
        <w:rPr>
          <w:sz w:val="22"/>
          <w:szCs w:val="22"/>
        </w:rPr>
        <w:t xml:space="preserve"> details of the business problem, the stakeholders</w:t>
      </w:r>
      <w:r w:rsidR="00EE7C23" w:rsidRPr="006872E9">
        <w:rPr>
          <w:sz w:val="22"/>
          <w:szCs w:val="22"/>
        </w:rPr>
        <w:t>/actors</w:t>
      </w:r>
      <w:r>
        <w:rPr>
          <w:sz w:val="22"/>
          <w:szCs w:val="22"/>
        </w:rPr>
        <w:t>/partners</w:t>
      </w:r>
      <w:r w:rsidR="00BF75BE" w:rsidRPr="006872E9">
        <w:rPr>
          <w:sz w:val="22"/>
          <w:szCs w:val="22"/>
        </w:rPr>
        <w:t xml:space="preserve"> involved, business </w:t>
      </w:r>
      <w:r w:rsidR="00983B12">
        <w:rPr>
          <w:sz w:val="22"/>
          <w:szCs w:val="22"/>
        </w:rPr>
        <w:t xml:space="preserve">process </w:t>
      </w:r>
      <w:r w:rsidR="00BF75BE" w:rsidRPr="006872E9">
        <w:rPr>
          <w:sz w:val="22"/>
          <w:szCs w:val="22"/>
        </w:rPr>
        <w:t xml:space="preserve">rules, </w:t>
      </w:r>
      <w:r w:rsidR="00E400F4">
        <w:rPr>
          <w:sz w:val="22"/>
          <w:szCs w:val="22"/>
        </w:rPr>
        <w:t xml:space="preserve">types of information </w:t>
      </w:r>
      <w:r w:rsidR="00983B12">
        <w:rPr>
          <w:sz w:val="22"/>
          <w:szCs w:val="22"/>
        </w:rPr>
        <w:t xml:space="preserve">exchanges, </w:t>
      </w:r>
      <w:r w:rsidR="00BF75BE" w:rsidRPr="006872E9">
        <w:rPr>
          <w:sz w:val="22"/>
          <w:szCs w:val="22"/>
        </w:rPr>
        <w:t>detailed data elements and any policy elements associated with access control</w:t>
      </w:r>
      <w:r>
        <w:rPr>
          <w:sz w:val="22"/>
          <w:szCs w:val="22"/>
        </w:rPr>
        <w:t xml:space="preserve">, PII data, </w:t>
      </w:r>
      <w:r w:rsidR="003E186F">
        <w:rPr>
          <w:sz w:val="22"/>
          <w:szCs w:val="22"/>
        </w:rPr>
        <w:t xml:space="preserve">and </w:t>
      </w:r>
      <w:r>
        <w:rPr>
          <w:sz w:val="22"/>
          <w:szCs w:val="22"/>
        </w:rPr>
        <w:t>security classification</w:t>
      </w:r>
      <w:r w:rsidR="00983B12">
        <w:rPr>
          <w:sz w:val="22"/>
          <w:szCs w:val="22"/>
        </w:rPr>
        <w:t xml:space="preserve"> fabrics</w:t>
      </w:r>
      <w:r w:rsidR="00055C72">
        <w:rPr>
          <w:sz w:val="22"/>
          <w:szCs w:val="22"/>
        </w:rPr>
        <w:t xml:space="preserve">.  </w:t>
      </w:r>
    </w:p>
    <w:p w:rsidR="00430CC9" w:rsidRDefault="00430CC9">
      <w:pPr>
        <w:rPr>
          <w:rFonts w:ascii="Souvenir Lt BT" w:hAnsi="Souvenir Lt BT"/>
          <w:b/>
          <w:sz w:val="24"/>
        </w:rPr>
      </w:pPr>
      <w:r>
        <w:br w:type="page"/>
      </w:r>
    </w:p>
    <w:p w:rsidR="00565B7A" w:rsidRPr="006872E9" w:rsidRDefault="00044012" w:rsidP="00565B7A">
      <w:pPr>
        <w:pStyle w:val="Heading2"/>
      </w:pPr>
      <w:bookmarkStart w:id="4" w:name="_Toc412789480"/>
      <w:bookmarkStart w:id="5" w:name="_Toc414269186"/>
      <w:r>
        <w:t>Communities of Interest</w:t>
      </w:r>
      <w:bookmarkEnd w:id="4"/>
      <w:bookmarkEnd w:id="5"/>
    </w:p>
    <w:p w:rsidR="00E55178" w:rsidRDefault="00E55178">
      <w:pPr>
        <w:rPr>
          <w:sz w:val="22"/>
          <w:szCs w:val="22"/>
        </w:rPr>
      </w:pPr>
      <w:bookmarkStart w:id="6" w:name="_Toc345418866"/>
    </w:p>
    <w:p w:rsidR="00BE5B9D" w:rsidRDefault="00497BB0">
      <w:pPr>
        <w:rPr>
          <w:sz w:val="22"/>
          <w:szCs w:val="22"/>
        </w:rPr>
      </w:pPr>
      <w:r>
        <w:rPr>
          <w:sz w:val="22"/>
          <w:szCs w:val="22"/>
        </w:rPr>
        <w:t xml:space="preserve">The use cases outlined </w:t>
      </w:r>
      <w:r w:rsidR="000517A0">
        <w:rPr>
          <w:sz w:val="22"/>
          <w:szCs w:val="22"/>
        </w:rPr>
        <w:t xml:space="preserve">in this document </w:t>
      </w:r>
      <w:r>
        <w:rPr>
          <w:sz w:val="22"/>
          <w:szCs w:val="22"/>
        </w:rPr>
        <w:t xml:space="preserve">may be </w:t>
      </w:r>
      <w:r w:rsidR="000517A0">
        <w:rPr>
          <w:sz w:val="22"/>
          <w:szCs w:val="22"/>
        </w:rPr>
        <w:t xml:space="preserve">used for identifying and </w:t>
      </w:r>
      <w:r w:rsidR="00397A16">
        <w:rPr>
          <w:sz w:val="22"/>
          <w:szCs w:val="22"/>
        </w:rPr>
        <w:t>understanding how seemingly different</w:t>
      </w:r>
      <w:r w:rsidR="000517A0">
        <w:rPr>
          <w:sz w:val="22"/>
          <w:szCs w:val="22"/>
        </w:rPr>
        <w:t xml:space="preserve"> communities can more effectively share </w:t>
      </w:r>
      <w:r w:rsidR="00397A16">
        <w:rPr>
          <w:sz w:val="22"/>
          <w:szCs w:val="22"/>
        </w:rPr>
        <w:t xml:space="preserve">threat and risk </w:t>
      </w:r>
      <w:r w:rsidR="000517A0">
        <w:rPr>
          <w:sz w:val="22"/>
          <w:szCs w:val="22"/>
        </w:rPr>
        <w:t>information</w:t>
      </w:r>
      <w:r w:rsidR="00397A16">
        <w:rPr>
          <w:sz w:val="22"/>
          <w:szCs w:val="22"/>
        </w:rPr>
        <w:t xml:space="preserve"> to address common concerns</w:t>
      </w:r>
      <w:r w:rsidR="000517A0">
        <w:rPr>
          <w:sz w:val="22"/>
          <w:szCs w:val="22"/>
        </w:rPr>
        <w:t xml:space="preserve">.  </w:t>
      </w:r>
      <w:r w:rsidR="00844CA7">
        <w:rPr>
          <w:sz w:val="22"/>
          <w:szCs w:val="22"/>
        </w:rPr>
        <w:t xml:space="preserve">These shared communities are </w:t>
      </w:r>
      <w:r w:rsidR="00397A16">
        <w:rPr>
          <w:sz w:val="22"/>
          <w:szCs w:val="22"/>
        </w:rPr>
        <w:t>frequently</w:t>
      </w:r>
      <w:r w:rsidR="00844CA7">
        <w:rPr>
          <w:sz w:val="22"/>
          <w:szCs w:val="22"/>
        </w:rPr>
        <w:t xml:space="preserve"> referred to as “Communities of Interest” (COI).</w:t>
      </w:r>
      <w:r w:rsidR="00BE5B9D">
        <w:rPr>
          <w:sz w:val="22"/>
          <w:szCs w:val="22"/>
        </w:rPr>
        <w:t xml:space="preserve"> The following table describe</w:t>
      </w:r>
      <w:r w:rsidR="00983B12">
        <w:rPr>
          <w:sz w:val="22"/>
          <w:szCs w:val="22"/>
        </w:rPr>
        <w:t>s</w:t>
      </w:r>
      <w:r w:rsidR="00BE5B9D">
        <w:rPr>
          <w:sz w:val="22"/>
          <w:szCs w:val="22"/>
        </w:rPr>
        <w:t xml:space="preserve"> the different combinations that </w:t>
      </w:r>
      <w:r w:rsidR="00844CA7">
        <w:rPr>
          <w:sz w:val="22"/>
          <w:szCs w:val="22"/>
        </w:rPr>
        <w:t>comprise</w:t>
      </w:r>
      <w:r w:rsidR="00BE5B9D">
        <w:rPr>
          <w:sz w:val="22"/>
          <w:szCs w:val="22"/>
        </w:rPr>
        <w:t xml:space="preserve"> the </w:t>
      </w:r>
      <w:r w:rsidR="00397A16">
        <w:rPr>
          <w:sz w:val="22"/>
          <w:szCs w:val="22"/>
        </w:rPr>
        <w:t xml:space="preserve">cross domain </w:t>
      </w:r>
      <w:r w:rsidR="00844CA7">
        <w:rPr>
          <w:sz w:val="22"/>
          <w:szCs w:val="22"/>
        </w:rPr>
        <w:t>COI</w:t>
      </w:r>
      <w:r w:rsidR="00BE5B9D">
        <w:rPr>
          <w:sz w:val="22"/>
          <w:szCs w:val="22"/>
        </w:rPr>
        <w:t>, and how these communities may be associated with the specific use cases under consideration</w:t>
      </w:r>
      <w:r w:rsidR="00397A16">
        <w:rPr>
          <w:sz w:val="22"/>
          <w:szCs w:val="22"/>
        </w:rPr>
        <w:t xml:space="preserve"> in this document</w:t>
      </w:r>
      <w:r w:rsidR="00BE5B9D">
        <w:rPr>
          <w:sz w:val="22"/>
          <w:szCs w:val="22"/>
        </w:rPr>
        <w:t xml:space="preserve">.  </w:t>
      </w:r>
    </w:p>
    <w:p w:rsidR="00BE5B9D" w:rsidRDefault="00BE5B9D">
      <w:pPr>
        <w:rPr>
          <w:sz w:val="22"/>
          <w:szCs w:val="22"/>
        </w:rPr>
      </w:pPr>
    </w:p>
    <w:p w:rsidR="006D69D3" w:rsidRPr="00B35318" w:rsidRDefault="00844CA7" w:rsidP="00794D96">
      <w:pPr>
        <w:pStyle w:val="Heading2"/>
        <w:rPr>
          <w:rFonts w:ascii="Times New Roman" w:hAnsi="Times New Roman"/>
          <w:sz w:val="22"/>
          <w:szCs w:val="22"/>
        </w:rPr>
      </w:pPr>
      <w:bookmarkStart w:id="7" w:name="_Toc414269187"/>
      <w:bookmarkStart w:id="8" w:name="_Toc412789481"/>
      <w:r>
        <w:rPr>
          <w:rFonts w:ascii="Times New Roman" w:hAnsi="Times New Roman"/>
          <w:sz w:val="22"/>
          <w:szCs w:val="22"/>
        </w:rPr>
        <w:t>Cross Domain Key Communities</w:t>
      </w:r>
      <w:bookmarkEnd w:id="7"/>
      <w:bookmarkEnd w:id="8"/>
    </w:p>
    <w:p w:rsidR="00B35318" w:rsidRDefault="00B35318" w:rsidP="00B35318">
      <w:pPr>
        <w:rPr>
          <w:sz w:val="22"/>
          <w:szCs w:val="22"/>
        </w:rPr>
      </w:pPr>
    </w:p>
    <w:p w:rsidR="006D69D3" w:rsidRPr="00B35318" w:rsidRDefault="006D69D3" w:rsidP="00B35318">
      <w:pPr>
        <w:rPr>
          <w:sz w:val="22"/>
          <w:szCs w:val="22"/>
        </w:rPr>
      </w:pPr>
      <w:r w:rsidRPr="00B35318">
        <w:rPr>
          <w:sz w:val="22"/>
          <w:szCs w:val="22"/>
        </w:rPr>
        <w:t xml:space="preserve">There are </w:t>
      </w:r>
      <w:r w:rsidR="00844CA7">
        <w:rPr>
          <w:sz w:val="22"/>
          <w:szCs w:val="22"/>
        </w:rPr>
        <w:t>four</w:t>
      </w:r>
      <w:r w:rsidRPr="00B35318">
        <w:rPr>
          <w:sz w:val="22"/>
          <w:szCs w:val="22"/>
        </w:rPr>
        <w:t xml:space="preserve"> key </w:t>
      </w:r>
      <w:r w:rsidR="00844CA7">
        <w:rPr>
          <w:sz w:val="22"/>
          <w:szCs w:val="22"/>
        </w:rPr>
        <w:t>COI</w:t>
      </w:r>
      <w:r w:rsidRPr="00B35318">
        <w:rPr>
          <w:sz w:val="22"/>
          <w:szCs w:val="22"/>
        </w:rPr>
        <w:t xml:space="preserve"> identified as potential stakeholders for sharing </w:t>
      </w:r>
      <w:r w:rsidR="00844CA7">
        <w:rPr>
          <w:sz w:val="22"/>
          <w:szCs w:val="22"/>
        </w:rPr>
        <w:t xml:space="preserve">cross domain </w:t>
      </w:r>
      <w:r w:rsidRPr="00B35318">
        <w:rPr>
          <w:sz w:val="22"/>
          <w:szCs w:val="22"/>
        </w:rPr>
        <w:t xml:space="preserve">threat </w:t>
      </w:r>
      <w:r w:rsidR="00D92583">
        <w:rPr>
          <w:sz w:val="22"/>
          <w:szCs w:val="22"/>
        </w:rPr>
        <w:t xml:space="preserve">and risk </w:t>
      </w:r>
      <w:r w:rsidRPr="00B35318">
        <w:rPr>
          <w:sz w:val="22"/>
          <w:szCs w:val="22"/>
        </w:rPr>
        <w:t>information:</w:t>
      </w:r>
    </w:p>
    <w:p w:rsidR="006D69D3" w:rsidRPr="00E05E55" w:rsidRDefault="006D69D3" w:rsidP="00995887">
      <w:pPr>
        <w:pStyle w:val="ListParagraph"/>
        <w:numPr>
          <w:ilvl w:val="0"/>
          <w:numId w:val="8"/>
        </w:numPr>
        <w:rPr>
          <w:rFonts w:ascii="Times New Roman" w:hAnsi="Times New Roman"/>
        </w:rPr>
      </w:pPr>
      <w:r w:rsidRPr="00E05E55">
        <w:rPr>
          <w:rFonts w:ascii="Times New Roman" w:hAnsi="Times New Roman"/>
        </w:rPr>
        <w:t xml:space="preserve">Private Sector (P): Private sector </w:t>
      </w:r>
      <w:r w:rsidR="00E82F85" w:rsidRPr="00E05E55">
        <w:rPr>
          <w:rFonts w:ascii="Times New Roman" w:hAnsi="Times New Roman"/>
        </w:rPr>
        <w:t>corporations</w:t>
      </w:r>
      <w:r w:rsidR="00D92583">
        <w:rPr>
          <w:rFonts w:ascii="Times New Roman" w:hAnsi="Times New Roman"/>
        </w:rPr>
        <w:t xml:space="preserve"> </w:t>
      </w:r>
      <w:r w:rsidR="00E82F85" w:rsidRPr="00E05E55">
        <w:rPr>
          <w:rFonts w:ascii="Times New Roman" w:hAnsi="Times New Roman"/>
        </w:rPr>
        <w:t>includ</w:t>
      </w:r>
      <w:r w:rsidR="00D92583">
        <w:rPr>
          <w:rFonts w:ascii="Times New Roman" w:hAnsi="Times New Roman"/>
        </w:rPr>
        <w:t>ing</w:t>
      </w:r>
      <w:r w:rsidR="00E82F85" w:rsidRPr="00E05E55">
        <w:rPr>
          <w:rFonts w:ascii="Times New Roman" w:hAnsi="Times New Roman"/>
        </w:rPr>
        <w:t xml:space="preserve"> all domestic and international corporations</w:t>
      </w:r>
      <w:r w:rsidR="00213DD5">
        <w:rPr>
          <w:rFonts w:ascii="Times New Roman" w:hAnsi="Times New Roman"/>
        </w:rPr>
        <w:t>, particularly those</w:t>
      </w:r>
      <w:r w:rsidR="00213DD5" w:rsidRPr="00213DD5">
        <w:rPr>
          <w:rFonts w:ascii="Times New Roman" w:hAnsi="Times New Roman"/>
        </w:rPr>
        <w:t xml:space="preserve"> </w:t>
      </w:r>
      <w:r w:rsidR="00213DD5" w:rsidRPr="00E05E55">
        <w:rPr>
          <w:rFonts w:ascii="Times New Roman" w:hAnsi="Times New Roman"/>
        </w:rPr>
        <w:t>most susceptible industries and privately owned and managed critical infrastructure</w:t>
      </w:r>
      <w:r w:rsidR="00844CA7">
        <w:rPr>
          <w:rFonts w:ascii="Times New Roman" w:hAnsi="Times New Roman"/>
        </w:rPr>
        <w:t>;</w:t>
      </w:r>
    </w:p>
    <w:p w:rsidR="006D69D3" w:rsidRPr="00E05E55" w:rsidRDefault="006D69D3" w:rsidP="00995887">
      <w:pPr>
        <w:pStyle w:val="ListParagraph"/>
        <w:numPr>
          <w:ilvl w:val="0"/>
          <w:numId w:val="8"/>
        </w:numPr>
        <w:rPr>
          <w:rFonts w:ascii="Times New Roman" w:hAnsi="Times New Roman"/>
        </w:rPr>
      </w:pPr>
      <w:r w:rsidRPr="00E05E55">
        <w:rPr>
          <w:rFonts w:ascii="Times New Roman" w:hAnsi="Times New Roman"/>
        </w:rPr>
        <w:t>Federal</w:t>
      </w:r>
      <w:r w:rsidR="00E82F85" w:rsidRPr="00E05E55">
        <w:rPr>
          <w:rFonts w:ascii="Times New Roman" w:hAnsi="Times New Roman"/>
        </w:rPr>
        <w:t xml:space="preserve"> (F): Federal government</w:t>
      </w:r>
      <w:r w:rsidR="001053A0">
        <w:rPr>
          <w:rFonts w:ascii="Times New Roman" w:hAnsi="Times New Roman"/>
        </w:rPr>
        <w:t xml:space="preserve"> departments and agencies;</w:t>
      </w:r>
    </w:p>
    <w:p w:rsidR="006D69D3" w:rsidRPr="00E05E55" w:rsidRDefault="006D69D3" w:rsidP="00995887">
      <w:pPr>
        <w:pStyle w:val="ListParagraph"/>
        <w:numPr>
          <w:ilvl w:val="0"/>
          <w:numId w:val="8"/>
        </w:numPr>
        <w:rPr>
          <w:rFonts w:ascii="Times New Roman" w:hAnsi="Times New Roman"/>
        </w:rPr>
      </w:pPr>
      <w:r w:rsidRPr="00E05E55">
        <w:rPr>
          <w:rFonts w:ascii="Times New Roman" w:hAnsi="Times New Roman"/>
        </w:rPr>
        <w:t>State, Local</w:t>
      </w:r>
      <w:r w:rsidR="001053A0">
        <w:rPr>
          <w:rFonts w:ascii="Times New Roman" w:hAnsi="Times New Roman"/>
        </w:rPr>
        <w:t xml:space="preserve">, </w:t>
      </w:r>
      <w:r w:rsidRPr="00E05E55">
        <w:rPr>
          <w:rFonts w:ascii="Times New Roman" w:hAnsi="Times New Roman"/>
        </w:rPr>
        <w:t>Tribal</w:t>
      </w:r>
      <w:r w:rsidR="001053A0">
        <w:rPr>
          <w:rFonts w:ascii="Times New Roman" w:hAnsi="Times New Roman"/>
        </w:rPr>
        <w:t xml:space="preserve"> and Territorial</w:t>
      </w:r>
      <w:r w:rsidRPr="00E05E55">
        <w:rPr>
          <w:rFonts w:ascii="Times New Roman" w:hAnsi="Times New Roman"/>
        </w:rPr>
        <w:t xml:space="preserve"> (S):</w:t>
      </w:r>
      <w:r w:rsidR="00E82F85" w:rsidRPr="00E05E55">
        <w:rPr>
          <w:rFonts w:ascii="Times New Roman" w:hAnsi="Times New Roman"/>
        </w:rPr>
        <w:t xml:space="preserve"> </w:t>
      </w:r>
      <w:r w:rsidR="001053A0">
        <w:rPr>
          <w:rFonts w:ascii="Times New Roman" w:hAnsi="Times New Roman"/>
        </w:rPr>
        <w:t>A</w:t>
      </w:r>
      <w:r w:rsidR="00F83BA0">
        <w:rPr>
          <w:rFonts w:ascii="Times New Roman" w:hAnsi="Times New Roman"/>
        </w:rPr>
        <w:t xml:space="preserve"> N</w:t>
      </w:r>
      <w:r w:rsidR="00E82F85" w:rsidRPr="00E05E55">
        <w:rPr>
          <w:rFonts w:ascii="Times New Roman" w:hAnsi="Times New Roman"/>
        </w:rPr>
        <w:t>on-federal government</w:t>
      </w:r>
      <w:r w:rsidR="00D92583">
        <w:rPr>
          <w:rFonts w:ascii="Times New Roman" w:hAnsi="Times New Roman"/>
        </w:rPr>
        <w:t xml:space="preserve"> department and agencies</w:t>
      </w:r>
      <w:r w:rsidR="001053A0">
        <w:rPr>
          <w:rFonts w:ascii="Times New Roman" w:hAnsi="Times New Roman"/>
        </w:rPr>
        <w:t>;</w:t>
      </w:r>
    </w:p>
    <w:p w:rsidR="00E82F85" w:rsidRPr="00E05E55" w:rsidRDefault="006D69D3" w:rsidP="00995887">
      <w:pPr>
        <w:pStyle w:val="ListParagraph"/>
        <w:numPr>
          <w:ilvl w:val="0"/>
          <w:numId w:val="8"/>
        </w:numPr>
        <w:rPr>
          <w:rFonts w:ascii="Times New Roman" w:hAnsi="Times New Roman"/>
        </w:rPr>
      </w:pPr>
      <w:r w:rsidRPr="00E05E55">
        <w:rPr>
          <w:rFonts w:ascii="Times New Roman" w:hAnsi="Times New Roman"/>
        </w:rPr>
        <w:t>International (I):</w:t>
      </w:r>
      <w:r w:rsidR="00E82F85" w:rsidRPr="00E05E55">
        <w:rPr>
          <w:rFonts w:ascii="Times New Roman" w:hAnsi="Times New Roman"/>
        </w:rPr>
        <w:t xml:space="preserve"> International government mission partners</w:t>
      </w:r>
      <w:r w:rsidR="001053A0">
        <w:rPr>
          <w:rFonts w:ascii="Times New Roman" w:hAnsi="Times New Roman"/>
        </w:rPr>
        <w:t>; and</w:t>
      </w:r>
      <w:r w:rsidR="00E82F85" w:rsidRPr="00E05E55">
        <w:rPr>
          <w:rFonts w:ascii="Times New Roman" w:hAnsi="Times New Roman"/>
        </w:rPr>
        <w:t xml:space="preserve"> </w:t>
      </w:r>
    </w:p>
    <w:p w:rsidR="00E82F85" w:rsidRPr="00E05E55" w:rsidRDefault="00E82F85" w:rsidP="00995887">
      <w:pPr>
        <w:pStyle w:val="ListParagraph"/>
        <w:numPr>
          <w:ilvl w:val="0"/>
          <w:numId w:val="8"/>
        </w:numPr>
        <w:rPr>
          <w:rFonts w:ascii="Times New Roman" w:hAnsi="Times New Roman"/>
        </w:rPr>
      </w:pPr>
      <w:r w:rsidRPr="00E05E55">
        <w:rPr>
          <w:rFonts w:ascii="Times New Roman" w:hAnsi="Times New Roman"/>
        </w:rPr>
        <w:t xml:space="preserve">Citizens (C): </w:t>
      </w:r>
      <w:r w:rsidR="00844CA7">
        <w:rPr>
          <w:rFonts w:ascii="Times New Roman" w:hAnsi="Times New Roman"/>
        </w:rPr>
        <w:t>P</w:t>
      </w:r>
      <w:r w:rsidRPr="00E05E55">
        <w:rPr>
          <w:rFonts w:ascii="Times New Roman" w:hAnsi="Times New Roman"/>
        </w:rPr>
        <w:t xml:space="preserve">rivate </w:t>
      </w:r>
      <w:r w:rsidR="00817FC8" w:rsidRPr="00E05E55">
        <w:rPr>
          <w:rFonts w:ascii="Times New Roman" w:hAnsi="Times New Roman"/>
        </w:rPr>
        <w:t>Citizens</w:t>
      </w:r>
      <w:r w:rsidR="001053A0">
        <w:rPr>
          <w:rFonts w:ascii="Times New Roman" w:hAnsi="Times New Roman"/>
        </w:rPr>
        <w:t>.</w:t>
      </w:r>
    </w:p>
    <w:p w:rsidR="0001242C" w:rsidRDefault="00E82F85" w:rsidP="00B35318">
      <w:pPr>
        <w:rPr>
          <w:sz w:val="22"/>
          <w:szCs w:val="22"/>
        </w:rPr>
      </w:pPr>
      <w:r w:rsidRPr="00B35318">
        <w:rPr>
          <w:sz w:val="22"/>
          <w:szCs w:val="22"/>
        </w:rPr>
        <w:t xml:space="preserve">The following </w:t>
      </w:r>
      <w:r w:rsidR="00BA09AA">
        <w:rPr>
          <w:sz w:val="22"/>
          <w:szCs w:val="22"/>
        </w:rPr>
        <w:t>illustration depicts the aforementioned COIs and their potential paths and opportunities to engage in cross domain</w:t>
      </w:r>
      <w:r w:rsidR="00D92583">
        <w:rPr>
          <w:sz w:val="22"/>
          <w:szCs w:val="22"/>
        </w:rPr>
        <w:t xml:space="preserve"> threat and risk</w:t>
      </w:r>
      <w:r w:rsidR="00BA09AA">
        <w:rPr>
          <w:sz w:val="22"/>
          <w:szCs w:val="22"/>
        </w:rPr>
        <w:t xml:space="preserve"> information sharing.</w:t>
      </w:r>
      <w:r w:rsidRPr="00B35318">
        <w:rPr>
          <w:sz w:val="22"/>
          <w:szCs w:val="22"/>
        </w:rPr>
        <w:t xml:space="preserve">  </w:t>
      </w:r>
      <w:r w:rsidR="00BA09AA">
        <w:rPr>
          <w:sz w:val="22"/>
          <w:szCs w:val="22"/>
        </w:rPr>
        <w:t>Relevant and responsible sharing of information with private c</w:t>
      </w:r>
      <w:r w:rsidRPr="00B35318">
        <w:rPr>
          <w:sz w:val="22"/>
          <w:szCs w:val="22"/>
        </w:rPr>
        <w:t xml:space="preserve">itizen sharing may happen across all the COIs, and are not separately called out </w:t>
      </w:r>
      <w:r w:rsidR="00BA09AA">
        <w:rPr>
          <w:sz w:val="22"/>
          <w:szCs w:val="22"/>
        </w:rPr>
        <w:t>in the diagram below</w:t>
      </w:r>
      <w:r w:rsidRPr="00B35318">
        <w:rPr>
          <w:sz w:val="22"/>
          <w:szCs w:val="22"/>
        </w:rPr>
        <w:t>.</w:t>
      </w:r>
    </w:p>
    <w:p w:rsidR="00BA09AA" w:rsidRDefault="00BA09AA" w:rsidP="00B35318">
      <w:pPr>
        <w:rPr>
          <w:sz w:val="22"/>
          <w:szCs w:val="22"/>
        </w:rPr>
      </w:pPr>
    </w:p>
    <w:p w:rsidR="00BA09AA" w:rsidRDefault="00BA09AA" w:rsidP="00B35318">
      <w:pPr>
        <w:rPr>
          <w:sz w:val="22"/>
          <w:szCs w:val="22"/>
        </w:rPr>
      </w:pPr>
      <w:r>
        <w:rPr>
          <w:noProof/>
          <w:sz w:val="22"/>
          <w:szCs w:val="22"/>
        </w:rPr>
        <w:drawing>
          <wp:inline distT="0" distB="0" distL="0" distR="0" wp14:anchorId="0F058CBC" wp14:editId="62F4BA92">
            <wp:extent cx="5096786" cy="3796673"/>
            <wp:effectExtent l="19050" t="19050" r="2794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9030" cy="3798345"/>
                    </a:xfrm>
                    <a:prstGeom prst="rect">
                      <a:avLst/>
                    </a:prstGeom>
                    <a:noFill/>
                    <a:ln>
                      <a:solidFill>
                        <a:schemeClr val="accent1"/>
                      </a:solidFill>
                    </a:ln>
                  </pic:spPr>
                </pic:pic>
              </a:graphicData>
            </a:graphic>
          </wp:inline>
        </w:drawing>
      </w:r>
    </w:p>
    <w:p w:rsidR="00B35318" w:rsidRDefault="00B35318" w:rsidP="00B35318">
      <w:pPr>
        <w:rPr>
          <w:sz w:val="22"/>
          <w:szCs w:val="22"/>
        </w:rPr>
      </w:pPr>
    </w:p>
    <w:p w:rsidR="00E55178" w:rsidRDefault="00E55178" w:rsidP="00B35318">
      <w:pPr>
        <w:rPr>
          <w:sz w:val="22"/>
          <w:szCs w:val="22"/>
        </w:rPr>
      </w:pPr>
    </w:p>
    <w:p w:rsidR="00E55178" w:rsidRDefault="00E55178" w:rsidP="00B35318">
      <w:pPr>
        <w:rPr>
          <w:sz w:val="22"/>
          <w:szCs w:val="22"/>
        </w:rPr>
      </w:pPr>
    </w:p>
    <w:p w:rsidR="00E55178" w:rsidRDefault="00E55178" w:rsidP="00B35318">
      <w:pPr>
        <w:rPr>
          <w:sz w:val="22"/>
          <w:szCs w:val="22"/>
        </w:rPr>
      </w:pPr>
    </w:p>
    <w:p w:rsidR="00E55178" w:rsidRDefault="00E55178" w:rsidP="00B35318">
      <w:pPr>
        <w:rPr>
          <w:sz w:val="22"/>
          <w:szCs w:val="22"/>
        </w:rPr>
      </w:pPr>
      <w:r w:rsidRPr="00E400F4">
        <w:rPr>
          <w:sz w:val="22"/>
          <w:szCs w:val="22"/>
        </w:rPr>
        <w:t xml:space="preserve">The following table depicts several combinations for cross domain sharing of threat </w:t>
      </w:r>
      <w:r w:rsidR="00397A16" w:rsidRPr="00F5451B">
        <w:rPr>
          <w:sz w:val="22"/>
          <w:szCs w:val="22"/>
        </w:rPr>
        <w:t xml:space="preserve">and risk </w:t>
      </w:r>
      <w:r w:rsidRPr="00E400F4">
        <w:rPr>
          <w:sz w:val="22"/>
          <w:szCs w:val="22"/>
        </w:rPr>
        <w:t>information among various COI.</w:t>
      </w:r>
    </w:p>
    <w:p w:rsidR="00E55178" w:rsidRPr="00B35318" w:rsidRDefault="00E55178" w:rsidP="00B35318">
      <w:pPr>
        <w:rPr>
          <w:sz w:val="22"/>
          <w:szCs w:val="22"/>
        </w:rPr>
      </w:pPr>
    </w:p>
    <w:tbl>
      <w:tblPr>
        <w:tblStyle w:val="LightList-Accent11"/>
        <w:tblW w:w="0" w:type="auto"/>
        <w:tblBorders>
          <w:insideH w:val="single" w:sz="8" w:space="0" w:color="4F81BD"/>
          <w:insideV w:val="single" w:sz="8" w:space="0" w:color="4F81BD"/>
        </w:tblBorders>
        <w:tblLook w:val="04A0" w:firstRow="1" w:lastRow="0" w:firstColumn="1" w:lastColumn="0" w:noHBand="0" w:noVBand="1"/>
      </w:tblPr>
      <w:tblGrid>
        <w:gridCol w:w="1977"/>
        <w:gridCol w:w="7363"/>
      </w:tblGrid>
      <w:tr w:rsidR="0001242C" w:rsidRPr="00430CC9" w:rsidTr="007B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1F497D" w:themeFill="text2"/>
          </w:tcPr>
          <w:p w:rsidR="0001242C" w:rsidRPr="00430CC9" w:rsidRDefault="00197D05" w:rsidP="00B35318">
            <w:pPr>
              <w:rPr>
                <w:rFonts w:ascii="Times New Roman" w:hAnsi="Times New Roman"/>
                <w:b w:val="0"/>
              </w:rPr>
            </w:pPr>
            <w:r>
              <w:rPr>
                <w:rFonts w:ascii="Times New Roman" w:hAnsi="Times New Roman"/>
                <w:b w:val="0"/>
              </w:rPr>
              <w:t>Communities</w:t>
            </w:r>
          </w:p>
        </w:tc>
        <w:tc>
          <w:tcPr>
            <w:tcW w:w="7578" w:type="dxa"/>
            <w:shd w:val="clear" w:color="auto" w:fill="1F497D" w:themeFill="text2"/>
          </w:tcPr>
          <w:p w:rsidR="0001242C" w:rsidRPr="00430CC9" w:rsidRDefault="0001242C" w:rsidP="00B35318">
            <w:pP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430CC9">
              <w:rPr>
                <w:rFonts w:ascii="Times New Roman" w:hAnsi="Times New Roman"/>
                <w:b w:val="0"/>
              </w:rPr>
              <w:t>Description</w:t>
            </w:r>
          </w:p>
        </w:tc>
      </w:tr>
      <w:tr w:rsidR="0001242C" w:rsidRPr="00430CC9" w:rsidTr="007B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01242C" w:rsidRPr="00430CC9" w:rsidRDefault="0001242C" w:rsidP="00B35318">
            <w:pPr>
              <w:rPr>
                <w:rFonts w:ascii="Times New Roman" w:hAnsi="Times New Roman"/>
                <w:b w:val="0"/>
              </w:rPr>
            </w:pPr>
            <w:r w:rsidRPr="00430CC9">
              <w:rPr>
                <w:rFonts w:ascii="Times New Roman" w:hAnsi="Times New Roman"/>
                <w:b w:val="0"/>
              </w:rPr>
              <w:t xml:space="preserve">P </w:t>
            </w:r>
            <w:r w:rsidR="00E05E55">
              <w:rPr>
                <w:rFonts w:ascii="Times New Roman" w:hAnsi="Times New Roman"/>
                <w:b w:val="0"/>
              </w:rPr>
              <w:t>↔</w:t>
            </w:r>
            <w:r w:rsidRPr="00430CC9">
              <w:rPr>
                <w:rFonts w:ascii="Times New Roman" w:hAnsi="Times New Roman"/>
                <w:b w:val="0"/>
              </w:rPr>
              <w:t xml:space="preserve"> F</w:t>
            </w:r>
          </w:p>
        </w:tc>
        <w:tc>
          <w:tcPr>
            <w:tcW w:w="7578" w:type="dxa"/>
            <w:tcBorders>
              <w:top w:val="none" w:sz="0" w:space="0" w:color="auto"/>
              <w:bottom w:val="none" w:sz="0" w:space="0" w:color="auto"/>
              <w:right w:val="none" w:sz="0" w:space="0" w:color="auto"/>
            </w:tcBorders>
          </w:tcPr>
          <w:p w:rsidR="0001242C" w:rsidRPr="00430CC9" w:rsidRDefault="0001242C" w:rsidP="00B3531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30CC9">
              <w:rPr>
                <w:rFonts w:ascii="Times New Roman" w:hAnsi="Times New Roman"/>
              </w:rPr>
              <w:t>Private Sector to Federal Government</w:t>
            </w:r>
          </w:p>
        </w:tc>
      </w:tr>
      <w:tr w:rsidR="0001242C" w:rsidRPr="00430CC9" w:rsidTr="007B76B6">
        <w:tc>
          <w:tcPr>
            <w:cnfStyle w:val="001000000000" w:firstRow="0" w:lastRow="0" w:firstColumn="1" w:lastColumn="0" w:oddVBand="0" w:evenVBand="0" w:oddHBand="0" w:evenHBand="0" w:firstRowFirstColumn="0" w:firstRowLastColumn="0" w:lastRowFirstColumn="0" w:lastRowLastColumn="0"/>
            <w:tcW w:w="1998" w:type="dxa"/>
          </w:tcPr>
          <w:p w:rsidR="0001242C" w:rsidRPr="00430CC9" w:rsidRDefault="0001242C" w:rsidP="00E05E55">
            <w:pPr>
              <w:rPr>
                <w:rFonts w:ascii="Times New Roman" w:hAnsi="Times New Roman"/>
                <w:b w:val="0"/>
              </w:rPr>
            </w:pPr>
            <w:r w:rsidRPr="00430CC9">
              <w:rPr>
                <w:rFonts w:ascii="Times New Roman" w:hAnsi="Times New Roman"/>
                <w:b w:val="0"/>
              </w:rPr>
              <w:t xml:space="preserve">P </w:t>
            </w:r>
            <w:r w:rsidR="00E05E55">
              <w:rPr>
                <w:rFonts w:ascii="Times New Roman" w:hAnsi="Times New Roman"/>
                <w:b w:val="0"/>
              </w:rPr>
              <w:t>↔</w:t>
            </w:r>
            <w:r w:rsidRPr="00430CC9">
              <w:rPr>
                <w:rFonts w:ascii="Times New Roman" w:hAnsi="Times New Roman"/>
                <w:b w:val="0"/>
              </w:rPr>
              <w:t xml:space="preserve"> S</w:t>
            </w:r>
          </w:p>
        </w:tc>
        <w:tc>
          <w:tcPr>
            <w:tcW w:w="7578" w:type="dxa"/>
          </w:tcPr>
          <w:p w:rsidR="0001242C" w:rsidRPr="00430CC9" w:rsidRDefault="0001242C" w:rsidP="00B3531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30CC9">
              <w:rPr>
                <w:rFonts w:ascii="Times New Roman" w:hAnsi="Times New Roman"/>
              </w:rPr>
              <w:t>Private Sector to State, Local, Tribal Government</w:t>
            </w:r>
          </w:p>
        </w:tc>
      </w:tr>
      <w:tr w:rsidR="0001242C" w:rsidRPr="00430CC9" w:rsidTr="007B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01242C" w:rsidRPr="00430CC9" w:rsidRDefault="0001242C" w:rsidP="00E05E55">
            <w:pPr>
              <w:rPr>
                <w:rFonts w:ascii="Times New Roman" w:hAnsi="Times New Roman"/>
                <w:b w:val="0"/>
              </w:rPr>
            </w:pPr>
            <w:r w:rsidRPr="00430CC9">
              <w:rPr>
                <w:rFonts w:ascii="Times New Roman" w:hAnsi="Times New Roman"/>
                <w:b w:val="0"/>
              </w:rPr>
              <w:t xml:space="preserve">P </w:t>
            </w:r>
            <w:r w:rsidR="00E05E55">
              <w:rPr>
                <w:rFonts w:ascii="Times New Roman" w:hAnsi="Times New Roman"/>
                <w:b w:val="0"/>
              </w:rPr>
              <w:t>↔</w:t>
            </w:r>
            <w:r w:rsidRPr="00430CC9">
              <w:rPr>
                <w:rFonts w:ascii="Times New Roman" w:hAnsi="Times New Roman"/>
                <w:b w:val="0"/>
              </w:rPr>
              <w:t xml:space="preserve"> I</w:t>
            </w:r>
          </w:p>
        </w:tc>
        <w:tc>
          <w:tcPr>
            <w:tcW w:w="7578" w:type="dxa"/>
            <w:tcBorders>
              <w:top w:val="none" w:sz="0" w:space="0" w:color="auto"/>
              <w:bottom w:val="none" w:sz="0" w:space="0" w:color="auto"/>
              <w:right w:val="none" w:sz="0" w:space="0" w:color="auto"/>
            </w:tcBorders>
          </w:tcPr>
          <w:p w:rsidR="0001242C" w:rsidRPr="00430CC9" w:rsidRDefault="0001242C" w:rsidP="00B3531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30CC9">
              <w:rPr>
                <w:rFonts w:ascii="Times New Roman" w:hAnsi="Times New Roman"/>
              </w:rPr>
              <w:t>Private Sector to International Government Partners</w:t>
            </w:r>
          </w:p>
        </w:tc>
      </w:tr>
      <w:tr w:rsidR="0001242C" w:rsidRPr="00430CC9" w:rsidTr="007B76B6">
        <w:tc>
          <w:tcPr>
            <w:cnfStyle w:val="001000000000" w:firstRow="0" w:lastRow="0" w:firstColumn="1" w:lastColumn="0" w:oddVBand="0" w:evenVBand="0" w:oddHBand="0" w:evenHBand="0" w:firstRowFirstColumn="0" w:firstRowLastColumn="0" w:lastRowFirstColumn="0" w:lastRowLastColumn="0"/>
            <w:tcW w:w="1998" w:type="dxa"/>
          </w:tcPr>
          <w:p w:rsidR="0001242C" w:rsidRPr="00430CC9" w:rsidRDefault="0001242C" w:rsidP="00E05E55">
            <w:pPr>
              <w:rPr>
                <w:rFonts w:ascii="Times New Roman" w:hAnsi="Times New Roman"/>
                <w:b w:val="0"/>
              </w:rPr>
            </w:pPr>
            <w:r w:rsidRPr="00430CC9">
              <w:rPr>
                <w:rFonts w:ascii="Times New Roman" w:hAnsi="Times New Roman"/>
                <w:b w:val="0"/>
              </w:rPr>
              <w:t xml:space="preserve">F </w:t>
            </w:r>
            <w:r w:rsidR="00E05E55">
              <w:rPr>
                <w:rFonts w:ascii="Times New Roman" w:hAnsi="Times New Roman"/>
                <w:b w:val="0"/>
              </w:rPr>
              <w:t>↔</w:t>
            </w:r>
            <w:r w:rsidRPr="00430CC9">
              <w:rPr>
                <w:rFonts w:ascii="Times New Roman" w:hAnsi="Times New Roman"/>
                <w:b w:val="0"/>
              </w:rPr>
              <w:t>S</w:t>
            </w:r>
          </w:p>
        </w:tc>
        <w:tc>
          <w:tcPr>
            <w:tcW w:w="7578" w:type="dxa"/>
          </w:tcPr>
          <w:p w:rsidR="0001242C" w:rsidRPr="00430CC9" w:rsidRDefault="0001242C" w:rsidP="00B3531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30CC9">
              <w:rPr>
                <w:rFonts w:ascii="Times New Roman" w:hAnsi="Times New Roman"/>
              </w:rPr>
              <w:t>Federal Government to State, Local, Tribal Governments</w:t>
            </w:r>
          </w:p>
        </w:tc>
      </w:tr>
      <w:tr w:rsidR="0001242C" w:rsidRPr="00430CC9" w:rsidTr="007B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01242C" w:rsidRPr="00430CC9" w:rsidRDefault="0001242C" w:rsidP="00E05E55">
            <w:pPr>
              <w:rPr>
                <w:rFonts w:ascii="Times New Roman" w:hAnsi="Times New Roman"/>
                <w:b w:val="0"/>
              </w:rPr>
            </w:pPr>
            <w:r w:rsidRPr="00430CC9">
              <w:rPr>
                <w:rFonts w:ascii="Times New Roman" w:hAnsi="Times New Roman"/>
                <w:b w:val="0"/>
              </w:rPr>
              <w:t xml:space="preserve">F  </w:t>
            </w:r>
            <w:r w:rsidR="00E05E55">
              <w:rPr>
                <w:rFonts w:ascii="Times New Roman" w:hAnsi="Times New Roman"/>
                <w:b w:val="0"/>
              </w:rPr>
              <w:t>↔</w:t>
            </w:r>
            <w:r w:rsidRPr="00430CC9">
              <w:rPr>
                <w:rFonts w:ascii="Times New Roman" w:hAnsi="Times New Roman"/>
                <w:b w:val="0"/>
              </w:rPr>
              <w:t>I</w:t>
            </w:r>
          </w:p>
        </w:tc>
        <w:tc>
          <w:tcPr>
            <w:tcW w:w="7578" w:type="dxa"/>
            <w:tcBorders>
              <w:top w:val="none" w:sz="0" w:space="0" w:color="auto"/>
              <w:bottom w:val="none" w:sz="0" w:space="0" w:color="auto"/>
              <w:right w:val="none" w:sz="0" w:space="0" w:color="auto"/>
            </w:tcBorders>
          </w:tcPr>
          <w:p w:rsidR="0001242C" w:rsidRPr="00430CC9" w:rsidRDefault="0001242C" w:rsidP="00B3531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30CC9">
              <w:rPr>
                <w:rFonts w:ascii="Times New Roman" w:hAnsi="Times New Roman"/>
              </w:rPr>
              <w:t>Federal Government to International Government Partners</w:t>
            </w:r>
          </w:p>
        </w:tc>
      </w:tr>
      <w:tr w:rsidR="0001242C" w:rsidRPr="00430CC9" w:rsidTr="007B76B6">
        <w:tc>
          <w:tcPr>
            <w:cnfStyle w:val="001000000000" w:firstRow="0" w:lastRow="0" w:firstColumn="1" w:lastColumn="0" w:oddVBand="0" w:evenVBand="0" w:oddHBand="0" w:evenHBand="0" w:firstRowFirstColumn="0" w:firstRowLastColumn="0" w:lastRowFirstColumn="0" w:lastRowLastColumn="0"/>
            <w:tcW w:w="1998" w:type="dxa"/>
          </w:tcPr>
          <w:p w:rsidR="0001242C" w:rsidRPr="00430CC9" w:rsidRDefault="0001242C" w:rsidP="00E05E55">
            <w:pPr>
              <w:rPr>
                <w:rFonts w:ascii="Times New Roman" w:hAnsi="Times New Roman"/>
                <w:b w:val="0"/>
              </w:rPr>
            </w:pPr>
            <w:r w:rsidRPr="00430CC9">
              <w:rPr>
                <w:rFonts w:ascii="Times New Roman" w:hAnsi="Times New Roman"/>
                <w:b w:val="0"/>
              </w:rPr>
              <w:t xml:space="preserve">S </w:t>
            </w:r>
            <w:r w:rsidR="00E05E55">
              <w:rPr>
                <w:rFonts w:ascii="Times New Roman" w:hAnsi="Times New Roman"/>
                <w:b w:val="0"/>
              </w:rPr>
              <w:t>↔</w:t>
            </w:r>
            <w:r w:rsidRPr="00430CC9">
              <w:rPr>
                <w:rFonts w:ascii="Times New Roman" w:hAnsi="Times New Roman"/>
                <w:b w:val="0"/>
              </w:rPr>
              <w:t xml:space="preserve"> I</w:t>
            </w:r>
          </w:p>
        </w:tc>
        <w:tc>
          <w:tcPr>
            <w:tcW w:w="7578" w:type="dxa"/>
          </w:tcPr>
          <w:p w:rsidR="0001242C" w:rsidRPr="00430CC9" w:rsidRDefault="0001242C" w:rsidP="00B3531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30CC9">
              <w:rPr>
                <w:rFonts w:ascii="Times New Roman" w:hAnsi="Times New Roman"/>
              </w:rPr>
              <w:t>State, Local, Tribal Government to International Government Partners</w:t>
            </w:r>
          </w:p>
        </w:tc>
      </w:tr>
      <w:tr w:rsidR="0001242C" w:rsidRPr="00430CC9" w:rsidTr="007B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01242C" w:rsidRPr="00430CC9" w:rsidRDefault="0001242C" w:rsidP="00E05E55">
            <w:pPr>
              <w:rPr>
                <w:rFonts w:ascii="Times New Roman" w:hAnsi="Times New Roman"/>
                <w:b w:val="0"/>
              </w:rPr>
            </w:pPr>
            <w:r w:rsidRPr="00430CC9">
              <w:rPr>
                <w:rFonts w:ascii="Times New Roman" w:hAnsi="Times New Roman"/>
                <w:b w:val="0"/>
              </w:rPr>
              <w:t xml:space="preserve">P </w:t>
            </w:r>
            <w:r w:rsidR="00E05E55">
              <w:rPr>
                <w:rFonts w:ascii="Times New Roman" w:hAnsi="Times New Roman"/>
                <w:b w:val="0"/>
              </w:rPr>
              <w:t>↔</w:t>
            </w:r>
            <w:r w:rsidRPr="00430CC9">
              <w:rPr>
                <w:rFonts w:ascii="Times New Roman" w:hAnsi="Times New Roman"/>
                <w:b w:val="0"/>
              </w:rPr>
              <w:t>P</w:t>
            </w:r>
          </w:p>
        </w:tc>
        <w:tc>
          <w:tcPr>
            <w:tcW w:w="7578" w:type="dxa"/>
            <w:tcBorders>
              <w:top w:val="none" w:sz="0" w:space="0" w:color="auto"/>
              <w:bottom w:val="none" w:sz="0" w:space="0" w:color="auto"/>
              <w:right w:val="none" w:sz="0" w:space="0" w:color="auto"/>
            </w:tcBorders>
          </w:tcPr>
          <w:p w:rsidR="0001242C" w:rsidRPr="00430CC9" w:rsidRDefault="0001242C" w:rsidP="00B3531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30CC9">
              <w:rPr>
                <w:rFonts w:ascii="Times New Roman" w:hAnsi="Times New Roman"/>
              </w:rPr>
              <w:t>Within Private Sector</w:t>
            </w:r>
          </w:p>
        </w:tc>
      </w:tr>
      <w:tr w:rsidR="0001242C" w:rsidRPr="00430CC9" w:rsidTr="007B76B6">
        <w:tc>
          <w:tcPr>
            <w:cnfStyle w:val="001000000000" w:firstRow="0" w:lastRow="0" w:firstColumn="1" w:lastColumn="0" w:oddVBand="0" w:evenVBand="0" w:oddHBand="0" w:evenHBand="0" w:firstRowFirstColumn="0" w:firstRowLastColumn="0" w:lastRowFirstColumn="0" w:lastRowLastColumn="0"/>
            <w:tcW w:w="1998" w:type="dxa"/>
          </w:tcPr>
          <w:p w:rsidR="0001242C" w:rsidRPr="00430CC9" w:rsidRDefault="0001242C" w:rsidP="00E05E55">
            <w:pPr>
              <w:rPr>
                <w:rFonts w:ascii="Times New Roman" w:hAnsi="Times New Roman"/>
                <w:b w:val="0"/>
              </w:rPr>
            </w:pPr>
            <w:r w:rsidRPr="00430CC9">
              <w:rPr>
                <w:rFonts w:ascii="Times New Roman" w:hAnsi="Times New Roman"/>
                <w:b w:val="0"/>
              </w:rPr>
              <w:t xml:space="preserve">F </w:t>
            </w:r>
            <w:r w:rsidR="00E05E55">
              <w:rPr>
                <w:rFonts w:ascii="Times New Roman" w:hAnsi="Times New Roman"/>
                <w:b w:val="0"/>
              </w:rPr>
              <w:t>↔</w:t>
            </w:r>
            <w:r w:rsidRPr="00430CC9">
              <w:rPr>
                <w:rFonts w:ascii="Times New Roman" w:hAnsi="Times New Roman"/>
                <w:b w:val="0"/>
              </w:rPr>
              <w:t xml:space="preserve"> F</w:t>
            </w:r>
          </w:p>
        </w:tc>
        <w:tc>
          <w:tcPr>
            <w:tcW w:w="7578" w:type="dxa"/>
          </w:tcPr>
          <w:p w:rsidR="0001242C" w:rsidRPr="00430CC9" w:rsidRDefault="0001242C" w:rsidP="00B3531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30CC9">
              <w:rPr>
                <w:rFonts w:ascii="Times New Roman" w:hAnsi="Times New Roman"/>
              </w:rPr>
              <w:t>Within Federal Government Agencies</w:t>
            </w:r>
          </w:p>
        </w:tc>
      </w:tr>
      <w:tr w:rsidR="0001242C" w:rsidRPr="00430CC9" w:rsidTr="007B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1242C" w:rsidRPr="00430CC9" w:rsidRDefault="0001242C" w:rsidP="00E05E55">
            <w:pPr>
              <w:rPr>
                <w:rFonts w:ascii="Times New Roman" w:hAnsi="Times New Roman"/>
                <w:b w:val="0"/>
              </w:rPr>
            </w:pPr>
            <w:r w:rsidRPr="00430CC9">
              <w:rPr>
                <w:rFonts w:ascii="Times New Roman" w:hAnsi="Times New Roman"/>
                <w:b w:val="0"/>
              </w:rPr>
              <w:t xml:space="preserve">S </w:t>
            </w:r>
            <w:r w:rsidR="00E05E55">
              <w:rPr>
                <w:rFonts w:ascii="Times New Roman" w:hAnsi="Times New Roman"/>
                <w:b w:val="0"/>
              </w:rPr>
              <w:t>↔</w:t>
            </w:r>
            <w:r w:rsidRPr="00430CC9">
              <w:rPr>
                <w:rFonts w:ascii="Times New Roman" w:hAnsi="Times New Roman"/>
                <w:b w:val="0"/>
              </w:rPr>
              <w:t xml:space="preserve"> S</w:t>
            </w:r>
          </w:p>
        </w:tc>
        <w:tc>
          <w:tcPr>
            <w:tcW w:w="7578" w:type="dxa"/>
          </w:tcPr>
          <w:p w:rsidR="0001242C" w:rsidRPr="00430CC9" w:rsidRDefault="0001242C" w:rsidP="00B3531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30CC9">
              <w:rPr>
                <w:rFonts w:ascii="Times New Roman" w:hAnsi="Times New Roman"/>
              </w:rPr>
              <w:t>Within State and local agencies (intra and inter)</w:t>
            </w:r>
          </w:p>
        </w:tc>
      </w:tr>
      <w:tr w:rsidR="0001242C" w:rsidRPr="00430CC9" w:rsidTr="007B76B6">
        <w:tc>
          <w:tcPr>
            <w:cnfStyle w:val="001000000000" w:firstRow="0" w:lastRow="0" w:firstColumn="1" w:lastColumn="0" w:oddVBand="0" w:evenVBand="0" w:oddHBand="0" w:evenHBand="0" w:firstRowFirstColumn="0" w:firstRowLastColumn="0" w:lastRowFirstColumn="0" w:lastRowLastColumn="0"/>
            <w:tcW w:w="1998" w:type="dxa"/>
          </w:tcPr>
          <w:p w:rsidR="0001242C" w:rsidRPr="00430CC9" w:rsidRDefault="0001242C" w:rsidP="00E05E55">
            <w:pPr>
              <w:rPr>
                <w:rFonts w:ascii="Times New Roman" w:hAnsi="Times New Roman"/>
                <w:b w:val="0"/>
              </w:rPr>
            </w:pPr>
            <w:r w:rsidRPr="00430CC9">
              <w:rPr>
                <w:rFonts w:ascii="Times New Roman" w:hAnsi="Times New Roman"/>
                <w:b w:val="0"/>
              </w:rPr>
              <w:t xml:space="preserve">I </w:t>
            </w:r>
            <w:r w:rsidR="00E05E55">
              <w:rPr>
                <w:rFonts w:ascii="Times New Roman" w:hAnsi="Times New Roman"/>
                <w:b w:val="0"/>
              </w:rPr>
              <w:t>↔</w:t>
            </w:r>
            <w:r w:rsidRPr="00430CC9">
              <w:rPr>
                <w:rFonts w:ascii="Times New Roman" w:hAnsi="Times New Roman"/>
                <w:b w:val="0"/>
              </w:rPr>
              <w:t xml:space="preserve"> I</w:t>
            </w:r>
          </w:p>
        </w:tc>
        <w:tc>
          <w:tcPr>
            <w:tcW w:w="7578" w:type="dxa"/>
          </w:tcPr>
          <w:p w:rsidR="0001242C" w:rsidRPr="00430CC9" w:rsidRDefault="0001242C" w:rsidP="00B3531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30CC9">
              <w:rPr>
                <w:rFonts w:ascii="Times New Roman" w:hAnsi="Times New Roman"/>
              </w:rPr>
              <w:t>Among International governments (through bi-lateral or international treaties)</w:t>
            </w:r>
          </w:p>
        </w:tc>
      </w:tr>
      <w:tr w:rsidR="00463288" w:rsidRPr="00430CC9" w:rsidTr="007B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63288" w:rsidRPr="00430CC9" w:rsidRDefault="00463288" w:rsidP="00E05E55">
            <w:pPr>
              <w:rPr>
                <w:rFonts w:ascii="Times New Roman" w:hAnsi="Times New Roman"/>
                <w:b w:val="0"/>
              </w:rPr>
            </w:pPr>
            <w:r w:rsidRPr="00430CC9">
              <w:rPr>
                <w:rFonts w:ascii="Times New Roman" w:hAnsi="Times New Roman"/>
                <w:b w:val="0"/>
              </w:rPr>
              <w:t xml:space="preserve">F </w:t>
            </w:r>
            <w:r w:rsidR="00E05E55">
              <w:rPr>
                <w:rFonts w:ascii="Times New Roman" w:hAnsi="Times New Roman"/>
                <w:b w:val="0"/>
              </w:rPr>
              <w:t>↔</w:t>
            </w:r>
            <w:r w:rsidRPr="00430CC9">
              <w:rPr>
                <w:rFonts w:ascii="Times New Roman" w:hAnsi="Times New Roman"/>
                <w:b w:val="0"/>
              </w:rPr>
              <w:t xml:space="preserve"> C</w:t>
            </w:r>
          </w:p>
        </w:tc>
        <w:tc>
          <w:tcPr>
            <w:tcW w:w="7578" w:type="dxa"/>
          </w:tcPr>
          <w:p w:rsidR="00463288" w:rsidRPr="00430CC9" w:rsidRDefault="00463288" w:rsidP="00B3531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30CC9">
              <w:rPr>
                <w:rFonts w:ascii="Times New Roman" w:hAnsi="Times New Roman"/>
              </w:rPr>
              <w:t>Federal Government sharing with Citizen</w:t>
            </w:r>
          </w:p>
        </w:tc>
      </w:tr>
      <w:tr w:rsidR="00463288" w:rsidRPr="00430CC9" w:rsidTr="007B76B6">
        <w:tc>
          <w:tcPr>
            <w:cnfStyle w:val="001000000000" w:firstRow="0" w:lastRow="0" w:firstColumn="1" w:lastColumn="0" w:oddVBand="0" w:evenVBand="0" w:oddHBand="0" w:evenHBand="0" w:firstRowFirstColumn="0" w:firstRowLastColumn="0" w:lastRowFirstColumn="0" w:lastRowLastColumn="0"/>
            <w:tcW w:w="1998" w:type="dxa"/>
          </w:tcPr>
          <w:p w:rsidR="00463288" w:rsidRPr="00430CC9" w:rsidRDefault="00463288" w:rsidP="00E05E55">
            <w:pPr>
              <w:rPr>
                <w:rFonts w:ascii="Times New Roman" w:hAnsi="Times New Roman"/>
                <w:b w:val="0"/>
              </w:rPr>
            </w:pPr>
            <w:r w:rsidRPr="00430CC9">
              <w:rPr>
                <w:rFonts w:ascii="Times New Roman" w:hAnsi="Times New Roman"/>
                <w:b w:val="0"/>
              </w:rPr>
              <w:t xml:space="preserve">P </w:t>
            </w:r>
            <w:r w:rsidR="00E05E55">
              <w:rPr>
                <w:rFonts w:ascii="Times New Roman" w:hAnsi="Times New Roman"/>
                <w:b w:val="0"/>
              </w:rPr>
              <w:t>↔</w:t>
            </w:r>
            <w:r w:rsidRPr="00430CC9">
              <w:rPr>
                <w:rFonts w:ascii="Times New Roman" w:hAnsi="Times New Roman"/>
                <w:b w:val="0"/>
              </w:rPr>
              <w:t xml:space="preserve"> C</w:t>
            </w:r>
          </w:p>
        </w:tc>
        <w:tc>
          <w:tcPr>
            <w:tcW w:w="7578" w:type="dxa"/>
          </w:tcPr>
          <w:p w:rsidR="00463288" w:rsidRPr="00430CC9" w:rsidRDefault="00463288" w:rsidP="00B3531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30CC9">
              <w:rPr>
                <w:rFonts w:ascii="Times New Roman" w:hAnsi="Times New Roman"/>
              </w:rPr>
              <w:t>Private Sector sharing with Citizen</w:t>
            </w:r>
          </w:p>
        </w:tc>
      </w:tr>
      <w:tr w:rsidR="00463288" w:rsidRPr="00430CC9" w:rsidTr="007B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63288" w:rsidRPr="00430CC9" w:rsidRDefault="00463288" w:rsidP="00E05E55">
            <w:pPr>
              <w:rPr>
                <w:rFonts w:ascii="Times New Roman" w:hAnsi="Times New Roman"/>
                <w:b w:val="0"/>
              </w:rPr>
            </w:pPr>
            <w:r w:rsidRPr="00430CC9">
              <w:rPr>
                <w:rFonts w:ascii="Times New Roman" w:hAnsi="Times New Roman"/>
                <w:b w:val="0"/>
              </w:rPr>
              <w:t xml:space="preserve">S </w:t>
            </w:r>
            <w:r w:rsidR="00E05E55">
              <w:rPr>
                <w:rFonts w:ascii="Times New Roman" w:hAnsi="Times New Roman"/>
                <w:b w:val="0"/>
              </w:rPr>
              <w:t>↔</w:t>
            </w:r>
            <w:r w:rsidRPr="00430CC9">
              <w:rPr>
                <w:rFonts w:ascii="Times New Roman" w:hAnsi="Times New Roman"/>
                <w:b w:val="0"/>
              </w:rPr>
              <w:t xml:space="preserve"> C</w:t>
            </w:r>
          </w:p>
        </w:tc>
        <w:tc>
          <w:tcPr>
            <w:tcW w:w="7578" w:type="dxa"/>
          </w:tcPr>
          <w:p w:rsidR="00463288" w:rsidRPr="00430CC9" w:rsidRDefault="00463288" w:rsidP="00B3531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30CC9">
              <w:rPr>
                <w:rFonts w:ascii="Times New Roman" w:hAnsi="Times New Roman"/>
              </w:rPr>
              <w:t>State Government sharing with Citizen</w:t>
            </w:r>
          </w:p>
        </w:tc>
      </w:tr>
      <w:tr w:rsidR="00463288" w:rsidRPr="00430CC9" w:rsidTr="007B76B6">
        <w:tc>
          <w:tcPr>
            <w:cnfStyle w:val="001000000000" w:firstRow="0" w:lastRow="0" w:firstColumn="1" w:lastColumn="0" w:oddVBand="0" w:evenVBand="0" w:oddHBand="0" w:evenHBand="0" w:firstRowFirstColumn="0" w:firstRowLastColumn="0" w:lastRowFirstColumn="0" w:lastRowLastColumn="0"/>
            <w:tcW w:w="1998" w:type="dxa"/>
          </w:tcPr>
          <w:p w:rsidR="00463288" w:rsidRPr="00430CC9" w:rsidRDefault="00463288" w:rsidP="00E05E55">
            <w:pPr>
              <w:rPr>
                <w:rFonts w:ascii="Times New Roman" w:hAnsi="Times New Roman"/>
                <w:b w:val="0"/>
              </w:rPr>
            </w:pPr>
            <w:r w:rsidRPr="00430CC9">
              <w:rPr>
                <w:rFonts w:ascii="Times New Roman" w:hAnsi="Times New Roman"/>
                <w:b w:val="0"/>
              </w:rPr>
              <w:t xml:space="preserve">C </w:t>
            </w:r>
            <w:r w:rsidR="00E05E55">
              <w:rPr>
                <w:rFonts w:ascii="Times New Roman" w:hAnsi="Times New Roman"/>
                <w:b w:val="0"/>
              </w:rPr>
              <w:t>↔</w:t>
            </w:r>
            <w:r w:rsidRPr="00430CC9">
              <w:rPr>
                <w:rFonts w:ascii="Times New Roman" w:hAnsi="Times New Roman"/>
                <w:b w:val="0"/>
              </w:rPr>
              <w:t xml:space="preserve"> C</w:t>
            </w:r>
          </w:p>
        </w:tc>
        <w:tc>
          <w:tcPr>
            <w:tcW w:w="7578" w:type="dxa"/>
          </w:tcPr>
          <w:p w:rsidR="00463288" w:rsidRPr="00430CC9" w:rsidRDefault="00463288" w:rsidP="00B3531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30CC9">
              <w:rPr>
                <w:rFonts w:ascii="Times New Roman" w:hAnsi="Times New Roman"/>
              </w:rPr>
              <w:t>Citizen sharing with Citizen</w:t>
            </w:r>
          </w:p>
        </w:tc>
      </w:tr>
      <w:bookmarkEnd w:id="6"/>
    </w:tbl>
    <w:p w:rsidR="00B35318" w:rsidRPr="00B35318" w:rsidRDefault="00B35318" w:rsidP="00B35318">
      <w:pPr>
        <w:pStyle w:val="Heading2"/>
        <w:numPr>
          <w:ilvl w:val="0"/>
          <w:numId w:val="0"/>
        </w:numPr>
        <w:ind w:left="576"/>
        <w:rPr>
          <w:rFonts w:ascii="Times New Roman" w:hAnsi="Times New Roman"/>
          <w:sz w:val="22"/>
          <w:szCs w:val="22"/>
        </w:rPr>
      </w:pPr>
    </w:p>
    <w:p w:rsidR="00397A16" w:rsidRPr="006872E9" w:rsidRDefault="00397A16" w:rsidP="00397A16">
      <w:pPr>
        <w:pStyle w:val="Heading1"/>
      </w:pPr>
      <w:bookmarkStart w:id="9" w:name="_Toc414269188"/>
      <w:r>
        <w:t xml:space="preserve">Cross Domain </w:t>
      </w:r>
      <w:r w:rsidRPr="006872E9">
        <w:t>Use Cases</w:t>
      </w:r>
      <w:bookmarkEnd w:id="9"/>
    </w:p>
    <w:p w:rsidR="00397A16" w:rsidRPr="006872E9" w:rsidRDefault="00397A16" w:rsidP="00397A16">
      <w:pPr>
        <w:rPr>
          <w:sz w:val="22"/>
          <w:szCs w:val="22"/>
        </w:rPr>
      </w:pPr>
    </w:p>
    <w:p w:rsidR="00397A16" w:rsidRDefault="00397A16" w:rsidP="00397A16">
      <w:pPr>
        <w:rPr>
          <w:sz w:val="22"/>
          <w:szCs w:val="22"/>
        </w:rPr>
      </w:pPr>
      <w:r w:rsidRPr="006872E9">
        <w:rPr>
          <w:sz w:val="22"/>
          <w:szCs w:val="22"/>
        </w:rPr>
        <w:t>Th</w:t>
      </w:r>
      <w:r>
        <w:rPr>
          <w:sz w:val="22"/>
          <w:szCs w:val="22"/>
        </w:rPr>
        <w:t xml:space="preserve">ere are a number of applicable use cases to help identify the need for a cross domain threat and risk information sharing model.  </w:t>
      </w:r>
      <w:r w:rsidR="00AA4498">
        <w:rPr>
          <w:sz w:val="22"/>
          <w:szCs w:val="22"/>
        </w:rPr>
        <w:t>Each of these use cases contain information about the potential COIs/partners, business processes, enduring functional exchanges</w:t>
      </w:r>
      <w:r w:rsidR="00AA4498">
        <w:rPr>
          <w:rStyle w:val="FootnoteReference"/>
          <w:szCs w:val="22"/>
        </w:rPr>
        <w:footnoteReference w:id="1"/>
      </w:r>
      <w:r w:rsidR="00AA4498">
        <w:rPr>
          <w:sz w:val="22"/>
          <w:szCs w:val="22"/>
        </w:rPr>
        <w:t xml:space="preserve">, assumptions, and classification fabrics that could be involved/used. </w:t>
      </w:r>
      <w:r>
        <w:rPr>
          <w:sz w:val="22"/>
          <w:szCs w:val="22"/>
        </w:rPr>
        <w:t>These use cases are organized according to the following categories</w:t>
      </w:r>
      <w:r w:rsidR="004D07A3">
        <w:rPr>
          <w:sz w:val="22"/>
          <w:szCs w:val="22"/>
        </w:rPr>
        <w:t xml:space="preserve"> and the following tables lay out potential </w:t>
      </w:r>
      <w:r w:rsidR="00D72530">
        <w:rPr>
          <w:sz w:val="22"/>
          <w:szCs w:val="22"/>
        </w:rPr>
        <w:t xml:space="preserve">cross domain </w:t>
      </w:r>
      <w:r w:rsidR="00F56940">
        <w:rPr>
          <w:sz w:val="22"/>
          <w:szCs w:val="22"/>
        </w:rPr>
        <w:t xml:space="preserve">threat and risk </w:t>
      </w:r>
      <w:r w:rsidR="00D72530">
        <w:rPr>
          <w:sz w:val="22"/>
          <w:szCs w:val="22"/>
        </w:rPr>
        <w:t xml:space="preserve">information sharing </w:t>
      </w:r>
      <w:r w:rsidR="00AA4498">
        <w:rPr>
          <w:sz w:val="22"/>
          <w:szCs w:val="22"/>
        </w:rPr>
        <w:t>scenarios</w:t>
      </w:r>
      <w:r>
        <w:rPr>
          <w:sz w:val="22"/>
          <w:szCs w:val="22"/>
        </w:rPr>
        <w:t>:</w:t>
      </w:r>
    </w:p>
    <w:p w:rsidR="00397A16" w:rsidRPr="00105C39" w:rsidRDefault="00397A16" w:rsidP="00784449">
      <w:pPr>
        <w:pStyle w:val="ListParagraph"/>
        <w:numPr>
          <w:ilvl w:val="0"/>
          <w:numId w:val="17"/>
        </w:numPr>
        <w:rPr>
          <w:rFonts w:ascii="Times New Roman" w:hAnsi="Times New Roman"/>
        </w:rPr>
      </w:pPr>
      <w:r w:rsidRPr="00681371">
        <w:rPr>
          <w:rFonts w:ascii="Times New Roman" w:hAnsi="Times New Roman"/>
          <w:b/>
          <w:u w:val="single"/>
        </w:rPr>
        <w:t>Integrated Threat Assessment for Critical Infrastructure</w:t>
      </w:r>
      <w:r w:rsidR="00D017E8" w:rsidRPr="00681371">
        <w:rPr>
          <w:rFonts w:ascii="Times New Roman" w:hAnsi="Times New Roman"/>
        </w:rPr>
        <w:t xml:space="preserve">: </w:t>
      </w:r>
      <w:r w:rsidR="00784449" w:rsidRPr="00784449">
        <w:rPr>
          <w:rFonts w:ascii="Times New Roman" w:hAnsi="Times New Roman"/>
        </w:rPr>
        <w:t>Our national and economic security rest upon a</w:t>
      </w:r>
      <w:r w:rsidR="00784449">
        <w:rPr>
          <w:rFonts w:ascii="Times New Roman" w:hAnsi="Times New Roman"/>
        </w:rPr>
        <w:t xml:space="preserve"> </w:t>
      </w:r>
      <w:r w:rsidR="00784449" w:rsidRPr="00105C39">
        <w:rPr>
          <w:rFonts w:ascii="Times New Roman" w:hAnsi="Times New Roman"/>
        </w:rPr>
        <w:t>foundation of highly interdependent critical</w:t>
      </w:r>
      <w:r w:rsidR="00784449">
        <w:rPr>
          <w:rFonts w:ascii="Times New Roman" w:hAnsi="Times New Roman"/>
        </w:rPr>
        <w:t xml:space="preserve"> </w:t>
      </w:r>
      <w:r w:rsidR="00784449" w:rsidRPr="00105C39">
        <w:rPr>
          <w:rFonts w:ascii="Times New Roman" w:hAnsi="Times New Roman"/>
        </w:rPr>
        <w:t>infrastructures</w:t>
      </w:r>
      <w:r w:rsidR="00784449">
        <w:rPr>
          <w:rFonts w:ascii="Times New Roman" w:hAnsi="Times New Roman"/>
        </w:rPr>
        <w:t xml:space="preserve"> and these infrastructures cover a large number of sectors (e.g., financial, energy, transportation, health care) that are inter-dependent and interconnected</w:t>
      </w:r>
      <w:r w:rsidR="00784449" w:rsidRPr="00105C39">
        <w:rPr>
          <w:rFonts w:ascii="Times New Roman" w:hAnsi="Times New Roman"/>
        </w:rPr>
        <w:t>.</w:t>
      </w:r>
      <w:r w:rsidR="00784449" w:rsidRPr="00784449">
        <w:rPr>
          <w:rFonts w:ascii="Times New Roman" w:hAnsi="Times New Roman"/>
        </w:rPr>
        <w:t xml:space="preserve"> Having a holistic and cohesive </w:t>
      </w:r>
      <w:r w:rsidR="00784449">
        <w:rPr>
          <w:rFonts w:ascii="Times New Roman" w:hAnsi="Times New Roman"/>
        </w:rPr>
        <w:t>understanding and analysis of current and potential risks to CIKR is essential to a wide variety of stakeholders.</w:t>
      </w:r>
    </w:p>
    <w:p w:rsidR="00397A16" w:rsidRPr="00681371" w:rsidRDefault="00397A16" w:rsidP="00397A16">
      <w:pPr>
        <w:pStyle w:val="ListParagraph"/>
        <w:numPr>
          <w:ilvl w:val="0"/>
          <w:numId w:val="17"/>
        </w:numPr>
        <w:rPr>
          <w:rFonts w:ascii="Times New Roman" w:hAnsi="Times New Roman"/>
          <w:b/>
          <w:u w:val="single"/>
        </w:rPr>
      </w:pPr>
      <w:r w:rsidRPr="00681371">
        <w:rPr>
          <w:rFonts w:ascii="Times New Roman" w:hAnsi="Times New Roman"/>
          <w:b/>
          <w:u w:val="single"/>
        </w:rPr>
        <w:t>Mission Assurance and Critical Infrastructure Cascading Dependencies</w:t>
      </w:r>
      <w:r w:rsidR="00D017E8">
        <w:rPr>
          <w:rFonts w:ascii="Times New Roman" w:hAnsi="Times New Roman"/>
        </w:rPr>
        <w:t xml:space="preserve">: </w:t>
      </w:r>
      <w:r w:rsidR="00681371">
        <w:rPr>
          <w:rFonts w:ascii="Times New Roman" w:hAnsi="Times New Roman"/>
        </w:rPr>
        <w:t>In the Defense community, significant attention has been devoted to understanding the internal processes and supporting systems that rely on physical infrastructure and key assets.  Threats to the maintenance and security of those critical infrastructure support systems can be cyber in nature and can have both kinetic and non-kinetic effects. Mission assurance requires keeping infrastructures, assets, and supply chains robust, resilient, redundant and secure.</w:t>
      </w:r>
    </w:p>
    <w:p w:rsidR="00397A16" w:rsidRPr="00681371" w:rsidRDefault="00397A16" w:rsidP="00187BFD">
      <w:pPr>
        <w:pStyle w:val="ListParagraph"/>
        <w:numPr>
          <w:ilvl w:val="0"/>
          <w:numId w:val="17"/>
        </w:numPr>
        <w:rPr>
          <w:rFonts w:ascii="Times New Roman" w:hAnsi="Times New Roman"/>
          <w:b/>
          <w:u w:val="single"/>
        </w:rPr>
      </w:pPr>
      <w:r w:rsidRPr="00681371">
        <w:rPr>
          <w:rFonts w:ascii="Times New Roman" w:hAnsi="Times New Roman"/>
          <w:b/>
          <w:u w:val="single"/>
        </w:rPr>
        <w:t>Integrated Risk Assessment for the Defense Industrial Base (DIB)</w:t>
      </w:r>
      <w:r w:rsidR="00D017E8">
        <w:rPr>
          <w:rFonts w:ascii="Times New Roman" w:hAnsi="Times New Roman"/>
        </w:rPr>
        <w:t xml:space="preserve">: </w:t>
      </w:r>
      <w:r w:rsidR="00187BFD">
        <w:rPr>
          <w:rFonts w:ascii="Times New Roman" w:hAnsi="Times New Roman"/>
        </w:rPr>
        <w:t xml:space="preserve">Partnerships between the Defense and Homeland Security communities </w:t>
      </w:r>
      <w:r w:rsidR="00187BFD" w:rsidRPr="00187BFD">
        <w:rPr>
          <w:rFonts w:ascii="Times New Roman" w:hAnsi="Times New Roman"/>
        </w:rPr>
        <w:t>enables DIB private sector C</w:t>
      </w:r>
      <w:r w:rsidR="00187BFD">
        <w:rPr>
          <w:rFonts w:ascii="Times New Roman" w:hAnsi="Times New Roman"/>
        </w:rPr>
        <w:t xml:space="preserve">ritical </w:t>
      </w:r>
      <w:r w:rsidR="00187BFD" w:rsidRPr="00187BFD">
        <w:rPr>
          <w:rFonts w:ascii="Times New Roman" w:hAnsi="Times New Roman"/>
        </w:rPr>
        <w:t>I</w:t>
      </w:r>
      <w:r w:rsidR="00187BFD">
        <w:rPr>
          <w:rFonts w:ascii="Times New Roman" w:hAnsi="Times New Roman"/>
        </w:rPr>
        <w:t xml:space="preserve">nfrastructure and </w:t>
      </w:r>
      <w:r w:rsidR="00187BFD" w:rsidRPr="00187BFD">
        <w:rPr>
          <w:rFonts w:ascii="Times New Roman" w:hAnsi="Times New Roman"/>
        </w:rPr>
        <w:t>K</w:t>
      </w:r>
      <w:r w:rsidR="00187BFD">
        <w:rPr>
          <w:rFonts w:ascii="Times New Roman" w:hAnsi="Times New Roman"/>
        </w:rPr>
        <w:t xml:space="preserve">ey </w:t>
      </w:r>
      <w:r w:rsidR="00187BFD" w:rsidRPr="00187BFD">
        <w:rPr>
          <w:rFonts w:ascii="Times New Roman" w:hAnsi="Times New Roman"/>
        </w:rPr>
        <w:t>R</w:t>
      </w:r>
      <w:r w:rsidR="00187BFD">
        <w:rPr>
          <w:rFonts w:ascii="Times New Roman" w:hAnsi="Times New Roman"/>
        </w:rPr>
        <w:t>esource</w:t>
      </w:r>
      <w:r w:rsidR="00187BFD" w:rsidRPr="00187BFD">
        <w:rPr>
          <w:rFonts w:ascii="Times New Roman" w:hAnsi="Times New Roman"/>
        </w:rPr>
        <w:t xml:space="preserve"> </w:t>
      </w:r>
      <w:r w:rsidR="00187BFD">
        <w:rPr>
          <w:rFonts w:ascii="Times New Roman" w:hAnsi="Times New Roman"/>
        </w:rPr>
        <w:t xml:space="preserve">(CIKR) </w:t>
      </w:r>
      <w:r w:rsidR="00187BFD" w:rsidRPr="00187BFD">
        <w:rPr>
          <w:rFonts w:ascii="Times New Roman" w:hAnsi="Times New Roman"/>
        </w:rPr>
        <w:t xml:space="preserve">owners and operators to engage in critical infrastructure protection value-added activities </w:t>
      </w:r>
      <w:r w:rsidR="00187BFD">
        <w:rPr>
          <w:rFonts w:ascii="Times New Roman" w:hAnsi="Times New Roman"/>
        </w:rPr>
        <w:t xml:space="preserve">with the Federal Government that are </w:t>
      </w:r>
      <w:r w:rsidR="00187BFD" w:rsidRPr="00187BFD">
        <w:rPr>
          <w:rFonts w:ascii="Times New Roman" w:hAnsi="Times New Roman"/>
        </w:rPr>
        <w:t>important for our nation’s security.</w:t>
      </w:r>
      <w:r w:rsidR="00187BFD" w:rsidRPr="00187BFD">
        <w:rPr>
          <w:rFonts w:ascii="Times New Roman" w:hAnsi="Times New Roman"/>
          <w:highlight w:val="yellow"/>
        </w:rPr>
        <w:t xml:space="preserve"> </w:t>
      </w:r>
    </w:p>
    <w:p w:rsidR="009E4EFF" w:rsidRPr="00681371" w:rsidRDefault="00397A16" w:rsidP="00086334">
      <w:pPr>
        <w:pStyle w:val="ListParagraph"/>
        <w:numPr>
          <w:ilvl w:val="0"/>
          <w:numId w:val="17"/>
        </w:numPr>
        <w:rPr>
          <w:rFonts w:ascii="Times New Roman" w:hAnsi="Times New Roman"/>
        </w:rPr>
      </w:pPr>
      <w:r w:rsidRPr="00681371">
        <w:rPr>
          <w:rFonts w:ascii="Times New Roman" w:hAnsi="Times New Roman"/>
          <w:b/>
          <w:u w:val="single"/>
        </w:rPr>
        <w:t>Victim Notificatio</w:t>
      </w:r>
      <w:r w:rsidR="00086334" w:rsidRPr="00681371">
        <w:rPr>
          <w:rFonts w:ascii="Times New Roman" w:hAnsi="Times New Roman"/>
          <w:b/>
          <w:u w:val="single"/>
        </w:rPr>
        <w:t>n</w:t>
      </w:r>
      <w:r w:rsidR="00086334">
        <w:rPr>
          <w:rFonts w:ascii="Times New Roman" w:hAnsi="Times New Roman"/>
        </w:rPr>
        <w:t xml:space="preserve">: </w:t>
      </w:r>
      <w:r w:rsidR="009E4EFF" w:rsidRPr="00681371">
        <w:rPr>
          <w:rFonts w:ascii="Times New Roman" w:hAnsi="Times New Roman"/>
        </w:rPr>
        <w:t xml:space="preserve">In the Justice and Public Safety community, significant attention has been devoted to ensure that crime victims and survivors have opportunities to be safely and actively engaged participants in their cases and in the overall justice process. </w:t>
      </w:r>
      <w:r w:rsidR="00086334" w:rsidRPr="00681371">
        <w:rPr>
          <w:rFonts w:ascii="Times New Roman" w:hAnsi="Times New Roman"/>
        </w:rPr>
        <w:t>V</w:t>
      </w:r>
      <w:r w:rsidR="009E4EFF" w:rsidRPr="00681371">
        <w:rPr>
          <w:rFonts w:ascii="Times New Roman" w:hAnsi="Times New Roman"/>
        </w:rPr>
        <w:t>ictims of cyber threats may be categorized as:</w:t>
      </w:r>
      <w:r w:rsidR="00086334" w:rsidRPr="00681371">
        <w:rPr>
          <w:rFonts w:ascii="Times New Roman" w:hAnsi="Times New Roman"/>
        </w:rPr>
        <w:t xml:space="preserve"> v</w:t>
      </w:r>
      <w:r w:rsidR="009E4EFF" w:rsidRPr="00681371">
        <w:rPr>
          <w:rFonts w:ascii="Times New Roman" w:hAnsi="Times New Roman"/>
        </w:rPr>
        <w:t>ictim information compromised as part of a cyber-intrusion</w:t>
      </w:r>
      <w:r w:rsidR="00086334" w:rsidRPr="00681371">
        <w:rPr>
          <w:rFonts w:ascii="Times New Roman" w:hAnsi="Times New Roman"/>
        </w:rPr>
        <w:t>; v</w:t>
      </w:r>
      <w:r w:rsidR="009E4EFF" w:rsidRPr="00681371">
        <w:rPr>
          <w:rFonts w:ascii="Times New Roman" w:hAnsi="Times New Roman"/>
        </w:rPr>
        <w:t>ictim is directly involved in a cyber-enabled crime</w:t>
      </w:r>
    </w:p>
    <w:p w:rsidR="00397A16" w:rsidRPr="00681371" w:rsidRDefault="00397A16" w:rsidP="00397A16">
      <w:pPr>
        <w:pStyle w:val="ListParagraph"/>
        <w:numPr>
          <w:ilvl w:val="0"/>
          <w:numId w:val="17"/>
        </w:numPr>
        <w:rPr>
          <w:rFonts w:ascii="Times New Roman" w:hAnsi="Times New Roman"/>
          <w:b/>
          <w:u w:val="single"/>
        </w:rPr>
      </w:pPr>
      <w:r w:rsidRPr="00681371">
        <w:rPr>
          <w:rFonts w:ascii="Times New Roman" w:hAnsi="Times New Roman"/>
          <w:b/>
          <w:u w:val="single"/>
        </w:rPr>
        <w:t>Investigatory Referral</w:t>
      </w:r>
      <w:r w:rsidR="00D017E8">
        <w:rPr>
          <w:rFonts w:ascii="Times New Roman" w:hAnsi="Times New Roman"/>
        </w:rPr>
        <w:t xml:space="preserve">: </w:t>
      </w:r>
      <w:r w:rsidR="007E57B2">
        <w:rPr>
          <w:rFonts w:ascii="Times New Roman" w:hAnsi="Times New Roman"/>
        </w:rPr>
        <w:t xml:space="preserve"> A </w:t>
      </w:r>
      <w:r w:rsidR="003E5D42">
        <w:rPr>
          <w:rFonts w:ascii="Times New Roman" w:hAnsi="Times New Roman"/>
        </w:rPr>
        <w:t xml:space="preserve">situation where a </w:t>
      </w:r>
      <w:r w:rsidR="007E57B2">
        <w:rPr>
          <w:rFonts w:ascii="Times New Roman" w:hAnsi="Times New Roman"/>
        </w:rPr>
        <w:t xml:space="preserve">two-person police department receives a </w:t>
      </w:r>
      <w:r w:rsidR="008B13A2">
        <w:rPr>
          <w:rFonts w:ascii="Times New Roman" w:hAnsi="Times New Roman"/>
        </w:rPr>
        <w:t xml:space="preserve">phone </w:t>
      </w:r>
      <w:r w:rsidR="007E57B2">
        <w:rPr>
          <w:rFonts w:ascii="Times New Roman" w:hAnsi="Times New Roman"/>
        </w:rPr>
        <w:t xml:space="preserve">compliant from an elderly couple that they are a victim of </w:t>
      </w:r>
      <w:r w:rsidR="008B13A2">
        <w:rPr>
          <w:rFonts w:ascii="Times New Roman" w:hAnsi="Times New Roman"/>
        </w:rPr>
        <w:t>fraud via the internet</w:t>
      </w:r>
      <w:r w:rsidR="007E57B2">
        <w:rPr>
          <w:rFonts w:ascii="Times New Roman" w:hAnsi="Times New Roman"/>
        </w:rPr>
        <w:t>.  Since the police department does not have the resources to handle the case</w:t>
      </w:r>
      <w:r w:rsidR="008B13A2">
        <w:rPr>
          <w:rFonts w:ascii="Times New Roman" w:hAnsi="Times New Roman"/>
        </w:rPr>
        <w:t xml:space="preserve"> in addition to the case not being in its jurisdiction; the case </w:t>
      </w:r>
      <w:r w:rsidR="007E57B2">
        <w:rPr>
          <w:rFonts w:ascii="Times New Roman" w:hAnsi="Times New Roman"/>
        </w:rPr>
        <w:t xml:space="preserve">is referred to the local Wells Spring FBI Task Force for review of similar cases and appropriate action.  </w:t>
      </w:r>
      <w:r w:rsidR="00BC0660">
        <w:rPr>
          <w:rFonts w:ascii="Times New Roman" w:hAnsi="Times New Roman"/>
        </w:rPr>
        <w:t>Alternately, the community could also setup thresholds that could automatically trigger/escalate a specific case, or collection to appropriate entities at the local, state, regional or federal levels.</w:t>
      </w:r>
    </w:p>
    <w:p w:rsidR="00837F8D" w:rsidRPr="00837F8D" w:rsidRDefault="00397A16" w:rsidP="00397A16">
      <w:pPr>
        <w:pStyle w:val="ListParagraph"/>
        <w:numPr>
          <w:ilvl w:val="0"/>
          <w:numId w:val="17"/>
        </w:numPr>
        <w:rPr>
          <w:rFonts w:ascii="Times New Roman" w:hAnsi="Times New Roman"/>
          <w:b/>
          <w:u w:val="single"/>
        </w:rPr>
      </w:pPr>
      <w:r w:rsidRPr="00681371">
        <w:rPr>
          <w:rFonts w:ascii="Times New Roman" w:hAnsi="Times New Roman"/>
          <w:b/>
          <w:u w:val="single"/>
        </w:rPr>
        <w:t>Deconfliction of (Cybersecurity Threat) Indicators</w:t>
      </w:r>
      <w:r w:rsidR="004D07A3" w:rsidRPr="00681371">
        <w:rPr>
          <w:rFonts w:ascii="Times New Roman" w:hAnsi="Times New Roman"/>
        </w:rPr>
        <w:t>:</w:t>
      </w:r>
      <w:r w:rsidR="008B13A2">
        <w:rPr>
          <w:rFonts w:ascii="Times New Roman" w:hAnsi="Times New Roman"/>
        </w:rPr>
        <w:t xml:space="preserve">  </w:t>
      </w:r>
      <w:r w:rsidR="003E5D42">
        <w:rPr>
          <w:rFonts w:ascii="Times New Roman" w:hAnsi="Times New Roman"/>
        </w:rPr>
        <w:t xml:space="preserve">A situation where </w:t>
      </w:r>
      <w:r w:rsidR="008B13A2">
        <w:rPr>
          <w:rFonts w:ascii="Times New Roman" w:hAnsi="Times New Roman"/>
        </w:rPr>
        <w:t xml:space="preserve">Police Department A opens a fraud investigation inherited by a fraud compliant of a particular case in City A.  Police Department B has a similar case information.  Both police departments enter suspected information into the Inter-Crime Complaint Center Platform, at which point both departments deconflict the information and take appropriate action based on information provided in the system.  </w:t>
      </w:r>
      <w:r w:rsidR="00BC0660">
        <w:rPr>
          <w:rFonts w:ascii="Times New Roman" w:hAnsi="Times New Roman"/>
        </w:rPr>
        <w:t>From a cybersecurity perspective</w:t>
      </w:r>
      <w:r w:rsidR="003E5D42">
        <w:rPr>
          <w:rFonts w:ascii="Times New Roman" w:hAnsi="Times New Roman"/>
        </w:rPr>
        <w:t>,</w:t>
      </w:r>
      <w:r w:rsidR="00BC0660">
        <w:rPr>
          <w:rFonts w:ascii="Times New Roman" w:hAnsi="Times New Roman"/>
        </w:rPr>
        <w:t xml:space="preserve"> this could also mean deconflicting an IP address/email address that was identified as part of a cybercrime (or pocket litter at a border crossing) with an IP address identified as part of a </w:t>
      </w:r>
      <w:r w:rsidR="003E5D42">
        <w:rPr>
          <w:rFonts w:ascii="Times New Roman" w:hAnsi="Times New Roman"/>
        </w:rPr>
        <w:t>cyber-intrusion</w:t>
      </w:r>
      <w:r w:rsidR="00BC0660">
        <w:rPr>
          <w:rFonts w:ascii="Times New Roman" w:hAnsi="Times New Roman"/>
        </w:rPr>
        <w:t>.</w:t>
      </w:r>
    </w:p>
    <w:p w:rsidR="00397A16" w:rsidRPr="00F5451B" w:rsidRDefault="00397A16" w:rsidP="00F5451B">
      <w:pPr>
        <w:rPr>
          <w:b/>
          <w:u w:val="single"/>
        </w:rPr>
      </w:pPr>
    </w:p>
    <w:p w:rsidR="004D07A3" w:rsidRDefault="004D07A3">
      <w:pPr>
        <w:rPr>
          <w:sz w:val="22"/>
          <w:szCs w:val="22"/>
        </w:rPr>
      </w:pPr>
    </w:p>
    <w:p w:rsidR="00E400F4" w:rsidRDefault="00E400F4">
      <w:pPr>
        <w:rPr>
          <w:sz w:val="22"/>
          <w:szCs w:val="22"/>
        </w:rPr>
      </w:pPr>
      <w:r>
        <w:rPr>
          <w:sz w:val="22"/>
          <w:szCs w:val="22"/>
        </w:rPr>
        <w:br w:type="page"/>
      </w:r>
    </w:p>
    <w:p w:rsidR="00E400F4" w:rsidRDefault="001B04CD" w:rsidP="00C17CD4">
      <w:pPr>
        <w:pStyle w:val="Heading2"/>
      </w:pPr>
      <w:r>
        <w:t>Scenario</w:t>
      </w:r>
      <w:r w:rsidR="00C17CD4">
        <w:t xml:space="preserve"> Story #1</w:t>
      </w:r>
    </w:p>
    <w:p w:rsidR="00C17CD4" w:rsidRDefault="00C17CD4">
      <w:pPr>
        <w:rPr>
          <w:sz w:val="22"/>
          <w:szCs w:val="22"/>
        </w:rPr>
      </w:pPr>
    </w:p>
    <w:p w:rsidR="00C17CD4" w:rsidRPr="001618A3" w:rsidRDefault="00E907D2">
      <w:pPr>
        <w:rPr>
          <w:sz w:val="22"/>
        </w:rPr>
      </w:pPr>
      <w:r w:rsidRPr="001618A3">
        <w:rPr>
          <w:sz w:val="22"/>
        </w:rPr>
        <w:t>In the early morning of April 16, 2013, the Metcalf, California transmission substation in Silicon Valley was attacked by what federal investigators believe was a hig</w:t>
      </w:r>
      <w:r w:rsidR="00D24A16" w:rsidRPr="001618A3">
        <w:rPr>
          <w:sz w:val="22"/>
        </w:rPr>
        <w:t xml:space="preserve">hly professional terrorist team.  That sniper assault </w:t>
      </w:r>
      <w:r w:rsidRPr="001618A3">
        <w:rPr>
          <w:sz w:val="22"/>
        </w:rPr>
        <w:t>caused 17 transformers to crash severing power to</w:t>
      </w:r>
      <w:r w:rsidR="009A1CE9" w:rsidRPr="001618A3">
        <w:rPr>
          <w:sz w:val="22"/>
        </w:rPr>
        <w:t xml:space="preserve"> </w:t>
      </w:r>
      <w:r w:rsidR="00526F5B" w:rsidRPr="001618A3">
        <w:rPr>
          <w:sz w:val="22"/>
        </w:rPr>
        <w:t>Internet Service Providers</w:t>
      </w:r>
      <w:r w:rsidR="001348A9" w:rsidRPr="001618A3">
        <w:rPr>
          <w:sz w:val="22"/>
        </w:rPr>
        <w:t xml:space="preserve"> and other power users in </w:t>
      </w:r>
      <w:r w:rsidRPr="001618A3">
        <w:rPr>
          <w:sz w:val="22"/>
        </w:rPr>
        <w:t>Silicon Valley.  Pacific Gas an</w:t>
      </w:r>
      <w:r w:rsidR="00D24A16" w:rsidRPr="001618A3">
        <w:rPr>
          <w:sz w:val="22"/>
        </w:rPr>
        <w:t>d Electric (PG&amp;E) was forced to</w:t>
      </w:r>
      <w:r w:rsidRPr="001618A3">
        <w:rPr>
          <w:sz w:val="22"/>
        </w:rPr>
        <w:t xml:space="preserve"> increase and reroute power to the area served by the disabled transmission station.  The recovery took 27 days for PG&amp;E to repair and</w:t>
      </w:r>
      <w:r w:rsidR="00D24A16" w:rsidRPr="001618A3">
        <w:rPr>
          <w:sz w:val="22"/>
        </w:rPr>
        <w:t xml:space="preserve"> bring </w:t>
      </w:r>
      <w:r w:rsidRPr="001618A3">
        <w:rPr>
          <w:sz w:val="22"/>
        </w:rPr>
        <w:t>the transmission substation back on line.</w:t>
      </w:r>
    </w:p>
    <w:p w:rsidR="00E907D2" w:rsidRPr="001618A3" w:rsidRDefault="00E907D2"/>
    <w:tbl>
      <w:tblPr>
        <w:tblW w:w="9441" w:type="dxa"/>
        <w:tblInd w:w="93" w:type="dxa"/>
        <w:tblLook w:val="04A0" w:firstRow="1" w:lastRow="0" w:firstColumn="1" w:lastColumn="0" w:noHBand="0" w:noVBand="1"/>
      </w:tblPr>
      <w:tblGrid>
        <w:gridCol w:w="1536"/>
        <w:gridCol w:w="3815"/>
        <w:gridCol w:w="4090"/>
      </w:tblGrid>
      <w:tr w:rsidR="004D07A3" w:rsidRPr="000C1ECF" w:rsidTr="004D07A3">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4D07A3" w:rsidRPr="00F5451B" w:rsidRDefault="004D07A3" w:rsidP="004D07A3">
            <w:pPr>
              <w:jc w:val="center"/>
              <w:rPr>
                <w:color w:val="FFFFFF" w:themeColor="background1"/>
              </w:rPr>
            </w:pPr>
            <w:r w:rsidRPr="00F5451B">
              <w:rPr>
                <w:color w:val="FFFFFF" w:themeColor="background1"/>
              </w:rPr>
              <w:t>Use Case</w:t>
            </w:r>
            <w:r w:rsidR="0063410F">
              <w:rPr>
                <w:color w:val="FFFFFF" w:themeColor="background1"/>
              </w:rPr>
              <w:t xml:space="preserve"> #1</w:t>
            </w:r>
          </w:p>
        </w:tc>
      </w:tr>
      <w:tr w:rsidR="004D07A3" w:rsidRPr="000C1ECF" w:rsidTr="004D07A3">
        <w:trPr>
          <w:trHeight w:val="88"/>
        </w:trPr>
        <w:tc>
          <w:tcPr>
            <w:tcW w:w="1536" w:type="dxa"/>
            <w:tcBorders>
              <w:top w:val="single" w:sz="8" w:space="0" w:color="auto"/>
              <w:left w:val="single" w:sz="8" w:space="0" w:color="auto"/>
              <w:bottom w:val="single" w:sz="4" w:space="0" w:color="auto"/>
              <w:right w:val="single" w:sz="8" w:space="0" w:color="auto"/>
            </w:tcBorders>
          </w:tcPr>
          <w:p w:rsidR="004D07A3" w:rsidRPr="00F5451B" w:rsidRDefault="004D07A3" w:rsidP="004D07A3">
            <w:r w:rsidRPr="00F5451B">
              <w:t>Title</w:t>
            </w:r>
          </w:p>
        </w:tc>
        <w:tc>
          <w:tcPr>
            <w:tcW w:w="7905" w:type="dxa"/>
            <w:gridSpan w:val="2"/>
            <w:tcBorders>
              <w:top w:val="single" w:sz="4" w:space="0" w:color="auto"/>
              <w:left w:val="nil"/>
              <w:bottom w:val="single" w:sz="4" w:space="0" w:color="auto"/>
              <w:right w:val="single" w:sz="8" w:space="0" w:color="000000"/>
            </w:tcBorders>
          </w:tcPr>
          <w:p w:rsidR="004D07A3" w:rsidRPr="00F5451B" w:rsidRDefault="000C1ECF" w:rsidP="004D07A3">
            <w:r w:rsidRPr="00D24A16">
              <w:t>Physical attack on Transformer Yields Cyber and Kinetic Effects</w:t>
            </w:r>
          </w:p>
        </w:tc>
      </w:tr>
      <w:tr w:rsidR="004D07A3" w:rsidRPr="000C1ECF" w:rsidTr="004D07A3">
        <w:trPr>
          <w:trHeight w:val="50"/>
        </w:trPr>
        <w:tc>
          <w:tcPr>
            <w:tcW w:w="1536" w:type="dxa"/>
            <w:tcBorders>
              <w:top w:val="single" w:sz="8" w:space="0" w:color="auto"/>
              <w:left w:val="single" w:sz="8" w:space="0" w:color="auto"/>
              <w:bottom w:val="single" w:sz="4" w:space="0" w:color="auto"/>
              <w:right w:val="single" w:sz="8" w:space="0" w:color="auto"/>
            </w:tcBorders>
          </w:tcPr>
          <w:p w:rsidR="004D07A3" w:rsidRPr="00F5451B" w:rsidRDefault="004D07A3" w:rsidP="004D07A3">
            <w:r w:rsidRPr="00F5451B">
              <w:t>Category</w:t>
            </w:r>
          </w:p>
        </w:tc>
        <w:tc>
          <w:tcPr>
            <w:tcW w:w="7905" w:type="dxa"/>
            <w:gridSpan w:val="2"/>
            <w:tcBorders>
              <w:top w:val="single" w:sz="4" w:space="0" w:color="auto"/>
              <w:left w:val="nil"/>
              <w:bottom w:val="single" w:sz="4" w:space="0" w:color="auto"/>
              <w:right w:val="single" w:sz="8" w:space="0" w:color="000000"/>
            </w:tcBorders>
          </w:tcPr>
          <w:p w:rsidR="004D07A3" w:rsidRPr="000C1ECF" w:rsidRDefault="004D07A3" w:rsidP="00F5451B">
            <w:r w:rsidRPr="000C1ECF">
              <w:t>Integrated Threat Assessment for Critical Infrastructure</w:t>
            </w:r>
          </w:p>
        </w:tc>
      </w:tr>
      <w:tr w:rsidR="004D07A3" w:rsidRPr="000C1ECF" w:rsidTr="00D24A16">
        <w:trPr>
          <w:trHeight w:val="538"/>
        </w:trPr>
        <w:tc>
          <w:tcPr>
            <w:tcW w:w="1536" w:type="dxa"/>
            <w:tcBorders>
              <w:top w:val="single" w:sz="8" w:space="0" w:color="auto"/>
              <w:left w:val="single" w:sz="8" w:space="0" w:color="auto"/>
              <w:bottom w:val="single" w:sz="4" w:space="0" w:color="auto"/>
              <w:right w:val="single" w:sz="8" w:space="0" w:color="auto"/>
            </w:tcBorders>
          </w:tcPr>
          <w:p w:rsidR="004D07A3" w:rsidRPr="00F5451B" w:rsidRDefault="004D07A3" w:rsidP="004D07A3">
            <w:r w:rsidRPr="00F5451B">
              <w:t>Domain</w:t>
            </w:r>
          </w:p>
        </w:tc>
        <w:tc>
          <w:tcPr>
            <w:tcW w:w="7905" w:type="dxa"/>
            <w:gridSpan w:val="2"/>
            <w:tcBorders>
              <w:top w:val="single" w:sz="4" w:space="0" w:color="auto"/>
              <w:left w:val="nil"/>
              <w:bottom w:val="single" w:sz="4" w:space="0" w:color="auto"/>
              <w:right w:val="single" w:sz="8" w:space="0" w:color="000000"/>
            </w:tcBorders>
          </w:tcPr>
          <w:p w:rsidR="004D07A3" w:rsidRPr="00AE63BD" w:rsidRDefault="004D07A3" w:rsidP="00F5451B">
            <w:pPr>
              <w:pStyle w:val="ListParagraph"/>
              <w:numPr>
                <w:ilvl w:val="0"/>
                <w:numId w:val="18"/>
              </w:numPr>
            </w:pPr>
            <w:r w:rsidRPr="00F5451B">
              <w:rPr>
                <w:rFonts w:ascii="Times New Roman" w:hAnsi="Times New Roman"/>
                <w:sz w:val="20"/>
                <w:szCs w:val="20"/>
              </w:rPr>
              <w:t>Cybersecurity</w:t>
            </w:r>
          </w:p>
          <w:p w:rsidR="004D07A3" w:rsidRPr="00AE63BD" w:rsidRDefault="004D07A3" w:rsidP="00F5451B">
            <w:pPr>
              <w:pStyle w:val="ListParagraph"/>
              <w:numPr>
                <w:ilvl w:val="0"/>
                <w:numId w:val="18"/>
              </w:numPr>
            </w:pPr>
            <w:r w:rsidRPr="00F5451B">
              <w:rPr>
                <w:rFonts w:ascii="Times New Roman" w:hAnsi="Times New Roman"/>
                <w:sz w:val="20"/>
                <w:szCs w:val="20"/>
              </w:rPr>
              <w:t>Physical Infrastructure Protection</w:t>
            </w:r>
          </w:p>
        </w:tc>
      </w:tr>
      <w:tr w:rsidR="004D07A3" w:rsidRPr="000C1ECF" w:rsidTr="004D07A3">
        <w:trPr>
          <w:trHeight w:val="50"/>
        </w:trPr>
        <w:tc>
          <w:tcPr>
            <w:tcW w:w="1536" w:type="dxa"/>
            <w:tcBorders>
              <w:top w:val="single" w:sz="8" w:space="0" w:color="auto"/>
              <w:left w:val="single" w:sz="8" w:space="0" w:color="auto"/>
              <w:bottom w:val="single" w:sz="4" w:space="0" w:color="auto"/>
              <w:right w:val="single" w:sz="8" w:space="0" w:color="auto"/>
            </w:tcBorders>
          </w:tcPr>
          <w:p w:rsidR="004D07A3" w:rsidRPr="00F5451B" w:rsidRDefault="004D07A3" w:rsidP="004D07A3">
            <w:r w:rsidRPr="00F5451B">
              <w:t xml:space="preserve">Security </w:t>
            </w:r>
            <w:r w:rsidR="000C1ECF">
              <w:t>Fabric</w:t>
            </w:r>
          </w:p>
          <w:p w:rsidR="004D07A3" w:rsidRPr="00F5451B" w:rsidRDefault="004D07A3" w:rsidP="004D07A3">
            <w:r w:rsidRPr="00F5451B">
              <w:t>(e.g., U, LES, S, TS)</w:t>
            </w:r>
          </w:p>
        </w:tc>
        <w:tc>
          <w:tcPr>
            <w:tcW w:w="7905" w:type="dxa"/>
            <w:gridSpan w:val="2"/>
            <w:tcBorders>
              <w:top w:val="single" w:sz="4" w:space="0" w:color="auto"/>
              <w:left w:val="nil"/>
              <w:bottom w:val="single" w:sz="4" w:space="0" w:color="auto"/>
              <w:right w:val="single" w:sz="8" w:space="0" w:color="000000"/>
            </w:tcBorders>
          </w:tcPr>
          <w:p w:rsidR="004D07A3" w:rsidRPr="00F5451B" w:rsidRDefault="00D24A16" w:rsidP="004D07A3">
            <w:r w:rsidRPr="00D24A16">
              <w:t>U, LES</w:t>
            </w:r>
          </w:p>
        </w:tc>
      </w:tr>
      <w:tr w:rsidR="004D07A3" w:rsidRPr="000C1ECF" w:rsidTr="004D07A3">
        <w:trPr>
          <w:trHeight w:val="493"/>
        </w:trPr>
        <w:tc>
          <w:tcPr>
            <w:tcW w:w="1536" w:type="dxa"/>
            <w:tcBorders>
              <w:top w:val="single" w:sz="8" w:space="0" w:color="auto"/>
              <w:left w:val="single" w:sz="8" w:space="0" w:color="auto"/>
              <w:bottom w:val="single" w:sz="4" w:space="0" w:color="auto"/>
              <w:right w:val="single" w:sz="8" w:space="0" w:color="auto"/>
            </w:tcBorders>
            <w:hideMark/>
          </w:tcPr>
          <w:p w:rsidR="004D07A3" w:rsidRPr="00F5451B" w:rsidRDefault="004D07A3" w:rsidP="004D07A3">
            <w:r w:rsidRPr="00F5451B">
              <w:t>Scenario Description</w:t>
            </w:r>
          </w:p>
        </w:tc>
        <w:tc>
          <w:tcPr>
            <w:tcW w:w="7905" w:type="dxa"/>
            <w:gridSpan w:val="2"/>
            <w:tcBorders>
              <w:top w:val="single" w:sz="4" w:space="0" w:color="auto"/>
              <w:left w:val="nil"/>
              <w:bottom w:val="single" w:sz="4" w:space="0" w:color="auto"/>
              <w:right w:val="single" w:sz="8" w:space="0" w:color="000000"/>
            </w:tcBorders>
          </w:tcPr>
          <w:p w:rsidR="004D07A3" w:rsidRPr="00F5451B" w:rsidRDefault="000C1ECF" w:rsidP="004D07A3">
            <w:r w:rsidRPr="000C1ECF">
              <w:t>PG&amp;E and the Metcalf sniper attack on high-power SCADA-controlled transformers serving Silicon Valley, California</w:t>
            </w:r>
          </w:p>
        </w:tc>
      </w:tr>
      <w:tr w:rsidR="000C1ECF" w:rsidRPr="000C1ECF" w:rsidTr="009A1CE9">
        <w:trPr>
          <w:trHeight w:val="1475"/>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0C1ECF" w:rsidRPr="00F5451B" w:rsidRDefault="000C1ECF" w:rsidP="00F5451B">
            <w:r w:rsidRPr="00F5451B">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0C1ECF" w:rsidRPr="00D24A16" w:rsidRDefault="00D24A16" w:rsidP="00F5451B">
            <w:pPr>
              <w:pStyle w:val="ListParagraph"/>
              <w:numPr>
                <w:ilvl w:val="0"/>
                <w:numId w:val="19"/>
              </w:numPr>
            </w:pPr>
            <w:r>
              <w:rPr>
                <w:rFonts w:ascii="Times New Roman" w:hAnsi="Times New Roman"/>
                <w:sz w:val="20"/>
                <w:szCs w:val="20"/>
              </w:rPr>
              <w:t>P</w:t>
            </w:r>
            <w:r w:rsidR="001348A9">
              <w:rPr>
                <w:rFonts w:ascii="Times New Roman" w:hAnsi="Times New Roman"/>
                <w:sz w:val="20"/>
                <w:szCs w:val="20"/>
              </w:rPr>
              <w:t>rivate</w:t>
            </w:r>
            <w:r>
              <w:rPr>
                <w:rFonts w:ascii="Times New Roman" w:hAnsi="Times New Roman"/>
                <w:sz w:val="20"/>
                <w:szCs w:val="20"/>
              </w:rPr>
              <w:t>↔S</w:t>
            </w:r>
            <w:r w:rsidR="001348A9">
              <w:rPr>
                <w:rFonts w:ascii="Times New Roman" w:hAnsi="Times New Roman"/>
                <w:sz w:val="20"/>
                <w:szCs w:val="20"/>
              </w:rPr>
              <w:t>tate</w:t>
            </w:r>
          </w:p>
          <w:p w:rsidR="00D24A16" w:rsidRPr="00D24A16" w:rsidRDefault="00D24A16" w:rsidP="00D24A16">
            <w:pPr>
              <w:pStyle w:val="ListParagraph"/>
              <w:numPr>
                <w:ilvl w:val="0"/>
                <w:numId w:val="19"/>
              </w:numPr>
            </w:pPr>
            <w:r>
              <w:rPr>
                <w:rFonts w:ascii="Times New Roman" w:hAnsi="Times New Roman"/>
                <w:sz w:val="20"/>
                <w:szCs w:val="20"/>
              </w:rPr>
              <w:t>S</w:t>
            </w:r>
            <w:r w:rsidR="001348A9">
              <w:rPr>
                <w:rFonts w:ascii="Times New Roman" w:hAnsi="Times New Roman"/>
                <w:sz w:val="20"/>
                <w:szCs w:val="20"/>
              </w:rPr>
              <w:t>tate</w:t>
            </w:r>
            <w:r>
              <w:rPr>
                <w:rFonts w:ascii="Times New Roman" w:hAnsi="Times New Roman"/>
                <w:sz w:val="20"/>
                <w:szCs w:val="20"/>
              </w:rPr>
              <w:t>↔F</w:t>
            </w:r>
            <w:r w:rsidR="001348A9">
              <w:rPr>
                <w:rFonts w:ascii="Times New Roman" w:hAnsi="Times New Roman"/>
                <w:sz w:val="20"/>
                <w:szCs w:val="20"/>
              </w:rPr>
              <w:t>ederal</w:t>
            </w:r>
          </w:p>
          <w:p w:rsidR="00D24A16" w:rsidRPr="00D24A16" w:rsidRDefault="00D24A16" w:rsidP="00D24A16">
            <w:pPr>
              <w:pStyle w:val="ListParagraph"/>
              <w:numPr>
                <w:ilvl w:val="0"/>
                <w:numId w:val="19"/>
              </w:numPr>
              <w:rPr>
                <w:rFonts w:ascii="Times New Roman" w:hAnsi="Times New Roman"/>
                <w:sz w:val="20"/>
                <w:szCs w:val="20"/>
              </w:rPr>
            </w:pPr>
            <w:r>
              <w:rPr>
                <w:rFonts w:ascii="Times New Roman" w:hAnsi="Times New Roman"/>
                <w:sz w:val="20"/>
                <w:szCs w:val="20"/>
              </w:rPr>
              <w:t>F</w:t>
            </w:r>
            <w:r w:rsidR="001348A9">
              <w:rPr>
                <w:rFonts w:ascii="Times New Roman" w:hAnsi="Times New Roman"/>
                <w:sz w:val="20"/>
                <w:szCs w:val="20"/>
              </w:rPr>
              <w:t>ederal</w:t>
            </w:r>
            <w:r>
              <w:rPr>
                <w:rFonts w:ascii="Times New Roman" w:hAnsi="Times New Roman"/>
                <w:sz w:val="20"/>
                <w:szCs w:val="20"/>
              </w:rPr>
              <w:t>↔P</w:t>
            </w:r>
            <w:r w:rsidR="001348A9">
              <w:rPr>
                <w:rFonts w:ascii="Times New Roman" w:hAnsi="Times New Roman"/>
                <w:sz w:val="20"/>
                <w:szCs w:val="20"/>
              </w:rPr>
              <w:t>rivate</w:t>
            </w:r>
          </w:p>
          <w:p w:rsidR="00D24A16" w:rsidRPr="00D24A16" w:rsidRDefault="00D24A16" w:rsidP="00D24A16">
            <w:pPr>
              <w:pStyle w:val="ListParagraph"/>
              <w:numPr>
                <w:ilvl w:val="0"/>
                <w:numId w:val="19"/>
              </w:numPr>
            </w:pPr>
            <w:r>
              <w:rPr>
                <w:rFonts w:ascii="Times New Roman" w:hAnsi="Times New Roman"/>
                <w:sz w:val="20"/>
                <w:szCs w:val="20"/>
              </w:rPr>
              <w:t>S</w:t>
            </w:r>
            <w:r w:rsidR="001348A9">
              <w:rPr>
                <w:rFonts w:ascii="Times New Roman" w:hAnsi="Times New Roman"/>
                <w:sz w:val="20"/>
                <w:szCs w:val="20"/>
              </w:rPr>
              <w:t>tate</w:t>
            </w:r>
            <w:r>
              <w:rPr>
                <w:rFonts w:ascii="Times New Roman" w:hAnsi="Times New Roman"/>
                <w:sz w:val="20"/>
                <w:szCs w:val="20"/>
              </w:rPr>
              <w:t>↔F</w:t>
            </w:r>
            <w:r w:rsidR="001348A9">
              <w:rPr>
                <w:rFonts w:ascii="Times New Roman" w:hAnsi="Times New Roman"/>
                <w:sz w:val="20"/>
                <w:szCs w:val="20"/>
              </w:rPr>
              <w:t>ederal</w:t>
            </w:r>
          </w:p>
          <w:p w:rsidR="000C1ECF" w:rsidRPr="000C1ECF" w:rsidRDefault="00D24A16" w:rsidP="00D24A16">
            <w:pPr>
              <w:pStyle w:val="ListParagraph"/>
              <w:numPr>
                <w:ilvl w:val="0"/>
                <w:numId w:val="19"/>
              </w:numPr>
            </w:pPr>
            <w:r>
              <w:rPr>
                <w:rFonts w:ascii="Times New Roman" w:hAnsi="Times New Roman"/>
                <w:sz w:val="20"/>
                <w:szCs w:val="20"/>
              </w:rPr>
              <w:t>S</w:t>
            </w:r>
            <w:r w:rsidR="001348A9">
              <w:rPr>
                <w:rFonts w:ascii="Times New Roman" w:hAnsi="Times New Roman"/>
                <w:sz w:val="20"/>
                <w:szCs w:val="20"/>
              </w:rPr>
              <w:t>tate</w:t>
            </w:r>
            <w:r>
              <w:rPr>
                <w:rFonts w:ascii="Times New Roman" w:hAnsi="Times New Roman"/>
                <w:sz w:val="20"/>
                <w:szCs w:val="20"/>
              </w:rPr>
              <w:t>↔C</w:t>
            </w:r>
            <w:r w:rsidR="001348A9">
              <w:rPr>
                <w:rFonts w:ascii="Times New Roman" w:hAnsi="Times New Roman"/>
                <w:sz w:val="20"/>
                <w:szCs w:val="20"/>
              </w:rPr>
              <w:t>itizen</w:t>
            </w:r>
          </w:p>
        </w:tc>
      </w:tr>
      <w:tr w:rsidR="004D07A3" w:rsidRPr="000C1ECF" w:rsidTr="004D07A3">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4D07A3" w:rsidRPr="00F5451B" w:rsidRDefault="004D07A3" w:rsidP="004D07A3">
            <w:pPr>
              <w:jc w:val="center"/>
              <w:rPr>
                <w:color w:val="FFFFFF" w:themeColor="background1"/>
              </w:rPr>
            </w:pPr>
            <w:r w:rsidRPr="00F5451B">
              <w:rPr>
                <w:color w:val="FFFFFF" w:themeColor="background1"/>
              </w:rPr>
              <w:t>Key Stakeholders</w:t>
            </w:r>
          </w:p>
        </w:tc>
      </w:tr>
      <w:tr w:rsidR="000C1ECF" w:rsidRPr="000C1ECF" w:rsidTr="004D07A3">
        <w:trPr>
          <w:trHeight w:val="350"/>
        </w:trPr>
        <w:tc>
          <w:tcPr>
            <w:tcW w:w="1536" w:type="dxa"/>
            <w:tcBorders>
              <w:top w:val="single" w:sz="4" w:space="0" w:color="auto"/>
              <w:left w:val="single" w:sz="8" w:space="0" w:color="auto"/>
              <w:bottom w:val="single" w:sz="4" w:space="0" w:color="auto"/>
              <w:right w:val="single" w:sz="8" w:space="0" w:color="auto"/>
            </w:tcBorders>
          </w:tcPr>
          <w:p w:rsidR="000C1ECF" w:rsidRPr="000C1ECF" w:rsidRDefault="000C1ECF" w:rsidP="004D07A3">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0C1ECF" w:rsidRPr="00F5451B" w:rsidRDefault="00D24A16" w:rsidP="004D07A3">
            <w:pPr>
              <w:rPr>
                <w:color w:val="FF0000"/>
              </w:rPr>
            </w:pPr>
            <w:r>
              <w:t>National Fusion Center Association, Private Sector CI/KR, ISACs, ISAOs, FBI, DHS, Federal Communications Commission, DOE/Office of Electricity Intelligence</w:t>
            </w:r>
          </w:p>
        </w:tc>
      </w:tr>
      <w:tr w:rsidR="004D07A3" w:rsidRPr="000C1ECF" w:rsidTr="004D07A3">
        <w:trPr>
          <w:trHeight w:val="350"/>
        </w:trPr>
        <w:tc>
          <w:tcPr>
            <w:tcW w:w="1536" w:type="dxa"/>
            <w:tcBorders>
              <w:top w:val="single" w:sz="4" w:space="0" w:color="auto"/>
              <w:left w:val="single" w:sz="8" w:space="0" w:color="auto"/>
              <w:bottom w:val="single" w:sz="4" w:space="0" w:color="auto"/>
              <w:right w:val="single" w:sz="8" w:space="0" w:color="auto"/>
            </w:tcBorders>
          </w:tcPr>
          <w:p w:rsidR="004D07A3" w:rsidRPr="00F5451B" w:rsidRDefault="004D07A3" w:rsidP="004D07A3">
            <w:r w:rsidRPr="00F5451B">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4D07A3" w:rsidRPr="00D24A16" w:rsidRDefault="00D24A16" w:rsidP="00D24A16">
            <w:r w:rsidRPr="00D24A16">
              <w:t xml:space="preserve">Private Sector CI/KR, ISACs, ISAOs, FBI, DHS </w:t>
            </w:r>
          </w:p>
        </w:tc>
      </w:tr>
      <w:tr w:rsidR="004D07A3" w:rsidRPr="000C1ECF" w:rsidTr="004D07A3">
        <w:trPr>
          <w:trHeight w:val="350"/>
        </w:trPr>
        <w:tc>
          <w:tcPr>
            <w:tcW w:w="1536" w:type="dxa"/>
            <w:tcBorders>
              <w:top w:val="single" w:sz="4" w:space="0" w:color="auto"/>
              <w:left w:val="single" w:sz="8" w:space="0" w:color="auto"/>
              <w:bottom w:val="single" w:sz="4" w:space="0" w:color="auto"/>
              <w:right w:val="single" w:sz="8" w:space="0" w:color="auto"/>
            </w:tcBorders>
          </w:tcPr>
          <w:p w:rsidR="004D07A3" w:rsidRPr="00F5451B" w:rsidRDefault="004D07A3" w:rsidP="004D07A3">
            <w:r w:rsidRPr="00F5451B">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4D07A3" w:rsidRPr="00D24A16" w:rsidRDefault="00D24A16" w:rsidP="004D07A3">
            <w:r w:rsidRPr="00D24A16">
              <w:t>National Fusion Center Association, Private Sector CI/KR, ISACs, ISAOs, FBI, DHS, Federal Communications Commission, DOE/Office of Electricity Intelligence</w:t>
            </w:r>
          </w:p>
        </w:tc>
      </w:tr>
      <w:tr w:rsidR="004D07A3" w:rsidRPr="000C1ECF" w:rsidTr="004D07A3">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4D07A3" w:rsidRPr="00F5451B" w:rsidRDefault="000C1ECF" w:rsidP="004D07A3">
            <w:pPr>
              <w:jc w:val="center"/>
              <w:rPr>
                <w:color w:val="FFFFFF" w:themeColor="background1"/>
              </w:rPr>
            </w:pPr>
            <w:r>
              <w:rPr>
                <w:color w:val="FFFFFF" w:themeColor="background1"/>
              </w:rPr>
              <w:t>Scenario</w:t>
            </w:r>
            <w:r w:rsidR="004D07A3" w:rsidRPr="00F5451B">
              <w:rPr>
                <w:color w:val="FFFFFF" w:themeColor="background1"/>
              </w:rPr>
              <w:t xml:space="preserve"> Details</w:t>
            </w:r>
          </w:p>
        </w:tc>
      </w:tr>
      <w:tr w:rsidR="004D07A3" w:rsidRPr="000C1ECF" w:rsidTr="004D07A3">
        <w:trPr>
          <w:trHeight w:val="60"/>
        </w:trPr>
        <w:tc>
          <w:tcPr>
            <w:tcW w:w="1536" w:type="dxa"/>
            <w:tcBorders>
              <w:top w:val="single" w:sz="4" w:space="0" w:color="auto"/>
              <w:left w:val="single" w:sz="8" w:space="0" w:color="auto"/>
              <w:bottom w:val="single" w:sz="4" w:space="0" w:color="auto"/>
              <w:right w:val="single" w:sz="8" w:space="0" w:color="auto"/>
            </w:tcBorders>
            <w:hideMark/>
          </w:tcPr>
          <w:p w:rsidR="004D07A3" w:rsidRPr="00F5451B" w:rsidRDefault="004D07A3" w:rsidP="004D07A3">
            <w:r w:rsidRPr="00F5451B">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4D07A3" w:rsidRPr="000C1ECF" w:rsidRDefault="009A1CE9" w:rsidP="004D07A3">
            <w:r>
              <w:t>Use of NIEM, use of STIX, Emergency Management Messaging and Standards</w:t>
            </w:r>
          </w:p>
        </w:tc>
      </w:tr>
      <w:tr w:rsidR="004D07A3" w:rsidRPr="000C1ECF" w:rsidTr="004D07A3">
        <w:trPr>
          <w:trHeight w:val="530"/>
        </w:trPr>
        <w:tc>
          <w:tcPr>
            <w:tcW w:w="1536" w:type="dxa"/>
            <w:tcBorders>
              <w:top w:val="single" w:sz="4" w:space="0" w:color="auto"/>
              <w:left w:val="single" w:sz="8" w:space="0" w:color="auto"/>
              <w:bottom w:val="single" w:sz="8" w:space="0" w:color="auto"/>
              <w:right w:val="single" w:sz="8" w:space="0" w:color="auto"/>
            </w:tcBorders>
            <w:hideMark/>
          </w:tcPr>
          <w:p w:rsidR="004D07A3" w:rsidRPr="00F5451B" w:rsidRDefault="004D07A3" w:rsidP="004D07A3">
            <w:r w:rsidRPr="00F5451B">
              <w:t>Exchange Scenario</w:t>
            </w:r>
          </w:p>
        </w:tc>
        <w:tc>
          <w:tcPr>
            <w:tcW w:w="7905" w:type="dxa"/>
            <w:gridSpan w:val="2"/>
            <w:tcBorders>
              <w:top w:val="single" w:sz="4" w:space="0" w:color="auto"/>
              <w:left w:val="nil"/>
              <w:bottom w:val="single" w:sz="8" w:space="0" w:color="000000"/>
              <w:right w:val="single" w:sz="8" w:space="0" w:color="000000"/>
            </w:tcBorders>
          </w:tcPr>
          <w:p w:rsidR="00D24A16" w:rsidRPr="00D24A16" w:rsidRDefault="00D24A16" w:rsidP="00D24A16">
            <w:r w:rsidRPr="00D24A16">
              <w:t>At 12:58 a.m., AT&amp;T fiber-optic telecommunications cables were cut—in a way that made them hard to repair—in an underground vault near the substation, not far from U.S. Highway 101 just outside south San Jose. It would have taken more than one person to lift the metal vault cover, said people who visited the site.</w:t>
            </w:r>
          </w:p>
          <w:p w:rsidR="00D24A16" w:rsidRPr="00D24A16" w:rsidRDefault="00D24A16" w:rsidP="00D24A16"/>
          <w:p w:rsidR="00D24A16" w:rsidRPr="00D24A16" w:rsidRDefault="00D24A16" w:rsidP="00D24A16">
            <w:r w:rsidRPr="00D24A16">
              <w:t>Nine minutes later, some custom</w:t>
            </w:r>
            <w:r>
              <w:t xml:space="preserve">ers of Level 3 Communications, </w:t>
            </w:r>
            <w:r w:rsidRPr="00D24A16">
              <w:t>an Internet service provider, lost service. Cables in its vault near the Metcalf substation were also cut.</w:t>
            </w:r>
          </w:p>
          <w:p w:rsidR="00D24A16" w:rsidRPr="00D24A16" w:rsidRDefault="00D24A16" w:rsidP="00D24A16"/>
          <w:p w:rsidR="00D24A16" w:rsidRPr="00D24A16" w:rsidRDefault="00D24A16" w:rsidP="00D24A16">
            <w:r w:rsidRPr="00D24A16">
              <w:t>At 1:31 a.m., a surveillance camera pointed along a chain-link fence around the substation recorded a streak of light that investigators from the Santa Clara County Sheriff’s office think was a signal from a waved flashlight. It was followed by the muzzle flash of rifles and sparks from bullets hitting the fence.</w:t>
            </w:r>
          </w:p>
          <w:p w:rsidR="00D24A16" w:rsidRPr="00D24A16" w:rsidRDefault="00D24A16" w:rsidP="00D24A16"/>
          <w:p w:rsidR="00D24A16" w:rsidRPr="00D24A16" w:rsidRDefault="00D24A16" w:rsidP="00D24A16">
            <w:r w:rsidRPr="00D24A16">
              <w:t>The substation’s cameras weren’t aimed outside its perimeter, where the attackers were. The shooters appear to have aimed at the transformers’ oil-filled cooling systems. These began to bleed oil, but didn’t explode, as the transformers probably would have done if hit in other areas.</w:t>
            </w:r>
          </w:p>
          <w:p w:rsidR="00D24A16" w:rsidRPr="00D24A16" w:rsidRDefault="00D24A16" w:rsidP="00D24A16"/>
          <w:p w:rsidR="00D24A16" w:rsidRPr="00D24A16" w:rsidRDefault="00D24A16" w:rsidP="00D24A16">
            <w:r w:rsidRPr="00D24A16">
              <w:t>About six minutes after the shooting started, PG&amp;E confirms, it got an alarm from motion sensors at the substation, possibly from bullets grazing the fence, which is shown on video.</w:t>
            </w:r>
          </w:p>
          <w:p w:rsidR="00D24A16" w:rsidRPr="00D24A16" w:rsidRDefault="00D24A16" w:rsidP="00D24A16"/>
          <w:p w:rsidR="00D24A16" w:rsidRPr="00D24A16" w:rsidRDefault="00D24A16" w:rsidP="00D24A16">
            <w:r w:rsidRPr="00D24A16">
              <w:t>Four minutes later, at 1:41 a.m., the sheriff’s department received a 911 call about gunfire, sent by an engineer at a nearby power plant that still had phone service.</w:t>
            </w:r>
          </w:p>
          <w:p w:rsidR="00D24A16" w:rsidRPr="00D24A16" w:rsidRDefault="00D24A16" w:rsidP="00D24A16"/>
          <w:p w:rsidR="00D24A16" w:rsidRPr="00D24A16" w:rsidRDefault="00D24A16" w:rsidP="00D24A16">
            <w:r w:rsidRPr="00D24A16">
              <w:t>Riddled with bullet holes, the transformers leaked 52,000 gallons of oil, then overheated. The first bank of them crashed at 1:45 a.m., at which time PG&amp;E’s control center about 90 miles north received an equipment-failure alarm.</w:t>
            </w:r>
          </w:p>
          <w:p w:rsidR="00D24A16" w:rsidRPr="00D24A16" w:rsidRDefault="00D24A16" w:rsidP="00D24A16"/>
          <w:p w:rsidR="00D24A16" w:rsidRPr="00D24A16" w:rsidRDefault="00D24A16" w:rsidP="00D24A16">
            <w:r w:rsidRPr="00D24A16">
              <w:t>Five minutes later, another apparent flashlight signal, caught on film, marked the end of the attack. More than 100 shell casings of the sort ejected by AK-47s were later found at the site.</w:t>
            </w:r>
          </w:p>
          <w:p w:rsidR="00D24A16" w:rsidRPr="00D24A16" w:rsidRDefault="00D24A16" w:rsidP="00D24A16"/>
          <w:p w:rsidR="00D24A16" w:rsidRPr="00D24A16" w:rsidRDefault="00D24A16" w:rsidP="00D24A16">
            <w:r w:rsidRPr="00D24A16">
              <w:t>At 1:51 a.m., law-enforcement officers arrived, but found everything quiet. Unable to get past the locked fence and seeing nothing suspicious, they left.</w:t>
            </w:r>
          </w:p>
          <w:p w:rsidR="00D24A16" w:rsidRPr="00D24A16" w:rsidRDefault="00D24A16" w:rsidP="00D24A16"/>
          <w:p w:rsidR="004D07A3" w:rsidRPr="00D67C6C" w:rsidRDefault="00D24A16" w:rsidP="00D24A16">
            <w:r w:rsidRPr="00D24A16">
              <w:t>A PG&amp;E worker, awakened by the utility’s control center at 2:03 a.m., arrived at 3:15 a.m. to survey the damage.</w:t>
            </w:r>
          </w:p>
        </w:tc>
      </w:tr>
      <w:tr w:rsidR="004D07A3" w:rsidRPr="000C1ECF" w:rsidTr="004D07A3">
        <w:trPr>
          <w:trHeight w:val="115"/>
        </w:trPr>
        <w:tc>
          <w:tcPr>
            <w:tcW w:w="1536" w:type="dxa"/>
            <w:tcBorders>
              <w:top w:val="single" w:sz="4" w:space="0" w:color="auto"/>
              <w:left w:val="single" w:sz="8" w:space="0" w:color="auto"/>
              <w:bottom w:val="single" w:sz="4" w:space="0" w:color="auto"/>
              <w:right w:val="single" w:sz="8" w:space="0" w:color="auto"/>
            </w:tcBorders>
            <w:hideMark/>
          </w:tcPr>
          <w:p w:rsidR="004D07A3" w:rsidRPr="00F5451B" w:rsidRDefault="004D07A3" w:rsidP="004D07A3">
            <w:r w:rsidRPr="00F5451B">
              <w:t>Business Rules</w:t>
            </w:r>
          </w:p>
        </w:tc>
        <w:tc>
          <w:tcPr>
            <w:tcW w:w="7905" w:type="dxa"/>
            <w:gridSpan w:val="2"/>
            <w:tcBorders>
              <w:top w:val="single" w:sz="4" w:space="0" w:color="auto"/>
              <w:left w:val="nil"/>
              <w:bottom w:val="single" w:sz="4" w:space="0" w:color="auto"/>
              <w:right w:val="single" w:sz="8" w:space="0" w:color="000000"/>
            </w:tcBorders>
          </w:tcPr>
          <w:p w:rsidR="004D07A3" w:rsidRPr="000C1ECF" w:rsidRDefault="009A1CE9" w:rsidP="004D07A3">
            <w:r>
              <w:t>TBD with stakeholders</w:t>
            </w:r>
          </w:p>
        </w:tc>
      </w:tr>
      <w:tr w:rsidR="000C1ECF" w:rsidRPr="000C1ECF" w:rsidTr="004D07A3">
        <w:trPr>
          <w:trHeight w:val="115"/>
        </w:trPr>
        <w:tc>
          <w:tcPr>
            <w:tcW w:w="1536" w:type="dxa"/>
            <w:tcBorders>
              <w:top w:val="single" w:sz="4" w:space="0" w:color="auto"/>
              <w:left w:val="single" w:sz="8" w:space="0" w:color="auto"/>
              <w:bottom w:val="single" w:sz="4" w:space="0" w:color="auto"/>
              <w:right w:val="single" w:sz="8" w:space="0" w:color="auto"/>
            </w:tcBorders>
          </w:tcPr>
          <w:p w:rsidR="000C1ECF" w:rsidRPr="000C1ECF" w:rsidRDefault="0063410F" w:rsidP="004D07A3">
            <w:r>
              <w:t xml:space="preserve">Mapping to ESSA’s </w:t>
            </w:r>
            <w:r w:rsidR="000C1ECF">
              <w:t>Enduring Functional Exchanges</w:t>
            </w:r>
            <w:r w:rsidR="00AA4498">
              <w:t xml:space="preserve"> (EFE)</w:t>
            </w:r>
          </w:p>
        </w:tc>
        <w:tc>
          <w:tcPr>
            <w:tcW w:w="7905" w:type="dxa"/>
            <w:gridSpan w:val="2"/>
            <w:tcBorders>
              <w:top w:val="single" w:sz="4" w:space="0" w:color="auto"/>
              <w:left w:val="nil"/>
              <w:bottom w:val="single" w:sz="4" w:space="0" w:color="auto"/>
              <w:right w:val="single" w:sz="8" w:space="0" w:color="000000"/>
            </w:tcBorders>
          </w:tcPr>
          <w:p w:rsidR="000C1ECF" w:rsidRPr="000C1ECF" w:rsidRDefault="00D24A16" w:rsidP="00D24A16">
            <w:r w:rsidRPr="00D24A16">
              <w:t xml:space="preserve"> </w:t>
            </w:r>
            <w:r w:rsidR="00D67C6C" w:rsidRPr="00D24A16">
              <w:t xml:space="preserve">(1) Configuration/Anomaly Reporting; (2) </w:t>
            </w:r>
            <w:r w:rsidR="0063410F" w:rsidRPr="00D24A16">
              <w:t>Knowledge of Threat Actors; (3) Incident Awareness; (4) Indicators and Warnings; (5) Vulnerability Knowledge; (6) Mitigation Strategies; (7)</w:t>
            </w:r>
            <w:r w:rsidRPr="00D24A16">
              <w:t xml:space="preserve"> Mitigation Actions &amp; Responses</w:t>
            </w:r>
            <w:r w:rsidR="00D67C6C" w:rsidRPr="00D24A16">
              <w:t xml:space="preserve"> </w:t>
            </w:r>
          </w:p>
        </w:tc>
      </w:tr>
      <w:tr w:rsidR="004D07A3" w:rsidRPr="000C1ECF" w:rsidTr="004D07A3">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4D07A3" w:rsidRPr="00F5451B" w:rsidRDefault="004D07A3" w:rsidP="004D07A3">
            <w:pPr>
              <w:jc w:val="center"/>
              <w:rPr>
                <w:color w:val="FFFFFF" w:themeColor="background1"/>
              </w:rPr>
            </w:pPr>
            <w:r w:rsidRPr="00F5451B">
              <w:rPr>
                <w:color w:val="FFFFFF" w:themeColor="background1"/>
              </w:rPr>
              <w:t>Data Elements</w:t>
            </w:r>
          </w:p>
        </w:tc>
      </w:tr>
      <w:tr w:rsidR="004D07A3" w:rsidRPr="000C1ECF" w:rsidTr="004D07A3">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4D07A3" w:rsidRPr="00F5451B" w:rsidRDefault="004D07A3" w:rsidP="004D07A3">
            <w:pPr>
              <w:jc w:val="center"/>
              <w:rPr>
                <w:color w:val="FFFFFF" w:themeColor="background1"/>
              </w:rPr>
            </w:pPr>
            <w:r w:rsidRPr="00F5451B">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4D07A3" w:rsidRPr="00F5451B" w:rsidRDefault="004D07A3" w:rsidP="004D07A3">
            <w:pPr>
              <w:jc w:val="center"/>
              <w:rPr>
                <w:color w:val="FFFFFF" w:themeColor="background1"/>
              </w:rPr>
            </w:pPr>
            <w:r w:rsidRPr="00F5451B">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4D07A3" w:rsidRPr="00F5451B" w:rsidRDefault="004D07A3" w:rsidP="004D07A3">
            <w:pPr>
              <w:jc w:val="center"/>
              <w:rPr>
                <w:color w:val="FFFFFF" w:themeColor="background1"/>
              </w:rPr>
            </w:pPr>
            <w:r w:rsidRPr="00F5451B">
              <w:rPr>
                <w:color w:val="FFFFFF" w:themeColor="background1"/>
              </w:rPr>
              <w:t>Definitions</w:t>
            </w:r>
          </w:p>
        </w:tc>
      </w:tr>
      <w:tr w:rsidR="004D07A3" w:rsidRPr="000C1ECF" w:rsidTr="004D07A3">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4D07A3" w:rsidRPr="00F5451B" w:rsidRDefault="004D07A3" w:rsidP="004D07A3">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4D07A3" w:rsidRPr="00F5451B" w:rsidRDefault="004D07A3" w:rsidP="004D07A3">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4D07A3" w:rsidRPr="00F5451B" w:rsidRDefault="004D07A3" w:rsidP="004D07A3">
            <w:pPr>
              <w:jc w:val="center"/>
              <w:rPr>
                <w:color w:val="FFFFFF" w:themeColor="background1"/>
              </w:rPr>
            </w:pPr>
          </w:p>
        </w:tc>
      </w:tr>
      <w:tr w:rsidR="004D07A3" w:rsidRPr="000C1ECF" w:rsidTr="00F5451B">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D07A3" w:rsidRPr="000C1ECF" w:rsidRDefault="000C1ECF" w:rsidP="00F5451B">
            <w:r>
              <w:t xml:space="preserve">Additional Information: </w:t>
            </w:r>
          </w:p>
        </w:tc>
      </w:tr>
    </w:tbl>
    <w:p w:rsidR="0063410F" w:rsidRDefault="0063410F">
      <w:pPr>
        <w:rPr>
          <w:sz w:val="22"/>
          <w:szCs w:val="22"/>
        </w:rPr>
      </w:pPr>
    </w:p>
    <w:p w:rsidR="0063410F" w:rsidRDefault="0063410F">
      <w:pPr>
        <w:rPr>
          <w:sz w:val="22"/>
          <w:szCs w:val="22"/>
        </w:rPr>
      </w:pPr>
    </w:p>
    <w:p w:rsidR="00E400F4" w:rsidRDefault="00E400F4">
      <w:pPr>
        <w:rPr>
          <w:sz w:val="22"/>
          <w:szCs w:val="22"/>
        </w:rPr>
      </w:pPr>
    </w:p>
    <w:p w:rsidR="00E400F4" w:rsidRDefault="00E400F4">
      <w:pPr>
        <w:rPr>
          <w:sz w:val="22"/>
          <w:szCs w:val="22"/>
        </w:rPr>
      </w:pPr>
    </w:p>
    <w:p w:rsidR="00E400F4" w:rsidRDefault="00E400F4">
      <w:pPr>
        <w:rPr>
          <w:sz w:val="22"/>
          <w:szCs w:val="22"/>
        </w:rPr>
      </w:pPr>
    </w:p>
    <w:p w:rsidR="00E400F4" w:rsidRDefault="00E400F4">
      <w:pPr>
        <w:rPr>
          <w:sz w:val="22"/>
          <w:szCs w:val="22"/>
        </w:rPr>
      </w:pPr>
      <w:r>
        <w:rPr>
          <w:sz w:val="22"/>
          <w:szCs w:val="22"/>
        </w:rPr>
        <w:br w:type="page"/>
      </w:r>
    </w:p>
    <w:p w:rsidR="0063410F" w:rsidRDefault="001B04CD" w:rsidP="00C17CD4">
      <w:pPr>
        <w:pStyle w:val="Heading2"/>
      </w:pPr>
      <w:r>
        <w:t>Scenario</w:t>
      </w:r>
      <w:r w:rsidR="0013687B">
        <w:t xml:space="preserve"> Story #2</w:t>
      </w:r>
    </w:p>
    <w:p w:rsidR="00C17CD4" w:rsidRPr="001618A3" w:rsidRDefault="0008501A" w:rsidP="00C17CD4">
      <w:pPr>
        <w:rPr>
          <w:sz w:val="22"/>
        </w:rPr>
      </w:pPr>
      <w:r w:rsidRPr="001618A3">
        <w:rPr>
          <w:sz w:val="22"/>
        </w:rPr>
        <w:t>A sighting from a BioWatch detection system detects the presence of a pathogen or multiple pathogens in a particular location at a particular time that indicates the possibility of a terrorist attack, accidental release of pathogens or natural outbreak. The detection systems report pathogens based on the concentration of the DNA for a pathogen which is rated as low, medium or high.  The BioWatch detectors can also provide information about location of the event (indoor vs outdoor) and potentially any geographical patterns.  The intelligence community releases notices of suspected terrorist activity from multiple sources, including the monitoring of social media and other classified sources. Such activity is an indicator of an ongoing or possible future attack. The potential Harm from such a bioterrorism attack is significant and includes: potential for significant life loss (approximately 10M plus people would need to be treated if all of LA County is affected), however it is not clear that this was an actual attack and or if people will become infected.   If people are going to get infected they must be treated with antibiotics in order to recover.  Potential for economic impact and loss of life; potential biohazard issue – contaminated environment; and more.</w:t>
      </w:r>
    </w:p>
    <w:p w:rsidR="00C17CD4" w:rsidRDefault="00C17CD4">
      <w:pPr>
        <w:rPr>
          <w:sz w:val="22"/>
          <w:szCs w:val="22"/>
        </w:rPr>
      </w:pPr>
    </w:p>
    <w:tbl>
      <w:tblPr>
        <w:tblW w:w="9441" w:type="dxa"/>
        <w:tblInd w:w="93" w:type="dxa"/>
        <w:tblLook w:val="04A0" w:firstRow="1" w:lastRow="0" w:firstColumn="1" w:lastColumn="0" w:noHBand="0" w:noVBand="1"/>
      </w:tblPr>
      <w:tblGrid>
        <w:gridCol w:w="1536"/>
        <w:gridCol w:w="3815"/>
        <w:gridCol w:w="4090"/>
      </w:tblGrid>
      <w:tr w:rsidR="0063410F" w:rsidRPr="000C1ECF" w:rsidTr="0063410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3410F" w:rsidRPr="00C2123A" w:rsidRDefault="0063410F" w:rsidP="0063410F">
            <w:pPr>
              <w:jc w:val="center"/>
              <w:rPr>
                <w:color w:val="FFFFFF" w:themeColor="background1"/>
              </w:rPr>
            </w:pPr>
            <w:r w:rsidRPr="00C2123A">
              <w:rPr>
                <w:color w:val="FFFFFF" w:themeColor="background1"/>
              </w:rPr>
              <w:t>Use Case</w:t>
            </w:r>
            <w:r>
              <w:rPr>
                <w:color w:val="FFFFFF" w:themeColor="background1"/>
              </w:rPr>
              <w:t xml:space="preserve"> #</w:t>
            </w:r>
            <w:r w:rsidR="0013687B">
              <w:rPr>
                <w:color w:val="FFFFFF" w:themeColor="background1"/>
              </w:rPr>
              <w:t>2</w:t>
            </w:r>
          </w:p>
        </w:tc>
      </w:tr>
      <w:tr w:rsidR="0063410F" w:rsidRPr="000C1ECF" w:rsidTr="0063410F">
        <w:trPr>
          <w:trHeight w:val="88"/>
        </w:trPr>
        <w:tc>
          <w:tcPr>
            <w:tcW w:w="1536" w:type="dxa"/>
            <w:tcBorders>
              <w:top w:val="single" w:sz="8" w:space="0" w:color="auto"/>
              <w:left w:val="single" w:sz="8" w:space="0" w:color="auto"/>
              <w:bottom w:val="single" w:sz="4" w:space="0" w:color="auto"/>
              <w:right w:val="single" w:sz="8" w:space="0" w:color="auto"/>
            </w:tcBorders>
          </w:tcPr>
          <w:p w:rsidR="0063410F" w:rsidRPr="00C2123A" w:rsidRDefault="0063410F" w:rsidP="0063410F">
            <w:r w:rsidRPr="00C2123A">
              <w:t>Title</w:t>
            </w:r>
          </w:p>
        </w:tc>
        <w:tc>
          <w:tcPr>
            <w:tcW w:w="7905" w:type="dxa"/>
            <w:gridSpan w:val="2"/>
            <w:tcBorders>
              <w:top w:val="single" w:sz="4" w:space="0" w:color="auto"/>
              <w:left w:val="nil"/>
              <w:bottom w:val="single" w:sz="4" w:space="0" w:color="auto"/>
              <w:right w:val="single" w:sz="8" w:space="0" w:color="000000"/>
            </w:tcBorders>
          </w:tcPr>
          <w:p w:rsidR="0063410F" w:rsidRPr="00C2123A" w:rsidRDefault="004B41D6" w:rsidP="0063410F">
            <w:r>
              <w:t xml:space="preserve">Bio Surveillance </w:t>
            </w:r>
            <w:r w:rsidR="0063410F" w:rsidRPr="004B41D6">
              <w:t>Coordination</w:t>
            </w:r>
          </w:p>
        </w:tc>
      </w:tr>
      <w:tr w:rsidR="0063410F" w:rsidRPr="000C1ECF" w:rsidTr="0063410F">
        <w:trPr>
          <w:trHeight w:val="50"/>
        </w:trPr>
        <w:tc>
          <w:tcPr>
            <w:tcW w:w="1536" w:type="dxa"/>
            <w:tcBorders>
              <w:top w:val="single" w:sz="8" w:space="0" w:color="auto"/>
              <w:left w:val="single" w:sz="8" w:space="0" w:color="auto"/>
              <w:bottom w:val="single" w:sz="4" w:space="0" w:color="auto"/>
              <w:right w:val="single" w:sz="8" w:space="0" w:color="auto"/>
            </w:tcBorders>
          </w:tcPr>
          <w:p w:rsidR="0063410F" w:rsidRPr="00C2123A" w:rsidRDefault="0063410F" w:rsidP="0063410F">
            <w:r w:rsidRPr="00C2123A">
              <w:t>Category</w:t>
            </w:r>
          </w:p>
        </w:tc>
        <w:tc>
          <w:tcPr>
            <w:tcW w:w="7905" w:type="dxa"/>
            <w:gridSpan w:val="2"/>
            <w:tcBorders>
              <w:top w:val="single" w:sz="4" w:space="0" w:color="auto"/>
              <w:left w:val="nil"/>
              <w:bottom w:val="single" w:sz="4" w:space="0" w:color="auto"/>
              <w:right w:val="single" w:sz="8" w:space="0" w:color="000000"/>
            </w:tcBorders>
          </w:tcPr>
          <w:p w:rsidR="0063410F" w:rsidRPr="000C1ECF" w:rsidRDefault="0063410F" w:rsidP="0063410F">
            <w:r w:rsidRPr="000C1ECF">
              <w:t>Integrated Threat Assessment for Critical Infrastructure</w:t>
            </w:r>
          </w:p>
        </w:tc>
      </w:tr>
      <w:tr w:rsidR="0063410F" w:rsidRPr="000C1ECF" w:rsidTr="0063410F">
        <w:trPr>
          <w:trHeight w:val="50"/>
        </w:trPr>
        <w:tc>
          <w:tcPr>
            <w:tcW w:w="1536" w:type="dxa"/>
            <w:tcBorders>
              <w:top w:val="single" w:sz="8" w:space="0" w:color="auto"/>
              <w:left w:val="single" w:sz="8" w:space="0" w:color="auto"/>
              <w:bottom w:val="single" w:sz="4" w:space="0" w:color="auto"/>
              <w:right w:val="single" w:sz="8" w:space="0" w:color="auto"/>
            </w:tcBorders>
          </w:tcPr>
          <w:p w:rsidR="0063410F" w:rsidRPr="00C2123A" w:rsidRDefault="0063410F" w:rsidP="0063410F">
            <w:r w:rsidRPr="00C2123A">
              <w:t>Domain</w:t>
            </w:r>
          </w:p>
        </w:tc>
        <w:tc>
          <w:tcPr>
            <w:tcW w:w="7905" w:type="dxa"/>
            <w:gridSpan w:val="2"/>
            <w:tcBorders>
              <w:top w:val="single" w:sz="4" w:space="0" w:color="auto"/>
              <w:left w:val="nil"/>
              <w:bottom w:val="single" w:sz="4" w:space="0" w:color="auto"/>
              <w:right w:val="single" w:sz="8" w:space="0" w:color="000000"/>
            </w:tcBorders>
          </w:tcPr>
          <w:p w:rsidR="0063410F" w:rsidRDefault="0063410F" w:rsidP="0063410F">
            <w:pPr>
              <w:pStyle w:val="ListParagraph"/>
              <w:numPr>
                <w:ilvl w:val="0"/>
                <w:numId w:val="18"/>
              </w:numPr>
              <w:rPr>
                <w:rFonts w:ascii="Times New Roman" w:hAnsi="Times New Roman"/>
                <w:sz w:val="20"/>
                <w:szCs w:val="20"/>
              </w:rPr>
            </w:pPr>
            <w:r>
              <w:rPr>
                <w:rFonts w:ascii="Times New Roman" w:hAnsi="Times New Roman"/>
                <w:sz w:val="20"/>
                <w:szCs w:val="20"/>
              </w:rPr>
              <w:t>Public Health Data</w:t>
            </w:r>
          </w:p>
          <w:p w:rsidR="0063410F" w:rsidRPr="00C2123A" w:rsidRDefault="0063410F" w:rsidP="0063410F">
            <w:pPr>
              <w:pStyle w:val="ListParagraph"/>
              <w:numPr>
                <w:ilvl w:val="0"/>
                <w:numId w:val="18"/>
              </w:numPr>
              <w:rPr>
                <w:rFonts w:ascii="Times New Roman" w:hAnsi="Times New Roman"/>
                <w:sz w:val="20"/>
                <w:szCs w:val="20"/>
              </w:rPr>
            </w:pPr>
            <w:r>
              <w:rPr>
                <w:rFonts w:ascii="Times New Roman" w:hAnsi="Times New Roman"/>
                <w:sz w:val="20"/>
                <w:szCs w:val="20"/>
              </w:rPr>
              <w:t>Intelligence Information Sharing</w:t>
            </w:r>
          </w:p>
        </w:tc>
      </w:tr>
      <w:tr w:rsidR="0063410F" w:rsidRPr="000C1ECF" w:rsidTr="0063410F">
        <w:trPr>
          <w:trHeight w:val="50"/>
        </w:trPr>
        <w:tc>
          <w:tcPr>
            <w:tcW w:w="1536" w:type="dxa"/>
            <w:tcBorders>
              <w:top w:val="single" w:sz="8" w:space="0" w:color="auto"/>
              <w:left w:val="single" w:sz="8" w:space="0" w:color="auto"/>
              <w:bottom w:val="single" w:sz="4" w:space="0" w:color="auto"/>
              <w:right w:val="single" w:sz="8" w:space="0" w:color="auto"/>
            </w:tcBorders>
          </w:tcPr>
          <w:p w:rsidR="0063410F" w:rsidRPr="00C2123A" w:rsidRDefault="0063410F" w:rsidP="0063410F">
            <w:r w:rsidRPr="00C2123A">
              <w:t xml:space="preserve">Security </w:t>
            </w:r>
            <w:r>
              <w:t>Fabric</w:t>
            </w:r>
          </w:p>
          <w:p w:rsidR="0063410F" w:rsidRPr="00C2123A" w:rsidRDefault="0063410F" w:rsidP="0063410F">
            <w:r w:rsidRPr="00C2123A">
              <w:t>(e.g., U, LES, S, TS)</w:t>
            </w:r>
          </w:p>
        </w:tc>
        <w:tc>
          <w:tcPr>
            <w:tcW w:w="7905" w:type="dxa"/>
            <w:gridSpan w:val="2"/>
            <w:tcBorders>
              <w:top w:val="single" w:sz="4" w:space="0" w:color="auto"/>
              <w:left w:val="nil"/>
              <w:bottom w:val="single" w:sz="4" w:space="0" w:color="auto"/>
              <w:right w:val="single" w:sz="8" w:space="0" w:color="000000"/>
            </w:tcBorders>
          </w:tcPr>
          <w:p w:rsidR="0063410F" w:rsidRPr="00C2123A" w:rsidRDefault="004B41D6" w:rsidP="0063410F">
            <w:r w:rsidRPr="004B41D6">
              <w:t>U, S, TS</w:t>
            </w:r>
          </w:p>
        </w:tc>
      </w:tr>
      <w:tr w:rsidR="0063410F" w:rsidRPr="000C1ECF" w:rsidTr="0063410F">
        <w:trPr>
          <w:trHeight w:val="493"/>
        </w:trPr>
        <w:tc>
          <w:tcPr>
            <w:tcW w:w="1536" w:type="dxa"/>
            <w:tcBorders>
              <w:top w:val="single" w:sz="8" w:space="0" w:color="auto"/>
              <w:left w:val="single" w:sz="8" w:space="0" w:color="auto"/>
              <w:bottom w:val="single" w:sz="4" w:space="0" w:color="auto"/>
              <w:right w:val="single" w:sz="8" w:space="0" w:color="auto"/>
            </w:tcBorders>
            <w:hideMark/>
          </w:tcPr>
          <w:p w:rsidR="0063410F" w:rsidRPr="00C2123A" w:rsidRDefault="0063410F" w:rsidP="0063410F">
            <w:r w:rsidRPr="00C2123A">
              <w:t>Scenario Description</w:t>
            </w:r>
          </w:p>
        </w:tc>
        <w:tc>
          <w:tcPr>
            <w:tcW w:w="7905" w:type="dxa"/>
            <w:gridSpan w:val="2"/>
            <w:tcBorders>
              <w:top w:val="single" w:sz="4" w:space="0" w:color="auto"/>
              <w:left w:val="nil"/>
              <w:bottom w:val="single" w:sz="4" w:space="0" w:color="auto"/>
              <w:right w:val="single" w:sz="8" w:space="0" w:color="000000"/>
            </w:tcBorders>
          </w:tcPr>
          <w:p w:rsidR="0063410F" w:rsidRPr="00C2123A" w:rsidRDefault="0063410F" w:rsidP="0063410F">
            <w:r>
              <w:t>Bio surveillance and Emergency Management “BioWatch” coordination health/chemical related threats with Public Safety, Intelligence Community, and Healthcare providers</w:t>
            </w:r>
          </w:p>
        </w:tc>
      </w:tr>
      <w:tr w:rsidR="0063410F" w:rsidRPr="000C1ECF" w:rsidTr="0063410F">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63410F" w:rsidRPr="00C2123A" w:rsidRDefault="0063410F" w:rsidP="0063410F">
            <w:r w:rsidRPr="00C2123A">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4B41D6" w:rsidRPr="004B41D6" w:rsidRDefault="004B41D6" w:rsidP="004B41D6">
            <w:pPr>
              <w:pStyle w:val="ListParagraph"/>
              <w:numPr>
                <w:ilvl w:val="0"/>
                <w:numId w:val="19"/>
              </w:numPr>
              <w:rPr>
                <w:rFonts w:ascii="Times New Roman" w:hAnsi="Times New Roman"/>
                <w:sz w:val="20"/>
                <w:szCs w:val="20"/>
              </w:rPr>
            </w:pPr>
            <w:r w:rsidRPr="004B41D6">
              <w:rPr>
                <w:rFonts w:ascii="Times New Roman" w:hAnsi="Times New Roman"/>
                <w:sz w:val="20"/>
                <w:szCs w:val="20"/>
              </w:rPr>
              <w:t>P</w:t>
            </w:r>
            <w:r w:rsidR="001348A9">
              <w:rPr>
                <w:rFonts w:ascii="Times New Roman" w:hAnsi="Times New Roman"/>
                <w:sz w:val="20"/>
                <w:szCs w:val="20"/>
              </w:rPr>
              <w:t>rivate</w:t>
            </w:r>
            <w:r w:rsidRPr="004B41D6">
              <w:rPr>
                <w:rFonts w:ascii="Times New Roman" w:hAnsi="Times New Roman"/>
                <w:sz w:val="20"/>
                <w:szCs w:val="20"/>
              </w:rPr>
              <w:t>↔S</w:t>
            </w:r>
            <w:r w:rsidR="001348A9">
              <w:rPr>
                <w:rFonts w:ascii="Times New Roman" w:hAnsi="Times New Roman"/>
                <w:sz w:val="20"/>
                <w:szCs w:val="20"/>
              </w:rPr>
              <w:t>tate</w:t>
            </w:r>
          </w:p>
          <w:p w:rsidR="004B41D6" w:rsidRPr="004B41D6" w:rsidRDefault="004B41D6" w:rsidP="004B41D6">
            <w:pPr>
              <w:pStyle w:val="ListParagraph"/>
              <w:numPr>
                <w:ilvl w:val="0"/>
                <w:numId w:val="19"/>
              </w:numPr>
              <w:rPr>
                <w:rFonts w:ascii="Times New Roman" w:hAnsi="Times New Roman"/>
                <w:sz w:val="20"/>
                <w:szCs w:val="20"/>
              </w:rPr>
            </w:pPr>
            <w:r w:rsidRPr="004B41D6">
              <w:rPr>
                <w:rFonts w:ascii="Times New Roman" w:hAnsi="Times New Roman"/>
                <w:sz w:val="20"/>
                <w:szCs w:val="20"/>
              </w:rPr>
              <w:t>S</w:t>
            </w:r>
            <w:r w:rsidR="001348A9">
              <w:rPr>
                <w:rFonts w:ascii="Times New Roman" w:hAnsi="Times New Roman"/>
                <w:sz w:val="20"/>
                <w:szCs w:val="20"/>
              </w:rPr>
              <w:t>tate</w:t>
            </w:r>
            <w:r w:rsidRPr="004B41D6">
              <w:rPr>
                <w:rFonts w:ascii="Times New Roman" w:hAnsi="Times New Roman"/>
                <w:sz w:val="20"/>
                <w:szCs w:val="20"/>
              </w:rPr>
              <w:t>↔F</w:t>
            </w:r>
            <w:r w:rsidR="001348A9">
              <w:rPr>
                <w:rFonts w:ascii="Times New Roman" w:hAnsi="Times New Roman"/>
                <w:sz w:val="20"/>
                <w:szCs w:val="20"/>
              </w:rPr>
              <w:t>ederal</w:t>
            </w:r>
          </w:p>
          <w:p w:rsidR="004B41D6" w:rsidRPr="004B41D6" w:rsidRDefault="004B41D6" w:rsidP="004B41D6">
            <w:pPr>
              <w:pStyle w:val="ListParagraph"/>
              <w:numPr>
                <w:ilvl w:val="0"/>
                <w:numId w:val="19"/>
              </w:numPr>
              <w:rPr>
                <w:rFonts w:ascii="Times New Roman" w:hAnsi="Times New Roman"/>
                <w:sz w:val="20"/>
                <w:szCs w:val="20"/>
              </w:rPr>
            </w:pPr>
            <w:r w:rsidRPr="004B41D6">
              <w:rPr>
                <w:rFonts w:ascii="Times New Roman" w:hAnsi="Times New Roman"/>
                <w:sz w:val="20"/>
                <w:szCs w:val="20"/>
              </w:rPr>
              <w:t>F</w:t>
            </w:r>
            <w:r w:rsidR="001348A9">
              <w:rPr>
                <w:rFonts w:ascii="Times New Roman" w:hAnsi="Times New Roman"/>
                <w:sz w:val="20"/>
                <w:szCs w:val="20"/>
              </w:rPr>
              <w:t>ederal</w:t>
            </w:r>
            <w:r w:rsidRPr="004B41D6">
              <w:rPr>
                <w:rFonts w:ascii="Times New Roman" w:hAnsi="Times New Roman"/>
                <w:sz w:val="20"/>
                <w:szCs w:val="20"/>
              </w:rPr>
              <w:t>↔P</w:t>
            </w:r>
            <w:r w:rsidR="001348A9">
              <w:rPr>
                <w:rFonts w:ascii="Times New Roman" w:hAnsi="Times New Roman"/>
                <w:sz w:val="20"/>
                <w:szCs w:val="20"/>
              </w:rPr>
              <w:t>rivate</w:t>
            </w:r>
          </w:p>
          <w:p w:rsidR="0063410F" w:rsidRPr="000C1ECF" w:rsidRDefault="004B41D6" w:rsidP="004B41D6">
            <w:pPr>
              <w:pStyle w:val="ListParagraph"/>
              <w:numPr>
                <w:ilvl w:val="0"/>
                <w:numId w:val="19"/>
              </w:numPr>
            </w:pPr>
            <w:r w:rsidRPr="004B41D6">
              <w:rPr>
                <w:rFonts w:ascii="Times New Roman" w:hAnsi="Times New Roman"/>
                <w:sz w:val="20"/>
                <w:szCs w:val="20"/>
              </w:rPr>
              <w:t>S</w:t>
            </w:r>
            <w:r w:rsidR="001348A9">
              <w:rPr>
                <w:rFonts w:ascii="Times New Roman" w:hAnsi="Times New Roman"/>
                <w:sz w:val="20"/>
                <w:szCs w:val="20"/>
              </w:rPr>
              <w:t>tate</w:t>
            </w:r>
            <w:r w:rsidRPr="004B41D6">
              <w:rPr>
                <w:rFonts w:ascii="Times New Roman" w:hAnsi="Times New Roman"/>
                <w:sz w:val="20"/>
                <w:szCs w:val="20"/>
              </w:rPr>
              <w:t>↔C</w:t>
            </w:r>
            <w:r w:rsidR="001348A9">
              <w:rPr>
                <w:rFonts w:ascii="Times New Roman" w:hAnsi="Times New Roman"/>
                <w:sz w:val="20"/>
                <w:szCs w:val="20"/>
              </w:rPr>
              <w:t>itizen</w:t>
            </w:r>
          </w:p>
        </w:tc>
      </w:tr>
      <w:tr w:rsidR="0063410F" w:rsidRPr="000C1ECF" w:rsidTr="0063410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3410F" w:rsidRPr="00C2123A" w:rsidRDefault="0063410F" w:rsidP="0063410F">
            <w:pPr>
              <w:jc w:val="center"/>
              <w:rPr>
                <w:color w:val="FFFFFF" w:themeColor="background1"/>
              </w:rPr>
            </w:pPr>
            <w:r w:rsidRPr="00C2123A">
              <w:rPr>
                <w:color w:val="FFFFFF" w:themeColor="background1"/>
              </w:rPr>
              <w:t>Key Stakeholders</w:t>
            </w:r>
          </w:p>
        </w:tc>
      </w:tr>
      <w:tr w:rsidR="0063410F" w:rsidRPr="000C1ECF" w:rsidTr="0063410F">
        <w:trPr>
          <w:trHeight w:val="350"/>
        </w:trPr>
        <w:tc>
          <w:tcPr>
            <w:tcW w:w="1536" w:type="dxa"/>
            <w:tcBorders>
              <w:top w:val="single" w:sz="4" w:space="0" w:color="auto"/>
              <w:left w:val="single" w:sz="8" w:space="0" w:color="auto"/>
              <w:bottom w:val="single" w:sz="4" w:space="0" w:color="auto"/>
              <w:right w:val="single" w:sz="8" w:space="0" w:color="auto"/>
            </w:tcBorders>
          </w:tcPr>
          <w:p w:rsidR="0063410F" w:rsidRPr="000C1ECF" w:rsidRDefault="0063410F" w:rsidP="0063410F">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3410F" w:rsidRPr="007C516E" w:rsidRDefault="007C516E" w:rsidP="0063410F">
            <w:r w:rsidRPr="007C516E">
              <w:t>local public health officials; local emergency managers (Cal OES); local department of food and agriculture; local fusion center representative; FBI-WMD coordinator; and potentially others who are members of the BioWatch advisory committee</w:t>
            </w:r>
          </w:p>
        </w:tc>
      </w:tr>
      <w:tr w:rsidR="0063410F" w:rsidRPr="000C1ECF" w:rsidTr="0063410F">
        <w:trPr>
          <w:trHeight w:val="350"/>
        </w:trPr>
        <w:tc>
          <w:tcPr>
            <w:tcW w:w="1536" w:type="dxa"/>
            <w:tcBorders>
              <w:top w:val="single" w:sz="4" w:space="0" w:color="auto"/>
              <w:left w:val="single" w:sz="8" w:space="0" w:color="auto"/>
              <w:bottom w:val="single" w:sz="4" w:space="0" w:color="auto"/>
              <w:right w:val="single" w:sz="8" w:space="0" w:color="auto"/>
            </w:tcBorders>
          </w:tcPr>
          <w:p w:rsidR="0063410F" w:rsidRPr="00C2123A" w:rsidRDefault="0063410F" w:rsidP="0063410F">
            <w:r w:rsidRPr="00C2123A">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3410F" w:rsidRPr="007C516E" w:rsidRDefault="007C516E" w:rsidP="0063410F">
            <w:r>
              <w:t>FBI, HHS, IC, NNFC, Governor’s Office, DHS, International Partners</w:t>
            </w:r>
          </w:p>
        </w:tc>
      </w:tr>
      <w:tr w:rsidR="0063410F" w:rsidRPr="000C1ECF" w:rsidTr="0063410F">
        <w:trPr>
          <w:trHeight w:val="350"/>
        </w:trPr>
        <w:tc>
          <w:tcPr>
            <w:tcW w:w="1536" w:type="dxa"/>
            <w:tcBorders>
              <w:top w:val="single" w:sz="4" w:space="0" w:color="auto"/>
              <w:left w:val="single" w:sz="8" w:space="0" w:color="auto"/>
              <w:bottom w:val="single" w:sz="4" w:space="0" w:color="auto"/>
              <w:right w:val="single" w:sz="8" w:space="0" w:color="auto"/>
            </w:tcBorders>
          </w:tcPr>
          <w:p w:rsidR="0063410F" w:rsidRPr="00C2123A" w:rsidRDefault="0063410F" w:rsidP="0063410F">
            <w:r w:rsidRPr="00C2123A">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3410F" w:rsidRPr="007C516E" w:rsidRDefault="007C516E" w:rsidP="0063410F">
            <w:r w:rsidRPr="007C516E">
              <w:t>FBI, HHS, IC, NNFC, Governor’s Office, DHS</w:t>
            </w:r>
            <w:r>
              <w:t>, International Partners</w:t>
            </w:r>
          </w:p>
        </w:tc>
      </w:tr>
      <w:tr w:rsidR="0063410F" w:rsidRPr="000C1ECF" w:rsidTr="0063410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3410F" w:rsidRPr="00C2123A" w:rsidRDefault="0063410F" w:rsidP="0063410F">
            <w:pPr>
              <w:jc w:val="center"/>
              <w:rPr>
                <w:color w:val="FFFFFF" w:themeColor="background1"/>
              </w:rPr>
            </w:pPr>
            <w:r>
              <w:rPr>
                <w:color w:val="FFFFFF" w:themeColor="background1"/>
              </w:rPr>
              <w:t>Scenario</w:t>
            </w:r>
            <w:r w:rsidRPr="00C2123A">
              <w:rPr>
                <w:color w:val="FFFFFF" w:themeColor="background1"/>
              </w:rPr>
              <w:t xml:space="preserve"> Details</w:t>
            </w:r>
          </w:p>
        </w:tc>
      </w:tr>
      <w:tr w:rsidR="0063410F" w:rsidRPr="000C1ECF" w:rsidTr="0063410F">
        <w:trPr>
          <w:trHeight w:val="60"/>
        </w:trPr>
        <w:tc>
          <w:tcPr>
            <w:tcW w:w="1536" w:type="dxa"/>
            <w:tcBorders>
              <w:top w:val="single" w:sz="4" w:space="0" w:color="auto"/>
              <w:left w:val="single" w:sz="8" w:space="0" w:color="auto"/>
              <w:bottom w:val="single" w:sz="4" w:space="0" w:color="auto"/>
              <w:right w:val="single" w:sz="8" w:space="0" w:color="auto"/>
            </w:tcBorders>
            <w:hideMark/>
          </w:tcPr>
          <w:p w:rsidR="0063410F" w:rsidRPr="00C2123A" w:rsidRDefault="0063410F" w:rsidP="0063410F">
            <w:r w:rsidRPr="00C2123A">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63410F" w:rsidRPr="000C1ECF" w:rsidRDefault="007C516E" w:rsidP="0063410F">
            <w:r w:rsidRPr="007C516E">
              <w:t>Use of NIEM</w:t>
            </w:r>
            <w:r>
              <w:t>, EDXL</w:t>
            </w:r>
          </w:p>
        </w:tc>
      </w:tr>
      <w:tr w:rsidR="0063410F" w:rsidRPr="000C1ECF" w:rsidTr="0063410F">
        <w:trPr>
          <w:trHeight w:val="530"/>
        </w:trPr>
        <w:tc>
          <w:tcPr>
            <w:tcW w:w="1536" w:type="dxa"/>
            <w:tcBorders>
              <w:top w:val="single" w:sz="4" w:space="0" w:color="auto"/>
              <w:left w:val="single" w:sz="8" w:space="0" w:color="auto"/>
              <w:bottom w:val="single" w:sz="8" w:space="0" w:color="auto"/>
              <w:right w:val="single" w:sz="8" w:space="0" w:color="auto"/>
            </w:tcBorders>
            <w:hideMark/>
          </w:tcPr>
          <w:p w:rsidR="0063410F" w:rsidRPr="00C2123A" w:rsidRDefault="0063410F" w:rsidP="0063410F">
            <w:r w:rsidRPr="00C2123A">
              <w:t>Exchange Scenario</w:t>
            </w:r>
          </w:p>
        </w:tc>
        <w:tc>
          <w:tcPr>
            <w:tcW w:w="7905" w:type="dxa"/>
            <w:gridSpan w:val="2"/>
            <w:tcBorders>
              <w:top w:val="single" w:sz="4" w:space="0" w:color="auto"/>
              <w:left w:val="nil"/>
              <w:bottom w:val="single" w:sz="8" w:space="0" w:color="000000"/>
              <w:right w:val="single" w:sz="8" w:space="0" w:color="000000"/>
            </w:tcBorders>
          </w:tcPr>
          <w:p w:rsidR="0063410F" w:rsidRPr="00D67C6C" w:rsidRDefault="007C516E" w:rsidP="007C516E">
            <w:r w:rsidRPr="007C516E">
              <w:t>A sighting from a BioWatch detection system detects the presence of a pathogen or multiple pathogens in a particular location at a particular time that indicates the possibility of a terrorist attack, accidental release of pathogens or natural outbreak. The detection systems report pathogens based on the concentration of the DNA for a pathogen which is rated as low, medium or high.  The BioWatch detectors can also provide information about location of the event (indoor vs outdoor) and potentially any geographical patterns.  The intelligence community releases notices of suspected terrorist activity from multiple sources, including the monitoring of social media and other classified sources. Such activity is an indicator of an ongoing or possible future attack. The potential Harm from such a bioterrorism attack is significant and includes: potential for significant life loss (approximately 10M plus people would need to be treated if all of LA County is affected), however it is not clear that this was an actual attack and or if people will become infected.   If people are going to get infected they must be treated with antibiotics in order to recover.  Potential for economic impact and loss of life; potential biohazard issue – contaminated environment; and more</w:t>
            </w:r>
            <w:r>
              <w:t>.</w:t>
            </w:r>
          </w:p>
        </w:tc>
      </w:tr>
      <w:tr w:rsidR="0063410F" w:rsidRPr="000C1ECF" w:rsidTr="0063410F">
        <w:trPr>
          <w:trHeight w:val="115"/>
        </w:trPr>
        <w:tc>
          <w:tcPr>
            <w:tcW w:w="1536" w:type="dxa"/>
            <w:tcBorders>
              <w:top w:val="single" w:sz="4" w:space="0" w:color="auto"/>
              <w:left w:val="single" w:sz="8" w:space="0" w:color="auto"/>
              <w:bottom w:val="single" w:sz="4" w:space="0" w:color="auto"/>
              <w:right w:val="single" w:sz="8" w:space="0" w:color="auto"/>
            </w:tcBorders>
            <w:hideMark/>
          </w:tcPr>
          <w:p w:rsidR="0063410F" w:rsidRPr="00C2123A" w:rsidRDefault="0063410F" w:rsidP="0063410F">
            <w:r w:rsidRPr="00C2123A">
              <w:t>Business Rules</w:t>
            </w:r>
          </w:p>
        </w:tc>
        <w:tc>
          <w:tcPr>
            <w:tcW w:w="7905" w:type="dxa"/>
            <w:gridSpan w:val="2"/>
            <w:tcBorders>
              <w:top w:val="single" w:sz="4" w:space="0" w:color="auto"/>
              <w:left w:val="nil"/>
              <w:bottom w:val="single" w:sz="4" w:space="0" w:color="auto"/>
              <w:right w:val="single" w:sz="8" w:space="0" w:color="000000"/>
            </w:tcBorders>
          </w:tcPr>
          <w:p w:rsidR="0063410F" w:rsidRPr="000C1ECF" w:rsidRDefault="007C516E" w:rsidP="0063410F">
            <w:r>
              <w:t>TBD by stakeholders</w:t>
            </w:r>
          </w:p>
        </w:tc>
      </w:tr>
      <w:tr w:rsidR="0063410F" w:rsidRPr="000C1ECF" w:rsidTr="0063410F">
        <w:trPr>
          <w:trHeight w:val="115"/>
        </w:trPr>
        <w:tc>
          <w:tcPr>
            <w:tcW w:w="1536" w:type="dxa"/>
            <w:tcBorders>
              <w:top w:val="single" w:sz="4" w:space="0" w:color="auto"/>
              <w:left w:val="single" w:sz="8" w:space="0" w:color="auto"/>
              <w:bottom w:val="single" w:sz="4" w:space="0" w:color="auto"/>
              <w:right w:val="single" w:sz="8" w:space="0" w:color="auto"/>
            </w:tcBorders>
          </w:tcPr>
          <w:p w:rsidR="0063410F" w:rsidRPr="000C1ECF" w:rsidRDefault="0063410F" w:rsidP="0063410F">
            <w:r>
              <w:t>Mapping to ESSA’s Enduring Functional Exchanges</w:t>
            </w:r>
            <w:r w:rsidR="00AA4498">
              <w:t xml:space="preserve"> (EFE)</w:t>
            </w:r>
          </w:p>
        </w:tc>
        <w:tc>
          <w:tcPr>
            <w:tcW w:w="7905" w:type="dxa"/>
            <w:gridSpan w:val="2"/>
            <w:tcBorders>
              <w:top w:val="single" w:sz="4" w:space="0" w:color="auto"/>
              <w:left w:val="nil"/>
              <w:bottom w:val="single" w:sz="4" w:space="0" w:color="auto"/>
              <w:right w:val="single" w:sz="8" w:space="0" w:color="000000"/>
            </w:tcBorders>
          </w:tcPr>
          <w:p w:rsidR="0063410F" w:rsidRPr="000C1ECF" w:rsidRDefault="007C516E" w:rsidP="0063410F">
            <w:r w:rsidRPr="007C516E">
              <w:t>Not Applicable</w:t>
            </w:r>
            <w:r w:rsidR="0063410F" w:rsidRPr="007C516E">
              <w:t xml:space="preserve">   </w:t>
            </w:r>
          </w:p>
        </w:tc>
      </w:tr>
      <w:tr w:rsidR="0063410F" w:rsidRPr="000C1ECF" w:rsidTr="0063410F">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63410F" w:rsidRPr="00C2123A" w:rsidRDefault="0063410F" w:rsidP="0063410F">
            <w:pPr>
              <w:jc w:val="center"/>
              <w:rPr>
                <w:color w:val="FFFFFF" w:themeColor="background1"/>
              </w:rPr>
            </w:pPr>
            <w:r w:rsidRPr="00C2123A">
              <w:rPr>
                <w:color w:val="FFFFFF" w:themeColor="background1"/>
              </w:rPr>
              <w:t>Data Elements</w:t>
            </w:r>
          </w:p>
        </w:tc>
      </w:tr>
      <w:tr w:rsidR="0063410F" w:rsidRPr="000C1ECF" w:rsidTr="0063410F">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63410F" w:rsidRPr="00C2123A" w:rsidRDefault="0063410F" w:rsidP="0063410F">
            <w:pPr>
              <w:jc w:val="center"/>
              <w:rPr>
                <w:color w:val="FFFFFF" w:themeColor="background1"/>
              </w:rPr>
            </w:pPr>
            <w:r w:rsidRPr="00C2123A">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63410F" w:rsidRPr="00C2123A" w:rsidRDefault="0063410F" w:rsidP="0063410F">
            <w:pPr>
              <w:jc w:val="center"/>
              <w:rPr>
                <w:color w:val="FFFFFF" w:themeColor="background1"/>
              </w:rPr>
            </w:pPr>
            <w:r w:rsidRPr="00C2123A">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63410F" w:rsidRPr="00C2123A" w:rsidRDefault="0063410F" w:rsidP="0063410F">
            <w:pPr>
              <w:jc w:val="center"/>
              <w:rPr>
                <w:color w:val="FFFFFF" w:themeColor="background1"/>
              </w:rPr>
            </w:pPr>
            <w:r w:rsidRPr="00C2123A">
              <w:rPr>
                <w:color w:val="FFFFFF" w:themeColor="background1"/>
              </w:rPr>
              <w:t>Definitions</w:t>
            </w:r>
          </w:p>
        </w:tc>
      </w:tr>
      <w:tr w:rsidR="0063410F" w:rsidRPr="000C1ECF" w:rsidTr="0063410F">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63410F" w:rsidRPr="00C2123A" w:rsidRDefault="0063410F" w:rsidP="0063410F">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63410F" w:rsidRPr="00C2123A" w:rsidRDefault="0063410F" w:rsidP="0063410F">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63410F" w:rsidRPr="00C2123A" w:rsidRDefault="0063410F" w:rsidP="0063410F">
            <w:pPr>
              <w:jc w:val="center"/>
              <w:rPr>
                <w:color w:val="FFFFFF" w:themeColor="background1"/>
              </w:rPr>
            </w:pPr>
          </w:p>
        </w:tc>
      </w:tr>
      <w:tr w:rsidR="0063410F" w:rsidRPr="000C1ECF" w:rsidTr="0063410F">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3410F" w:rsidRPr="000C1ECF" w:rsidRDefault="0063410F" w:rsidP="0063410F">
            <w:r>
              <w:t xml:space="preserve">Additional Information: </w:t>
            </w:r>
          </w:p>
        </w:tc>
      </w:tr>
    </w:tbl>
    <w:p w:rsidR="0063410F" w:rsidRDefault="0063410F">
      <w:pPr>
        <w:rPr>
          <w:sz w:val="22"/>
          <w:szCs w:val="22"/>
        </w:rPr>
      </w:pPr>
    </w:p>
    <w:p w:rsidR="00C03791" w:rsidRDefault="00C03791">
      <w:pPr>
        <w:rPr>
          <w:rFonts w:ascii="Souvenir Lt BT" w:hAnsi="Souvenir Lt BT"/>
          <w:b/>
          <w:sz w:val="24"/>
        </w:rPr>
      </w:pPr>
      <w:r>
        <w:br w:type="page"/>
      </w:r>
    </w:p>
    <w:p w:rsidR="00C03791" w:rsidRDefault="0013687B" w:rsidP="00C03791">
      <w:pPr>
        <w:pStyle w:val="Heading2"/>
      </w:pPr>
      <w:r>
        <w:t>Scenario Story #3</w:t>
      </w:r>
    </w:p>
    <w:p w:rsidR="000B73B6" w:rsidRDefault="00361AD9" w:rsidP="00361AD9">
      <w:pPr>
        <w:rPr>
          <w:sz w:val="22"/>
        </w:rPr>
      </w:pPr>
      <w:r w:rsidRPr="00361AD9">
        <w:rPr>
          <w:sz w:val="22"/>
        </w:rPr>
        <w:t>Recent global survey by Symantec: Half of employees who left or lost their jobs in the last 12 months kept confidential corporate data; 40% plan to use it at their new job</w:t>
      </w:r>
      <w:r w:rsidR="000B73B6">
        <w:rPr>
          <w:sz w:val="22"/>
        </w:rPr>
        <w:t>:</w:t>
      </w:r>
    </w:p>
    <w:p w:rsidR="000B73B6" w:rsidRDefault="00361AD9" w:rsidP="000B73B6">
      <w:pPr>
        <w:pStyle w:val="ListParagraph"/>
        <w:numPr>
          <w:ilvl w:val="0"/>
          <w:numId w:val="42"/>
        </w:numPr>
        <w:ind w:left="360"/>
      </w:pPr>
      <w:r w:rsidRPr="000B73B6">
        <w:t>Head of an engineering department allegedly was recruited to leave and join another company, and to take trade secrets with him, causing losses of more than $800 million.</w:t>
      </w:r>
      <w:r w:rsidR="000B73B6" w:rsidRPr="000B73B6">
        <w:t xml:space="preserve">  </w:t>
      </w:r>
    </w:p>
    <w:p w:rsidR="000B73B6" w:rsidRPr="000B73B6" w:rsidRDefault="00361AD9" w:rsidP="0013687B">
      <w:pPr>
        <w:pStyle w:val="ListParagraph"/>
        <w:numPr>
          <w:ilvl w:val="0"/>
          <w:numId w:val="42"/>
        </w:numPr>
        <w:ind w:left="360"/>
      </w:pPr>
      <w:r w:rsidRPr="000B73B6">
        <w:rPr>
          <w:rFonts w:ascii="Times New Roman" w:hAnsi="Times New Roman"/>
          <w:szCs w:val="20"/>
        </w:rPr>
        <w:t>Former network engineer sentenced to 4 years in prison and more than $500,000 in restitution for sabotaging his company’s systems and disrupting operations for more than a month</w:t>
      </w:r>
    </w:p>
    <w:p w:rsidR="000B73B6" w:rsidRDefault="00361AD9" w:rsidP="0013687B">
      <w:pPr>
        <w:pStyle w:val="ListParagraph"/>
        <w:numPr>
          <w:ilvl w:val="0"/>
          <w:numId w:val="42"/>
        </w:numPr>
        <w:ind w:left="360"/>
      </w:pPr>
      <w:r w:rsidRPr="000B73B6">
        <w:t>Former programmer sabotaged his company’s systems using credentials he harvested before his resignation</w:t>
      </w:r>
    </w:p>
    <w:p w:rsidR="00361AD9" w:rsidRPr="000B73B6" w:rsidRDefault="00361AD9" w:rsidP="0013687B">
      <w:pPr>
        <w:pStyle w:val="ListParagraph"/>
        <w:numPr>
          <w:ilvl w:val="0"/>
          <w:numId w:val="42"/>
        </w:numPr>
        <w:ind w:left="360"/>
      </w:pPr>
      <w:r w:rsidRPr="000B73B6">
        <w:t>Engineer charged with stealing more than 2 million files containing trade secrets and sending them to his wife outside the country</w:t>
      </w:r>
    </w:p>
    <w:tbl>
      <w:tblPr>
        <w:tblW w:w="9441" w:type="dxa"/>
        <w:tblInd w:w="93" w:type="dxa"/>
        <w:tblLook w:val="04A0" w:firstRow="1" w:lastRow="0" w:firstColumn="1" w:lastColumn="0" w:noHBand="0" w:noVBand="1"/>
      </w:tblPr>
      <w:tblGrid>
        <w:gridCol w:w="1536"/>
        <w:gridCol w:w="3815"/>
        <w:gridCol w:w="4090"/>
      </w:tblGrid>
      <w:tr w:rsidR="00C03791" w:rsidRPr="0013687B" w:rsidTr="0013687B">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C03791" w:rsidRPr="0013687B" w:rsidRDefault="00C03791" w:rsidP="00361AD9">
            <w:pPr>
              <w:jc w:val="center"/>
              <w:rPr>
                <w:color w:val="FFFFFF" w:themeColor="background1"/>
              </w:rPr>
            </w:pPr>
            <w:r w:rsidRPr="0013687B">
              <w:rPr>
                <w:color w:val="FFFFFF" w:themeColor="background1"/>
              </w:rPr>
              <w:t>Use Case #</w:t>
            </w:r>
            <w:r w:rsidR="0013687B" w:rsidRPr="0013687B">
              <w:rPr>
                <w:color w:val="FFFFFF" w:themeColor="background1"/>
              </w:rPr>
              <w:t>3</w:t>
            </w:r>
          </w:p>
        </w:tc>
      </w:tr>
      <w:tr w:rsidR="00C03791" w:rsidRPr="0013687B" w:rsidTr="0013687B">
        <w:trPr>
          <w:trHeight w:val="88"/>
        </w:trPr>
        <w:tc>
          <w:tcPr>
            <w:tcW w:w="1536" w:type="dxa"/>
            <w:tcBorders>
              <w:top w:val="single" w:sz="8" w:space="0" w:color="auto"/>
              <w:left w:val="single" w:sz="8" w:space="0" w:color="auto"/>
              <w:bottom w:val="single" w:sz="4" w:space="0" w:color="auto"/>
              <w:right w:val="single" w:sz="8" w:space="0" w:color="auto"/>
            </w:tcBorders>
          </w:tcPr>
          <w:p w:rsidR="00C03791" w:rsidRPr="0013687B" w:rsidRDefault="00C03791" w:rsidP="0013687B">
            <w:r w:rsidRPr="0013687B">
              <w:t>Title</w:t>
            </w:r>
          </w:p>
        </w:tc>
        <w:tc>
          <w:tcPr>
            <w:tcW w:w="7905" w:type="dxa"/>
            <w:gridSpan w:val="2"/>
            <w:tcBorders>
              <w:top w:val="single" w:sz="4" w:space="0" w:color="auto"/>
              <w:left w:val="nil"/>
              <w:bottom w:val="single" w:sz="4" w:space="0" w:color="auto"/>
              <w:right w:val="single" w:sz="8" w:space="0" w:color="000000"/>
            </w:tcBorders>
          </w:tcPr>
          <w:p w:rsidR="00C03791" w:rsidRPr="0013687B" w:rsidRDefault="00361AD9" w:rsidP="00361AD9">
            <w:r w:rsidRPr="0013687B">
              <w:t>Multi-National Company</w:t>
            </w:r>
          </w:p>
        </w:tc>
      </w:tr>
      <w:tr w:rsidR="00C03791" w:rsidRPr="0013687B" w:rsidTr="0013687B">
        <w:trPr>
          <w:trHeight w:val="50"/>
        </w:trPr>
        <w:tc>
          <w:tcPr>
            <w:tcW w:w="1536" w:type="dxa"/>
            <w:tcBorders>
              <w:top w:val="single" w:sz="8" w:space="0" w:color="auto"/>
              <w:left w:val="single" w:sz="8" w:space="0" w:color="auto"/>
              <w:bottom w:val="single" w:sz="4" w:space="0" w:color="auto"/>
              <w:right w:val="single" w:sz="8" w:space="0" w:color="auto"/>
            </w:tcBorders>
          </w:tcPr>
          <w:p w:rsidR="00C03791" w:rsidRPr="0013687B" w:rsidRDefault="00C03791" w:rsidP="0013687B">
            <w:r w:rsidRPr="0013687B">
              <w:t>Category</w:t>
            </w:r>
          </w:p>
        </w:tc>
        <w:tc>
          <w:tcPr>
            <w:tcW w:w="7905" w:type="dxa"/>
            <w:gridSpan w:val="2"/>
            <w:tcBorders>
              <w:top w:val="single" w:sz="4" w:space="0" w:color="auto"/>
              <w:left w:val="nil"/>
              <w:bottom w:val="single" w:sz="4" w:space="0" w:color="auto"/>
              <w:right w:val="single" w:sz="8" w:space="0" w:color="000000"/>
            </w:tcBorders>
          </w:tcPr>
          <w:p w:rsidR="00C03791" w:rsidRPr="0013687B" w:rsidRDefault="00361AD9" w:rsidP="0013687B">
            <w:r w:rsidRPr="0013687B">
              <w:t>Mission Assurance and Critical Infrastructure Cascading Dependencies</w:t>
            </w:r>
          </w:p>
        </w:tc>
      </w:tr>
      <w:tr w:rsidR="00C03791" w:rsidRPr="0013687B" w:rsidTr="0013687B">
        <w:trPr>
          <w:trHeight w:val="50"/>
        </w:trPr>
        <w:tc>
          <w:tcPr>
            <w:tcW w:w="1536" w:type="dxa"/>
            <w:tcBorders>
              <w:top w:val="single" w:sz="8" w:space="0" w:color="auto"/>
              <w:left w:val="single" w:sz="8" w:space="0" w:color="auto"/>
              <w:bottom w:val="single" w:sz="4" w:space="0" w:color="auto"/>
              <w:right w:val="single" w:sz="8" w:space="0" w:color="auto"/>
            </w:tcBorders>
          </w:tcPr>
          <w:p w:rsidR="00C03791" w:rsidRPr="0013687B" w:rsidRDefault="00C03791" w:rsidP="0013687B">
            <w:r w:rsidRPr="0013687B">
              <w:t>Domain</w:t>
            </w:r>
          </w:p>
        </w:tc>
        <w:tc>
          <w:tcPr>
            <w:tcW w:w="7905" w:type="dxa"/>
            <w:gridSpan w:val="2"/>
            <w:tcBorders>
              <w:top w:val="single" w:sz="4" w:space="0" w:color="auto"/>
              <w:left w:val="nil"/>
              <w:bottom w:val="single" w:sz="4" w:space="0" w:color="auto"/>
              <w:right w:val="single" w:sz="8" w:space="0" w:color="000000"/>
            </w:tcBorders>
          </w:tcPr>
          <w:p w:rsidR="00C03791" w:rsidRPr="0013687B" w:rsidRDefault="00361AD9" w:rsidP="00361AD9">
            <w:r w:rsidRPr="0013687B">
              <w:t>Insider Threat and impact on large multi-national company</w:t>
            </w:r>
          </w:p>
        </w:tc>
      </w:tr>
      <w:tr w:rsidR="00C03791" w:rsidRPr="0013687B" w:rsidTr="0013687B">
        <w:trPr>
          <w:trHeight w:val="50"/>
        </w:trPr>
        <w:tc>
          <w:tcPr>
            <w:tcW w:w="1536" w:type="dxa"/>
            <w:tcBorders>
              <w:top w:val="single" w:sz="8" w:space="0" w:color="auto"/>
              <w:left w:val="single" w:sz="8" w:space="0" w:color="auto"/>
              <w:bottom w:val="single" w:sz="4" w:space="0" w:color="auto"/>
              <w:right w:val="single" w:sz="8" w:space="0" w:color="auto"/>
            </w:tcBorders>
          </w:tcPr>
          <w:p w:rsidR="00C03791" w:rsidRPr="0013687B" w:rsidRDefault="00C03791" w:rsidP="0013687B">
            <w:r w:rsidRPr="0013687B">
              <w:t>Security Fabric</w:t>
            </w:r>
          </w:p>
          <w:p w:rsidR="00C03791" w:rsidRPr="0013687B" w:rsidRDefault="00C03791" w:rsidP="0013687B">
            <w:r w:rsidRPr="0013687B">
              <w:t>(e.g., U, LES, S, TS)</w:t>
            </w:r>
          </w:p>
        </w:tc>
        <w:tc>
          <w:tcPr>
            <w:tcW w:w="7905" w:type="dxa"/>
            <w:gridSpan w:val="2"/>
            <w:tcBorders>
              <w:top w:val="single" w:sz="4" w:space="0" w:color="auto"/>
              <w:left w:val="nil"/>
              <w:bottom w:val="single" w:sz="4" w:space="0" w:color="auto"/>
              <w:right w:val="single" w:sz="8" w:space="0" w:color="000000"/>
            </w:tcBorders>
          </w:tcPr>
          <w:p w:rsidR="00C03791" w:rsidRPr="0013687B" w:rsidRDefault="00C03791" w:rsidP="00361AD9">
            <w:r w:rsidRPr="0013687B">
              <w:t>U</w:t>
            </w:r>
          </w:p>
        </w:tc>
      </w:tr>
      <w:tr w:rsidR="00C03791" w:rsidRPr="0013687B" w:rsidTr="0013687B">
        <w:trPr>
          <w:trHeight w:val="493"/>
        </w:trPr>
        <w:tc>
          <w:tcPr>
            <w:tcW w:w="1536" w:type="dxa"/>
            <w:tcBorders>
              <w:top w:val="single" w:sz="8" w:space="0" w:color="auto"/>
              <w:left w:val="single" w:sz="8" w:space="0" w:color="auto"/>
              <w:bottom w:val="single" w:sz="4" w:space="0" w:color="auto"/>
              <w:right w:val="single" w:sz="8" w:space="0" w:color="auto"/>
            </w:tcBorders>
            <w:hideMark/>
          </w:tcPr>
          <w:p w:rsidR="00C03791" w:rsidRPr="0013687B" w:rsidRDefault="00C03791" w:rsidP="0013687B">
            <w:r w:rsidRPr="0013687B">
              <w:t>Scenario Description</w:t>
            </w:r>
          </w:p>
        </w:tc>
        <w:tc>
          <w:tcPr>
            <w:tcW w:w="7905" w:type="dxa"/>
            <w:gridSpan w:val="2"/>
            <w:tcBorders>
              <w:top w:val="single" w:sz="4" w:space="0" w:color="auto"/>
              <w:left w:val="nil"/>
              <w:bottom w:val="single" w:sz="4" w:space="0" w:color="auto"/>
              <w:right w:val="single" w:sz="8" w:space="0" w:color="000000"/>
            </w:tcBorders>
          </w:tcPr>
          <w:p w:rsidR="00C03791" w:rsidRPr="0013687B" w:rsidRDefault="00361AD9" w:rsidP="0013687B">
            <w:r w:rsidRPr="0013687B">
              <w:t>A variety of potential attack scenarios can be played out against the company, including external and internal attacks. While there is a reasonable security program in place, the company is not able to ensure full in-depth security across all systems and assets</w:t>
            </w:r>
          </w:p>
        </w:tc>
      </w:tr>
      <w:tr w:rsidR="00C03791" w:rsidRPr="0013687B" w:rsidTr="0013687B">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C03791" w:rsidRPr="0013687B" w:rsidRDefault="00C03791" w:rsidP="0013687B">
            <w:r w:rsidRPr="0013687B">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C03791" w:rsidRPr="0013687B" w:rsidRDefault="00C03791" w:rsidP="0013687B">
            <w:pPr>
              <w:pStyle w:val="ListParagraph"/>
              <w:numPr>
                <w:ilvl w:val="0"/>
                <w:numId w:val="19"/>
              </w:numPr>
              <w:rPr>
                <w:rFonts w:ascii="Times New Roman" w:hAnsi="Times New Roman"/>
                <w:sz w:val="20"/>
                <w:szCs w:val="20"/>
              </w:rPr>
            </w:pPr>
            <w:r w:rsidRPr="0013687B">
              <w:rPr>
                <w:rFonts w:ascii="Times New Roman" w:hAnsi="Times New Roman"/>
                <w:sz w:val="20"/>
                <w:szCs w:val="20"/>
              </w:rPr>
              <w:t>Private↔State</w:t>
            </w:r>
          </w:p>
          <w:p w:rsidR="00C03791" w:rsidRPr="0013687B" w:rsidRDefault="00C03791" w:rsidP="0013687B">
            <w:pPr>
              <w:pStyle w:val="ListParagraph"/>
              <w:numPr>
                <w:ilvl w:val="0"/>
                <w:numId w:val="19"/>
              </w:numPr>
              <w:rPr>
                <w:rFonts w:ascii="Times New Roman" w:hAnsi="Times New Roman"/>
                <w:sz w:val="20"/>
                <w:szCs w:val="20"/>
              </w:rPr>
            </w:pPr>
            <w:r w:rsidRPr="0013687B">
              <w:rPr>
                <w:rFonts w:ascii="Times New Roman" w:hAnsi="Times New Roman"/>
                <w:sz w:val="20"/>
                <w:szCs w:val="20"/>
              </w:rPr>
              <w:t>State↔Federal</w:t>
            </w:r>
          </w:p>
          <w:p w:rsidR="00C03791" w:rsidRPr="0013687B" w:rsidRDefault="00C03791" w:rsidP="0013687B">
            <w:pPr>
              <w:pStyle w:val="ListParagraph"/>
              <w:numPr>
                <w:ilvl w:val="0"/>
                <w:numId w:val="19"/>
              </w:numPr>
              <w:rPr>
                <w:rFonts w:ascii="Times New Roman" w:hAnsi="Times New Roman"/>
                <w:sz w:val="20"/>
                <w:szCs w:val="20"/>
              </w:rPr>
            </w:pPr>
            <w:r w:rsidRPr="0013687B">
              <w:rPr>
                <w:rFonts w:ascii="Times New Roman" w:hAnsi="Times New Roman"/>
                <w:sz w:val="20"/>
                <w:szCs w:val="20"/>
              </w:rPr>
              <w:t>Federal↔Private</w:t>
            </w:r>
          </w:p>
          <w:p w:rsidR="00C03791" w:rsidRPr="0013687B" w:rsidRDefault="00C03791" w:rsidP="0013687B">
            <w:pPr>
              <w:pStyle w:val="ListParagraph"/>
              <w:numPr>
                <w:ilvl w:val="0"/>
                <w:numId w:val="19"/>
              </w:numPr>
              <w:rPr>
                <w:rFonts w:ascii="Times New Roman" w:hAnsi="Times New Roman"/>
                <w:sz w:val="20"/>
                <w:szCs w:val="20"/>
              </w:rPr>
            </w:pPr>
            <w:r w:rsidRPr="0013687B">
              <w:rPr>
                <w:rFonts w:ascii="Times New Roman" w:hAnsi="Times New Roman"/>
                <w:sz w:val="20"/>
                <w:szCs w:val="20"/>
              </w:rPr>
              <w:t>State↔Citizen</w:t>
            </w:r>
          </w:p>
        </w:tc>
      </w:tr>
      <w:tr w:rsidR="00C03791" w:rsidRPr="0013687B" w:rsidTr="0013687B">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C03791" w:rsidRPr="0013687B" w:rsidRDefault="00C03791" w:rsidP="0013687B">
            <w:pPr>
              <w:jc w:val="center"/>
              <w:rPr>
                <w:color w:val="FFFFFF" w:themeColor="background1"/>
              </w:rPr>
            </w:pPr>
            <w:r w:rsidRPr="0013687B">
              <w:rPr>
                <w:color w:val="FFFFFF" w:themeColor="background1"/>
              </w:rPr>
              <w:t>Key Stakeholders</w:t>
            </w:r>
          </w:p>
        </w:tc>
      </w:tr>
      <w:tr w:rsidR="00C03791" w:rsidRPr="0013687B" w:rsidTr="0013687B">
        <w:trPr>
          <w:trHeight w:val="350"/>
        </w:trPr>
        <w:tc>
          <w:tcPr>
            <w:tcW w:w="1536" w:type="dxa"/>
            <w:tcBorders>
              <w:top w:val="single" w:sz="4" w:space="0" w:color="auto"/>
              <w:left w:val="single" w:sz="8" w:space="0" w:color="auto"/>
              <w:bottom w:val="single" w:sz="4" w:space="0" w:color="auto"/>
              <w:right w:val="single" w:sz="8" w:space="0" w:color="auto"/>
            </w:tcBorders>
          </w:tcPr>
          <w:p w:rsidR="00C03791" w:rsidRPr="0013687B" w:rsidRDefault="00C03791" w:rsidP="0013687B">
            <w:r w:rsidRPr="0013687B">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C03791" w:rsidRPr="0013687B" w:rsidRDefault="00361AD9" w:rsidP="0013687B">
            <w:r w:rsidRPr="0013687B">
              <w:t>Company Employees, shareholders, customers, government and industry</w:t>
            </w:r>
          </w:p>
        </w:tc>
      </w:tr>
      <w:tr w:rsidR="00C03791" w:rsidRPr="0013687B" w:rsidTr="0013687B">
        <w:trPr>
          <w:trHeight w:val="350"/>
        </w:trPr>
        <w:tc>
          <w:tcPr>
            <w:tcW w:w="1536" w:type="dxa"/>
            <w:tcBorders>
              <w:top w:val="single" w:sz="4" w:space="0" w:color="auto"/>
              <w:left w:val="single" w:sz="8" w:space="0" w:color="auto"/>
              <w:bottom w:val="single" w:sz="4" w:space="0" w:color="auto"/>
              <w:right w:val="single" w:sz="8" w:space="0" w:color="auto"/>
            </w:tcBorders>
          </w:tcPr>
          <w:p w:rsidR="00C03791" w:rsidRPr="0013687B" w:rsidRDefault="00C03791" w:rsidP="0013687B">
            <w:r w:rsidRPr="0013687B">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C03791" w:rsidRPr="0013687B" w:rsidRDefault="00361AD9" w:rsidP="0013687B">
            <w:r w:rsidRPr="0013687B">
              <w:t>Company Employees</w:t>
            </w:r>
          </w:p>
        </w:tc>
      </w:tr>
      <w:tr w:rsidR="00C03791" w:rsidRPr="0013687B" w:rsidTr="0013687B">
        <w:trPr>
          <w:trHeight w:val="350"/>
        </w:trPr>
        <w:tc>
          <w:tcPr>
            <w:tcW w:w="1536" w:type="dxa"/>
            <w:tcBorders>
              <w:top w:val="single" w:sz="4" w:space="0" w:color="auto"/>
              <w:left w:val="single" w:sz="8" w:space="0" w:color="auto"/>
              <w:bottom w:val="single" w:sz="4" w:space="0" w:color="auto"/>
              <w:right w:val="single" w:sz="8" w:space="0" w:color="auto"/>
            </w:tcBorders>
          </w:tcPr>
          <w:p w:rsidR="00C03791" w:rsidRPr="0013687B" w:rsidRDefault="00C03791" w:rsidP="0013687B">
            <w:r w:rsidRPr="0013687B">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C03791" w:rsidRPr="0013687B" w:rsidRDefault="00361AD9" w:rsidP="0013687B">
            <w:r w:rsidRPr="0013687B">
              <w:t>Shareholders, customer, government</w:t>
            </w:r>
          </w:p>
        </w:tc>
      </w:tr>
      <w:tr w:rsidR="00C03791" w:rsidRPr="0013687B" w:rsidTr="0013687B">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C03791" w:rsidRPr="0013687B" w:rsidRDefault="00C03791" w:rsidP="0013687B">
            <w:pPr>
              <w:jc w:val="center"/>
              <w:rPr>
                <w:color w:val="FFFFFF" w:themeColor="background1"/>
              </w:rPr>
            </w:pPr>
            <w:r w:rsidRPr="0013687B">
              <w:rPr>
                <w:color w:val="FFFFFF" w:themeColor="background1"/>
              </w:rPr>
              <w:t>Scenario Details</w:t>
            </w:r>
          </w:p>
        </w:tc>
      </w:tr>
      <w:tr w:rsidR="00C03791" w:rsidRPr="0013687B" w:rsidTr="0013687B">
        <w:trPr>
          <w:trHeight w:val="60"/>
        </w:trPr>
        <w:tc>
          <w:tcPr>
            <w:tcW w:w="1536" w:type="dxa"/>
            <w:tcBorders>
              <w:top w:val="single" w:sz="4" w:space="0" w:color="auto"/>
              <w:left w:val="single" w:sz="8" w:space="0" w:color="auto"/>
              <w:bottom w:val="single" w:sz="4" w:space="0" w:color="auto"/>
              <w:right w:val="single" w:sz="8" w:space="0" w:color="auto"/>
            </w:tcBorders>
            <w:hideMark/>
          </w:tcPr>
          <w:p w:rsidR="00C03791" w:rsidRPr="0013687B" w:rsidRDefault="00C03791" w:rsidP="0013687B">
            <w:r w:rsidRPr="0013687B">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C03791" w:rsidRPr="0013687B" w:rsidRDefault="00C03791" w:rsidP="0013687B">
            <w:r w:rsidRPr="0013687B">
              <w:t>Use of NIEM, EDXL</w:t>
            </w:r>
          </w:p>
        </w:tc>
      </w:tr>
      <w:tr w:rsidR="00C03791" w:rsidRPr="0013687B" w:rsidTr="0013687B">
        <w:trPr>
          <w:trHeight w:val="530"/>
        </w:trPr>
        <w:tc>
          <w:tcPr>
            <w:tcW w:w="1536" w:type="dxa"/>
            <w:tcBorders>
              <w:top w:val="single" w:sz="4" w:space="0" w:color="auto"/>
              <w:left w:val="single" w:sz="8" w:space="0" w:color="auto"/>
              <w:bottom w:val="single" w:sz="8" w:space="0" w:color="auto"/>
              <w:right w:val="single" w:sz="8" w:space="0" w:color="auto"/>
            </w:tcBorders>
            <w:hideMark/>
          </w:tcPr>
          <w:p w:rsidR="00C03791" w:rsidRPr="0013687B" w:rsidRDefault="00C03791" w:rsidP="0013687B">
            <w:r w:rsidRPr="0013687B">
              <w:t>Exchange Scenario</w:t>
            </w:r>
          </w:p>
        </w:tc>
        <w:tc>
          <w:tcPr>
            <w:tcW w:w="7905" w:type="dxa"/>
            <w:gridSpan w:val="2"/>
            <w:tcBorders>
              <w:top w:val="single" w:sz="4" w:space="0" w:color="auto"/>
              <w:left w:val="nil"/>
              <w:bottom w:val="single" w:sz="8" w:space="0" w:color="000000"/>
              <w:right w:val="single" w:sz="8" w:space="0" w:color="000000"/>
            </w:tcBorders>
          </w:tcPr>
          <w:p w:rsidR="00742D74" w:rsidRPr="0013687B" w:rsidRDefault="00742D74" w:rsidP="00742D74">
            <w:r w:rsidRPr="0013687B">
              <w:t>Many scenarios are triggered for considerations of financial gain, reputation damage, stock market manipulation, corporate asset theft, hostile recruitment of key employees.  These include:</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Identity Theft: The attacker attacks the end user systems or the corporate assets (cyber or traditional information assets) to obtain the identities of primarily the end users. Subsequently the attackers use these identities to create new credit accounts or access existing assets owned by the victims.</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Financial Data Theft: The attackers obtain sensitive financial information about end-users or other entities from corporate assets. These types of information may include credit card data. This information is used to extract money from the affected financial accounts.</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Extortion: The attacker obtains the ability to negatively affect corporate assets (e.g. through denial, destruction, disruption, degradation, distortion, data exfiltration, etc.) and blackmail the company. The company pays a ransom to avoid negative consequences.</w:t>
            </w:r>
          </w:p>
          <w:p w:rsidR="00742D74" w:rsidRPr="0013687B" w:rsidRDefault="00742D74" w:rsidP="0013687B">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Money/Financial Instrument Theft: This is traditional direct theft of money (cash or cash-like instruments), or similar financial instruments that can immediately be sold. Both criminals as well as Insiders follow this strategy. This strategy may involve physical and/or cyber theft of money.</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Credit Card Data Theft: The attacker targets specifically credit card data and publish it subsequently. This is intended to specifically attack the company’s credibility as a trustworthy merchant. It may result in additional fines, or even in losing the ability to process credit cards in the future.</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Internal Corporate Financial Data Theft: By stealing and publishing the company’s internal financial data, the attackers succeed in making internal sales and profit data public. Such data may be a surprise for markets and negatively affect investor sentiment. In addition it may result in regulatory actions against the company</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Disable, Destroy, Deny, Degrade, Disrupt Critical Assets: The attacker targets company critical assets and attempts to disable, destroy, deny, degrade, or disrupt (5-Ds) them. This may have a number of reasons:</w:t>
            </w:r>
          </w:p>
          <w:p w:rsidR="00742D74" w:rsidRPr="0013687B" w:rsidRDefault="00742D74" w:rsidP="00742D74">
            <w:pPr>
              <w:pStyle w:val="ListParagraph"/>
              <w:numPr>
                <w:ilvl w:val="1"/>
                <w:numId w:val="41"/>
              </w:numPr>
              <w:rPr>
                <w:rFonts w:ascii="Times New Roman" w:hAnsi="Times New Roman"/>
                <w:sz w:val="20"/>
                <w:szCs w:val="20"/>
              </w:rPr>
            </w:pPr>
            <w:r w:rsidRPr="0013687B">
              <w:rPr>
                <w:rFonts w:ascii="Times New Roman" w:hAnsi="Times New Roman"/>
                <w:sz w:val="20"/>
                <w:szCs w:val="20"/>
              </w:rPr>
              <w:t>Disturb the use of critical assets and negatively influence the ability to operate, cause distraction with employees, customers, and partners</w:t>
            </w:r>
          </w:p>
          <w:p w:rsidR="00742D74" w:rsidRPr="0013687B" w:rsidRDefault="00742D74" w:rsidP="00742D74">
            <w:pPr>
              <w:pStyle w:val="ListParagraph"/>
              <w:numPr>
                <w:ilvl w:val="1"/>
                <w:numId w:val="41"/>
              </w:numPr>
              <w:rPr>
                <w:rFonts w:ascii="Times New Roman" w:hAnsi="Times New Roman"/>
                <w:sz w:val="20"/>
                <w:szCs w:val="20"/>
              </w:rPr>
            </w:pPr>
            <w:r w:rsidRPr="0013687B">
              <w:rPr>
                <w:rFonts w:ascii="Times New Roman" w:hAnsi="Times New Roman"/>
                <w:sz w:val="20"/>
                <w:szCs w:val="20"/>
              </w:rPr>
              <w:t>Inflict damage on the company’s ability to deliver core services specifically to customers (but also employees or partners)</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Stock Market Manipulation</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Publication of Internal Financial Data: Publication of internal financial data may expose internal deviations from market expectations (both positive and negative). If this happens at critical times, the stock price of the company may fluctuate significantly. This may result in special investment opportunities for the hostile investor, or create market benefits for competitors.</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Corporate Asset Theft</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Corporate Secret Theft: This is the case of corporate or industrial espionage. Any of the attackers are interested in stealing corporate secrets and other proprietary information. The rationale behind this may be different for each actor:</w:t>
            </w:r>
          </w:p>
          <w:p w:rsidR="00742D74" w:rsidRPr="0013687B" w:rsidRDefault="00742D74" w:rsidP="00742D74">
            <w:pPr>
              <w:pStyle w:val="ListParagraph"/>
              <w:numPr>
                <w:ilvl w:val="1"/>
                <w:numId w:val="41"/>
              </w:numPr>
              <w:rPr>
                <w:rFonts w:ascii="Times New Roman" w:hAnsi="Times New Roman"/>
                <w:sz w:val="20"/>
                <w:szCs w:val="20"/>
              </w:rPr>
            </w:pPr>
            <w:r w:rsidRPr="0013687B">
              <w:rPr>
                <w:rFonts w:ascii="Times New Roman" w:hAnsi="Times New Roman"/>
                <w:sz w:val="20"/>
                <w:szCs w:val="20"/>
              </w:rPr>
              <w:t>The Nation State tries to obtain this data to improve the competitiveness of their own industries</w:t>
            </w:r>
          </w:p>
          <w:p w:rsidR="00742D74" w:rsidRPr="0013687B" w:rsidRDefault="00742D74" w:rsidP="00742D74">
            <w:pPr>
              <w:pStyle w:val="ListParagraph"/>
              <w:numPr>
                <w:ilvl w:val="1"/>
                <w:numId w:val="41"/>
              </w:numPr>
              <w:rPr>
                <w:rFonts w:ascii="Times New Roman" w:hAnsi="Times New Roman"/>
                <w:sz w:val="20"/>
                <w:szCs w:val="20"/>
              </w:rPr>
            </w:pPr>
            <w:r w:rsidRPr="0013687B">
              <w:rPr>
                <w:rFonts w:ascii="Times New Roman" w:hAnsi="Times New Roman"/>
                <w:sz w:val="20"/>
                <w:szCs w:val="20"/>
              </w:rPr>
              <w:t>The Criminal sees an opportunity to monetize this theft in different ways</w:t>
            </w:r>
          </w:p>
          <w:p w:rsidR="00742D74" w:rsidRPr="0013687B" w:rsidRDefault="00742D74" w:rsidP="00742D74">
            <w:pPr>
              <w:pStyle w:val="ListParagraph"/>
              <w:numPr>
                <w:ilvl w:val="1"/>
                <w:numId w:val="41"/>
              </w:numPr>
              <w:rPr>
                <w:rFonts w:ascii="Times New Roman" w:hAnsi="Times New Roman"/>
                <w:sz w:val="20"/>
                <w:szCs w:val="20"/>
              </w:rPr>
            </w:pPr>
            <w:r w:rsidRPr="0013687B">
              <w:rPr>
                <w:rFonts w:ascii="Times New Roman" w:hAnsi="Times New Roman"/>
                <w:sz w:val="20"/>
                <w:szCs w:val="20"/>
              </w:rPr>
              <w:t>The Hostile Investor gains an advantage by better understanding the company’s strengths and weakness with respect to the larger markets they operate in</w:t>
            </w:r>
          </w:p>
          <w:p w:rsidR="00742D74" w:rsidRPr="0013687B" w:rsidRDefault="00742D74" w:rsidP="0013687B">
            <w:pPr>
              <w:pStyle w:val="ListParagraph"/>
              <w:numPr>
                <w:ilvl w:val="1"/>
                <w:numId w:val="41"/>
              </w:numPr>
              <w:rPr>
                <w:rFonts w:ascii="Times New Roman" w:hAnsi="Times New Roman"/>
                <w:sz w:val="20"/>
                <w:szCs w:val="20"/>
              </w:rPr>
            </w:pPr>
            <w:r w:rsidRPr="0013687B">
              <w:rPr>
                <w:rFonts w:ascii="Times New Roman" w:hAnsi="Times New Roman"/>
                <w:sz w:val="20"/>
                <w:szCs w:val="20"/>
              </w:rPr>
              <w:t>The Competitor can leverage the data directly to improve their own products or strategies</w:t>
            </w:r>
          </w:p>
          <w:p w:rsidR="00742D74"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Physical Asset Theft:</w:t>
            </w:r>
            <w:r w:rsidR="007D12F3" w:rsidRPr="0013687B">
              <w:rPr>
                <w:rFonts w:ascii="Times New Roman" w:hAnsi="Times New Roman"/>
                <w:sz w:val="20"/>
                <w:szCs w:val="20"/>
              </w:rPr>
              <w:t xml:space="preserve"> </w:t>
            </w:r>
            <w:r w:rsidRPr="0013687B">
              <w:rPr>
                <w:rFonts w:ascii="Times New Roman" w:hAnsi="Times New Roman"/>
                <w:sz w:val="20"/>
                <w:szCs w:val="20"/>
              </w:rPr>
              <w:t>This is case of traditional theft of corporate resource. Typical attackers are criminals that try to enter company facilities and steal equipment, resources, or money. Malicious insiders are also main attackers, since they have very broad opportunities to steal from the company.</w:t>
            </w:r>
          </w:p>
          <w:p w:rsidR="00C03791" w:rsidRPr="0013687B" w:rsidRDefault="00742D74" w:rsidP="00742D74">
            <w:pPr>
              <w:pStyle w:val="ListParagraph"/>
              <w:numPr>
                <w:ilvl w:val="0"/>
                <w:numId w:val="41"/>
              </w:numPr>
              <w:ind w:left="360"/>
              <w:rPr>
                <w:rFonts w:ascii="Times New Roman" w:hAnsi="Times New Roman"/>
                <w:sz w:val="20"/>
                <w:szCs w:val="20"/>
              </w:rPr>
            </w:pPr>
            <w:r w:rsidRPr="0013687B">
              <w:rPr>
                <w:rFonts w:ascii="Times New Roman" w:hAnsi="Times New Roman"/>
                <w:sz w:val="20"/>
                <w:szCs w:val="20"/>
              </w:rPr>
              <w:t>Hostile Recruitment of Key Employees: The Competitor tries to hire key employees from the company to improve their own talent base and/or to diminish the talent base of the company. In doing so, the Competitor may also steal Corporate Secrets to identify key employees, better understand their contributions, and learn about their compensation packages.</w:t>
            </w:r>
          </w:p>
        </w:tc>
      </w:tr>
      <w:tr w:rsidR="00C03791" w:rsidRPr="0013687B" w:rsidTr="0013687B">
        <w:trPr>
          <w:trHeight w:val="115"/>
        </w:trPr>
        <w:tc>
          <w:tcPr>
            <w:tcW w:w="1536" w:type="dxa"/>
            <w:tcBorders>
              <w:top w:val="single" w:sz="4" w:space="0" w:color="auto"/>
              <w:left w:val="single" w:sz="8" w:space="0" w:color="auto"/>
              <w:bottom w:val="single" w:sz="4" w:space="0" w:color="auto"/>
              <w:right w:val="single" w:sz="8" w:space="0" w:color="auto"/>
            </w:tcBorders>
            <w:hideMark/>
          </w:tcPr>
          <w:p w:rsidR="00C03791" w:rsidRPr="0013687B" w:rsidRDefault="00C03791" w:rsidP="0013687B">
            <w:r w:rsidRPr="0013687B">
              <w:t>Business Rules</w:t>
            </w:r>
          </w:p>
        </w:tc>
        <w:tc>
          <w:tcPr>
            <w:tcW w:w="7905" w:type="dxa"/>
            <w:gridSpan w:val="2"/>
            <w:tcBorders>
              <w:top w:val="single" w:sz="4" w:space="0" w:color="auto"/>
              <w:left w:val="nil"/>
              <w:bottom w:val="single" w:sz="4" w:space="0" w:color="auto"/>
              <w:right w:val="single" w:sz="8" w:space="0" w:color="000000"/>
            </w:tcBorders>
          </w:tcPr>
          <w:p w:rsidR="00C03791" w:rsidRPr="0013687B" w:rsidRDefault="00C03791" w:rsidP="0013687B">
            <w:r w:rsidRPr="0013687B">
              <w:t>TBD by stakeholders</w:t>
            </w:r>
          </w:p>
        </w:tc>
      </w:tr>
      <w:tr w:rsidR="00C03791" w:rsidRPr="0013687B" w:rsidTr="0013687B">
        <w:trPr>
          <w:trHeight w:val="115"/>
        </w:trPr>
        <w:tc>
          <w:tcPr>
            <w:tcW w:w="1536" w:type="dxa"/>
            <w:tcBorders>
              <w:top w:val="single" w:sz="4" w:space="0" w:color="auto"/>
              <w:left w:val="single" w:sz="8" w:space="0" w:color="auto"/>
              <w:bottom w:val="single" w:sz="4" w:space="0" w:color="auto"/>
              <w:right w:val="single" w:sz="8" w:space="0" w:color="auto"/>
            </w:tcBorders>
          </w:tcPr>
          <w:p w:rsidR="00C03791" w:rsidRPr="0013687B" w:rsidRDefault="00C03791" w:rsidP="0013687B">
            <w:r w:rsidRPr="0013687B">
              <w:t>Mapping to ESSA’s Enduring Functional Exchanges (EFE)</w:t>
            </w:r>
          </w:p>
        </w:tc>
        <w:tc>
          <w:tcPr>
            <w:tcW w:w="7905" w:type="dxa"/>
            <w:gridSpan w:val="2"/>
            <w:tcBorders>
              <w:top w:val="single" w:sz="4" w:space="0" w:color="auto"/>
              <w:left w:val="nil"/>
              <w:bottom w:val="single" w:sz="4" w:space="0" w:color="auto"/>
              <w:right w:val="single" w:sz="8" w:space="0" w:color="000000"/>
            </w:tcBorders>
          </w:tcPr>
          <w:p w:rsidR="00C03791" w:rsidRPr="0013687B" w:rsidRDefault="00C03791" w:rsidP="0013687B">
            <w:r w:rsidRPr="0013687B">
              <w:t xml:space="preserve">Not Applicable   </w:t>
            </w:r>
          </w:p>
        </w:tc>
      </w:tr>
      <w:tr w:rsidR="00C03791" w:rsidRPr="0013687B" w:rsidTr="0013687B">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C03791" w:rsidRPr="0013687B" w:rsidRDefault="00C03791" w:rsidP="0013687B">
            <w:pPr>
              <w:jc w:val="center"/>
              <w:rPr>
                <w:color w:val="FFFFFF" w:themeColor="background1"/>
              </w:rPr>
            </w:pPr>
            <w:r w:rsidRPr="0013687B">
              <w:rPr>
                <w:color w:val="FFFFFF" w:themeColor="background1"/>
              </w:rPr>
              <w:t>Data Elements</w:t>
            </w:r>
          </w:p>
        </w:tc>
      </w:tr>
      <w:tr w:rsidR="00C03791" w:rsidRPr="0013687B" w:rsidTr="0013687B">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C03791" w:rsidRPr="0013687B" w:rsidRDefault="00C03791" w:rsidP="0013687B">
            <w:pPr>
              <w:jc w:val="center"/>
              <w:rPr>
                <w:color w:val="FFFFFF" w:themeColor="background1"/>
              </w:rPr>
            </w:pPr>
            <w:r w:rsidRPr="0013687B">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C03791" w:rsidRPr="0013687B" w:rsidRDefault="00C03791" w:rsidP="0013687B">
            <w:pPr>
              <w:jc w:val="center"/>
              <w:rPr>
                <w:color w:val="FFFFFF" w:themeColor="background1"/>
              </w:rPr>
            </w:pPr>
            <w:r w:rsidRPr="0013687B">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C03791" w:rsidRPr="0013687B" w:rsidRDefault="00C03791" w:rsidP="0013687B">
            <w:pPr>
              <w:jc w:val="center"/>
              <w:rPr>
                <w:color w:val="FFFFFF" w:themeColor="background1"/>
              </w:rPr>
            </w:pPr>
            <w:r w:rsidRPr="0013687B">
              <w:rPr>
                <w:color w:val="FFFFFF" w:themeColor="background1"/>
              </w:rPr>
              <w:t>Definitions</w:t>
            </w:r>
          </w:p>
        </w:tc>
      </w:tr>
      <w:tr w:rsidR="00C03791" w:rsidRPr="0013687B" w:rsidTr="0013687B">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C03791" w:rsidRPr="0013687B" w:rsidRDefault="00C03791" w:rsidP="0013687B">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C03791" w:rsidRPr="0013687B" w:rsidRDefault="00C03791" w:rsidP="0013687B">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C03791" w:rsidRPr="0013687B" w:rsidRDefault="00C03791" w:rsidP="0013687B">
            <w:pPr>
              <w:jc w:val="center"/>
              <w:rPr>
                <w:color w:val="FFFFFF" w:themeColor="background1"/>
              </w:rPr>
            </w:pPr>
          </w:p>
        </w:tc>
      </w:tr>
      <w:tr w:rsidR="00C03791" w:rsidRPr="0013687B" w:rsidTr="0013687B">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03791" w:rsidRPr="0013687B" w:rsidRDefault="00C03791" w:rsidP="0013687B">
            <w:r w:rsidRPr="0013687B">
              <w:t xml:space="preserve">Additional Information: </w:t>
            </w:r>
          </w:p>
        </w:tc>
      </w:tr>
    </w:tbl>
    <w:p w:rsidR="00C03791" w:rsidRDefault="00C03791" w:rsidP="00C03791">
      <w:pPr>
        <w:rPr>
          <w:sz w:val="22"/>
          <w:szCs w:val="22"/>
        </w:rPr>
      </w:pPr>
    </w:p>
    <w:p w:rsidR="0081666A" w:rsidRDefault="00E400F4" w:rsidP="0081666A">
      <w:pPr>
        <w:pStyle w:val="Heading2"/>
      </w:pPr>
      <w:r>
        <w:rPr>
          <w:sz w:val="22"/>
          <w:szCs w:val="22"/>
        </w:rPr>
        <w:br w:type="page"/>
      </w:r>
      <w:r w:rsidR="0013687B">
        <w:t>Scenario Story #4</w:t>
      </w:r>
    </w:p>
    <w:p w:rsidR="00F947E0" w:rsidRPr="00F947E0" w:rsidRDefault="00F947E0" w:rsidP="00F947E0">
      <w:pPr>
        <w:rPr>
          <w:rFonts w:asciiTheme="minorHAnsi" w:hAnsiTheme="minorHAnsi"/>
        </w:rPr>
      </w:pPr>
      <w:r w:rsidRPr="00F947E0">
        <w:rPr>
          <w:rFonts w:asciiTheme="minorHAnsi" w:hAnsiTheme="minorHAnsi"/>
        </w:rPr>
        <w:t>In January 2015 Massachusetts has been facing the Hazard of major winter storms across the region. Potential Harm from blizzards and winter storms includes negative economic impact, limited road accessibility, restricted emergency management, non-availability of utility, property damage, personal injury and death, and more. Important Actors include: State Governor, Massachusetts Emergency Management Agency (MEMA), Federal Emergency Management (FEMA), local and state highway departments, fire and local &amp; state police departments, National Guard, neighboring state agencies, residents, etc. </w:t>
      </w:r>
    </w:p>
    <w:p w:rsidR="00F947E0" w:rsidRPr="00F947E0" w:rsidRDefault="00F947E0" w:rsidP="00F947E0">
      <w:pPr>
        <w:rPr>
          <w:rFonts w:asciiTheme="minorHAnsi" w:hAnsiTheme="minorHAnsi"/>
        </w:rPr>
      </w:pPr>
    </w:p>
    <w:p w:rsidR="00F947E0" w:rsidRDefault="00F947E0" w:rsidP="00F947E0">
      <w:pPr>
        <w:rPr>
          <w:rFonts w:asciiTheme="minorHAnsi" w:hAnsiTheme="minorHAnsi"/>
        </w:rPr>
      </w:pPr>
      <w:r w:rsidRPr="00F947E0">
        <w:rPr>
          <w:rFonts w:asciiTheme="minorHAnsi" w:hAnsiTheme="minorHAnsi"/>
        </w:rPr>
        <w:t>The onset of a winter storm or blizzard may be a undesirable Potential Situation predicted by the National Weather Service (NWS). The Risk of a bad winter storm is determined by the likelihood of occurring, and the potential Harm it can cause to the people and their personal effects (Assets). </w:t>
      </w:r>
    </w:p>
    <w:p w:rsidR="00F947E0" w:rsidRPr="00F947E0" w:rsidRDefault="00F947E0" w:rsidP="00F947E0">
      <w:pPr>
        <w:rPr>
          <w:rFonts w:asciiTheme="minorHAnsi" w:hAnsiTheme="minorHAnsi"/>
        </w:rPr>
      </w:pPr>
    </w:p>
    <w:tbl>
      <w:tblPr>
        <w:tblW w:w="9441" w:type="dxa"/>
        <w:tblInd w:w="93" w:type="dxa"/>
        <w:tblLook w:val="04A0" w:firstRow="1" w:lastRow="0" w:firstColumn="1" w:lastColumn="0" w:noHBand="0" w:noVBand="1"/>
      </w:tblPr>
      <w:tblGrid>
        <w:gridCol w:w="1536"/>
        <w:gridCol w:w="3815"/>
        <w:gridCol w:w="4090"/>
      </w:tblGrid>
      <w:tr w:rsidR="0081666A" w:rsidRPr="0013687B" w:rsidTr="0013687B">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81666A" w:rsidRPr="0013687B" w:rsidRDefault="0081666A" w:rsidP="0013687B">
            <w:pPr>
              <w:jc w:val="center"/>
              <w:rPr>
                <w:color w:val="FFFFFF" w:themeColor="background1"/>
              </w:rPr>
            </w:pPr>
            <w:r w:rsidRPr="0013687B">
              <w:rPr>
                <w:color w:val="FFFFFF" w:themeColor="background1"/>
              </w:rPr>
              <w:t>Use Case #4</w:t>
            </w:r>
          </w:p>
        </w:tc>
      </w:tr>
      <w:tr w:rsidR="0081666A" w:rsidRPr="0013687B" w:rsidTr="0013687B">
        <w:trPr>
          <w:trHeight w:val="88"/>
        </w:trPr>
        <w:tc>
          <w:tcPr>
            <w:tcW w:w="1536" w:type="dxa"/>
            <w:tcBorders>
              <w:top w:val="single" w:sz="8" w:space="0" w:color="auto"/>
              <w:left w:val="single" w:sz="8" w:space="0" w:color="auto"/>
              <w:bottom w:val="single" w:sz="4" w:space="0" w:color="auto"/>
              <w:right w:val="single" w:sz="8" w:space="0" w:color="auto"/>
            </w:tcBorders>
          </w:tcPr>
          <w:p w:rsidR="0081666A" w:rsidRPr="0013687B" w:rsidRDefault="0081666A" w:rsidP="0013687B">
            <w:r w:rsidRPr="0013687B">
              <w:t>Title</w:t>
            </w:r>
          </w:p>
        </w:tc>
        <w:tc>
          <w:tcPr>
            <w:tcW w:w="7905" w:type="dxa"/>
            <w:gridSpan w:val="2"/>
            <w:tcBorders>
              <w:top w:val="single" w:sz="4" w:space="0" w:color="auto"/>
              <w:left w:val="nil"/>
              <w:bottom w:val="single" w:sz="4" w:space="0" w:color="auto"/>
              <w:right w:val="single" w:sz="8" w:space="0" w:color="000000"/>
            </w:tcBorders>
          </w:tcPr>
          <w:p w:rsidR="0081666A" w:rsidRPr="0013687B" w:rsidRDefault="00F947E0" w:rsidP="0013687B">
            <w:r w:rsidRPr="0013687B">
              <w:t>Natural Disaster</w:t>
            </w:r>
          </w:p>
        </w:tc>
      </w:tr>
      <w:tr w:rsidR="0081666A" w:rsidRPr="0013687B" w:rsidTr="0013687B">
        <w:trPr>
          <w:trHeight w:val="50"/>
        </w:trPr>
        <w:tc>
          <w:tcPr>
            <w:tcW w:w="1536" w:type="dxa"/>
            <w:tcBorders>
              <w:top w:val="single" w:sz="8" w:space="0" w:color="auto"/>
              <w:left w:val="single" w:sz="8" w:space="0" w:color="auto"/>
              <w:bottom w:val="single" w:sz="4" w:space="0" w:color="auto"/>
              <w:right w:val="single" w:sz="8" w:space="0" w:color="auto"/>
            </w:tcBorders>
          </w:tcPr>
          <w:p w:rsidR="0081666A" w:rsidRPr="0013687B" w:rsidRDefault="0081666A" w:rsidP="0013687B">
            <w:r w:rsidRPr="0013687B">
              <w:t>Category</w:t>
            </w:r>
          </w:p>
        </w:tc>
        <w:tc>
          <w:tcPr>
            <w:tcW w:w="7905" w:type="dxa"/>
            <w:gridSpan w:val="2"/>
            <w:tcBorders>
              <w:top w:val="single" w:sz="4" w:space="0" w:color="auto"/>
              <w:left w:val="nil"/>
              <w:bottom w:val="single" w:sz="4" w:space="0" w:color="auto"/>
              <w:right w:val="single" w:sz="8" w:space="0" w:color="000000"/>
            </w:tcBorders>
          </w:tcPr>
          <w:p w:rsidR="0081666A" w:rsidRPr="0013687B" w:rsidRDefault="00F947E0" w:rsidP="0013687B">
            <w:r w:rsidRPr="0013687B">
              <w:t>Integrated Threat Assessment for Critical Infrastructure</w:t>
            </w:r>
          </w:p>
        </w:tc>
      </w:tr>
      <w:tr w:rsidR="0081666A" w:rsidRPr="0013687B" w:rsidTr="0013687B">
        <w:trPr>
          <w:trHeight w:val="50"/>
        </w:trPr>
        <w:tc>
          <w:tcPr>
            <w:tcW w:w="1536" w:type="dxa"/>
            <w:tcBorders>
              <w:top w:val="single" w:sz="8" w:space="0" w:color="auto"/>
              <w:left w:val="single" w:sz="8" w:space="0" w:color="auto"/>
              <w:bottom w:val="single" w:sz="4" w:space="0" w:color="auto"/>
              <w:right w:val="single" w:sz="8" w:space="0" w:color="auto"/>
            </w:tcBorders>
          </w:tcPr>
          <w:p w:rsidR="0081666A" w:rsidRPr="0013687B" w:rsidRDefault="0081666A" w:rsidP="0013687B">
            <w:r w:rsidRPr="0013687B">
              <w:t>Domain</w:t>
            </w:r>
          </w:p>
        </w:tc>
        <w:tc>
          <w:tcPr>
            <w:tcW w:w="7905" w:type="dxa"/>
            <w:gridSpan w:val="2"/>
            <w:tcBorders>
              <w:top w:val="single" w:sz="4" w:space="0" w:color="auto"/>
              <w:left w:val="nil"/>
              <w:bottom w:val="single" w:sz="4" w:space="0" w:color="auto"/>
              <w:right w:val="single" w:sz="8" w:space="0" w:color="000000"/>
            </w:tcBorders>
          </w:tcPr>
          <w:p w:rsidR="0081666A" w:rsidRPr="0013687B" w:rsidRDefault="00F947E0" w:rsidP="0013687B">
            <w:r w:rsidRPr="0013687B">
              <w:t>Natural Disaster and CIKR</w:t>
            </w:r>
          </w:p>
        </w:tc>
      </w:tr>
      <w:tr w:rsidR="0081666A" w:rsidRPr="0013687B" w:rsidTr="0013687B">
        <w:trPr>
          <w:trHeight w:val="50"/>
        </w:trPr>
        <w:tc>
          <w:tcPr>
            <w:tcW w:w="1536" w:type="dxa"/>
            <w:tcBorders>
              <w:top w:val="single" w:sz="8" w:space="0" w:color="auto"/>
              <w:left w:val="single" w:sz="8" w:space="0" w:color="auto"/>
              <w:bottom w:val="single" w:sz="4" w:space="0" w:color="auto"/>
              <w:right w:val="single" w:sz="8" w:space="0" w:color="auto"/>
            </w:tcBorders>
          </w:tcPr>
          <w:p w:rsidR="0081666A" w:rsidRPr="0013687B" w:rsidRDefault="0081666A" w:rsidP="0013687B">
            <w:r w:rsidRPr="0013687B">
              <w:t>Security Fabric</w:t>
            </w:r>
          </w:p>
          <w:p w:rsidR="0081666A" w:rsidRPr="0013687B" w:rsidRDefault="0081666A" w:rsidP="0013687B">
            <w:r w:rsidRPr="0013687B">
              <w:t>(e.g., U, LES, S, TS)</w:t>
            </w:r>
          </w:p>
        </w:tc>
        <w:tc>
          <w:tcPr>
            <w:tcW w:w="7905" w:type="dxa"/>
            <w:gridSpan w:val="2"/>
            <w:tcBorders>
              <w:top w:val="single" w:sz="4" w:space="0" w:color="auto"/>
              <w:left w:val="nil"/>
              <w:bottom w:val="single" w:sz="4" w:space="0" w:color="auto"/>
              <w:right w:val="single" w:sz="8" w:space="0" w:color="000000"/>
            </w:tcBorders>
          </w:tcPr>
          <w:p w:rsidR="0081666A" w:rsidRPr="0013687B" w:rsidRDefault="0081666A" w:rsidP="0013687B">
            <w:r w:rsidRPr="0013687B">
              <w:t>U</w:t>
            </w:r>
          </w:p>
        </w:tc>
      </w:tr>
      <w:tr w:rsidR="0081666A" w:rsidRPr="0013687B" w:rsidTr="0013687B">
        <w:trPr>
          <w:trHeight w:val="493"/>
        </w:trPr>
        <w:tc>
          <w:tcPr>
            <w:tcW w:w="1536" w:type="dxa"/>
            <w:tcBorders>
              <w:top w:val="single" w:sz="8" w:space="0" w:color="auto"/>
              <w:left w:val="single" w:sz="8" w:space="0" w:color="auto"/>
              <w:bottom w:val="single" w:sz="4" w:space="0" w:color="auto"/>
              <w:right w:val="single" w:sz="8" w:space="0" w:color="auto"/>
            </w:tcBorders>
            <w:hideMark/>
          </w:tcPr>
          <w:p w:rsidR="0081666A" w:rsidRPr="0013687B" w:rsidRDefault="0081666A" w:rsidP="0013687B">
            <w:r w:rsidRPr="0013687B">
              <w:t>Scenario Description</w:t>
            </w:r>
          </w:p>
        </w:tc>
        <w:tc>
          <w:tcPr>
            <w:tcW w:w="7905" w:type="dxa"/>
            <w:gridSpan w:val="2"/>
            <w:tcBorders>
              <w:top w:val="single" w:sz="4" w:space="0" w:color="auto"/>
              <w:left w:val="nil"/>
              <w:bottom w:val="single" w:sz="4" w:space="0" w:color="auto"/>
              <w:right w:val="single" w:sz="8" w:space="0" w:color="000000"/>
            </w:tcBorders>
          </w:tcPr>
          <w:p w:rsidR="0081666A" w:rsidRPr="0013687B" w:rsidRDefault="0081666A" w:rsidP="0013687B">
            <w:r w:rsidRPr="0013687B">
              <w:t>A variety of potential attack scenarios can be played out against the company, including external and internal attacks. While there is a reasonable security program in place, the company is not able to ensure full in-depth security across all systems and assets</w:t>
            </w:r>
          </w:p>
        </w:tc>
      </w:tr>
      <w:tr w:rsidR="0081666A" w:rsidRPr="0013687B" w:rsidTr="0013687B">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81666A" w:rsidRPr="0013687B" w:rsidRDefault="0081666A" w:rsidP="0013687B">
            <w:r w:rsidRPr="0013687B">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81666A" w:rsidRPr="0013687B" w:rsidRDefault="0081666A" w:rsidP="0013687B">
            <w:pPr>
              <w:pStyle w:val="ListParagraph"/>
              <w:numPr>
                <w:ilvl w:val="0"/>
                <w:numId w:val="19"/>
              </w:numPr>
              <w:rPr>
                <w:rFonts w:ascii="Times New Roman" w:hAnsi="Times New Roman"/>
                <w:sz w:val="20"/>
                <w:szCs w:val="20"/>
              </w:rPr>
            </w:pPr>
            <w:r w:rsidRPr="0013687B">
              <w:rPr>
                <w:rFonts w:ascii="Times New Roman" w:hAnsi="Times New Roman"/>
                <w:sz w:val="20"/>
                <w:szCs w:val="20"/>
              </w:rPr>
              <w:t>Private↔State</w:t>
            </w:r>
          </w:p>
          <w:p w:rsidR="0081666A" w:rsidRPr="0013687B" w:rsidRDefault="0081666A" w:rsidP="0013687B">
            <w:pPr>
              <w:pStyle w:val="ListParagraph"/>
              <w:numPr>
                <w:ilvl w:val="0"/>
                <w:numId w:val="19"/>
              </w:numPr>
              <w:rPr>
                <w:rFonts w:ascii="Times New Roman" w:hAnsi="Times New Roman"/>
                <w:sz w:val="20"/>
                <w:szCs w:val="20"/>
              </w:rPr>
            </w:pPr>
            <w:r w:rsidRPr="0013687B">
              <w:rPr>
                <w:rFonts w:ascii="Times New Roman" w:hAnsi="Times New Roman"/>
                <w:sz w:val="20"/>
                <w:szCs w:val="20"/>
              </w:rPr>
              <w:t>State↔Federal</w:t>
            </w:r>
          </w:p>
          <w:p w:rsidR="0081666A" w:rsidRPr="0013687B" w:rsidRDefault="0081666A" w:rsidP="0013687B">
            <w:pPr>
              <w:pStyle w:val="ListParagraph"/>
              <w:numPr>
                <w:ilvl w:val="0"/>
                <w:numId w:val="19"/>
              </w:numPr>
              <w:rPr>
                <w:rFonts w:ascii="Times New Roman" w:hAnsi="Times New Roman"/>
                <w:sz w:val="20"/>
                <w:szCs w:val="20"/>
              </w:rPr>
            </w:pPr>
            <w:r w:rsidRPr="0013687B">
              <w:rPr>
                <w:rFonts w:ascii="Times New Roman" w:hAnsi="Times New Roman"/>
                <w:sz w:val="20"/>
                <w:szCs w:val="20"/>
              </w:rPr>
              <w:t>Federal↔Private</w:t>
            </w:r>
          </w:p>
          <w:p w:rsidR="0081666A" w:rsidRPr="0013687B" w:rsidRDefault="0081666A" w:rsidP="0013687B">
            <w:pPr>
              <w:pStyle w:val="ListParagraph"/>
              <w:numPr>
                <w:ilvl w:val="0"/>
                <w:numId w:val="19"/>
              </w:numPr>
              <w:rPr>
                <w:rFonts w:ascii="Times New Roman" w:hAnsi="Times New Roman"/>
                <w:sz w:val="20"/>
                <w:szCs w:val="20"/>
              </w:rPr>
            </w:pPr>
            <w:r w:rsidRPr="0013687B">
              <w:rPr>
                <w:rFonts w:ascii="Times New Roman" w:hAnsi="Times New Roman"/>
                <w:sz w:val="20"/>
                <w:szCs w:val="20"/>
              </w:rPr>
              <w:t>State↔Citizen</w:t>
            </w:r>
          </w:p>
        </w:tc>
      </w:tr>
      <w:tr w:rsidR="0081666A" w:rsidRPr="0013687B" w:rsidTr="0013687B">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81666A" w:rsidRPr="0013687B" w:rsidRDefault="0081666A" w:rsidP="0013687B">
            <w:pPr>
              <w:jc w:val="center"/>
              <w:rPr>
                <w:color w:val="FFFFFF" w:themeColor="background1"/>
              </w:rPr>
            </w:pPr>
            <w:r w:rsidRPr="0013687B">
              <w:rPr>
                <w:color w:val="FFFFFF" w:themeColor="background1"/>
              </w:rPr>
              <w:t>Key Stakeholders</w:t>
            </w:r>
          </w:p>
        </w:tc>
      </w:tr>
      <w:tr w:rsidR="008F1A96" w:rsidRPr="0013687B" w:rsidTr="0013687B">
        <w:trPr>
          <w:trHeight w:val="350"/>
        </w:trPr>
        <w:tc>
          <w:tcPr>
            <w:tcW w:w="1536" w:type="dxa"/>
            <w:tcBorders>
              <w:top w:val="single" w:sz="4" w:space="0" w:color="auto"/>
              <w:left w:val="single" w:sz="8" w:space="0" w:color="auto"/>
              <w:bottom w:val="single" w:sz="4" w:space="0" w:color="auto"/>
              <w:right w:val="single" w:sz="8" w:space="0" w:color="auto"/>
            </w:tcBorders>
          </w:tcPr>
          <w:p w:rsidR="008F1A96" w:rsidRPr="0013687B" w:rsidRDefault="008F1A96" w:rsidP="0013687B">
            <w:r w:rsidRPr="0013687B">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8F1A96" w:rsidRPr="0013687B" w:rsidRDefault="008F1A96" w:rsidP="008F1A96">
            <w:r w:rsidRPr="0013687B">
              <w:t>local transportation officials; local emergency managers; local department of food and agriculture; local fusion center representative; FBI coordinator; health and human services, public works departments, local law enforcement</w:t>
            </w:r>
          </w:p>
        </w:tc>
      </w:tr>
      <w:tr w:rsidR="008F1A96" w:rsidRPr="0013687B" w:rsidTr="0013687B">
        <w:trPr>
          <w:trHeight w:val="350"/>
        </w:trPr>
        <w:tc>
          <w:tcPr>
            <w:tcW w:w="1536" w:type="dxa"/>
            <w:tcBorders>
              <w:top w:val="single" w:sz="4" w:space="0" w:color="auto"/>
              <w:left w:val="single" w:sz="8" w:space="0" w:color="auto"/>
              <w:bottom w:val="single" w:sz="4" w:space="0" w:color="auto"/>
              <w:right w:val="single" w:sz="8" w:space="0" w:color="auto"/>
            </w:tcBorders>
          </w:tcPr>
          <w:p w:rsidR="008F1A96" w:rsidRPr="0013687B" w:rsidRDefault="008F1A96" w:rsidP="0013687B">
            <w:r w:rsidRPr="0013687B">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8F1A96" w:rsidRPr="0013687B" w:rsidRDefault="008F1A96" w:rsidP="0013687B">
            <w:r w:rsidRPr="0013687B">
              <w:t>FBI, HHS, IC, NNFC, Governor’s Office, DHS, International Partners</w:t>
            </w:r>
          </w:p>
        </w:tc>
      </w:tr>
      <w:tr w:rsidR="008F1A96" w:rsidRPr="0013687B" w:rsidTr="0013687B">
        <w:trPr>
          <w:trHeight w:val="350"/>
        </w:trPr>
        <w:tc>
          <w:tcPr>
            <w:tcW w:w="1536" w:type="dxa"/>
            <w:tcBorders>
              <w:top w:val="single" w:sz="4" w:space="0" w:color="auto"/>
              <w:left w:val="single" w:sz="8" w:space="0" w:color="auto"/>
              <w:bottom w:val="single" w:sz="4" w:space="0" w:color="auto"/>
              <w:right w:val="single" w:sz="8" w:space="0" w:color="auto"/>
            </w:tcBorders>
          </w:tcPr>
          <w:p w:rsidR="008F1A96" w:rsidRPr="0013687B" w:rsidRDefault="008F1A96" w:rsidP="0013687B">
            <w:r w:rsidRPr="0013687B">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8F1A96" w:rsidRPr="0013687B" w:rsidRDefault="008F1A96" w:rsidP="0013687B">
            <w:r w:rsidRPr="0013687B">
              <w:t>FBI, HHS, IC, NNFC, Governor’s Office, DHS, International Partners</w:t>
            </w:r>
          </w:p>
        </w:tc>
      </w:tr>
      <w:tr w:rsidR="0081666A" w:rsidRPr="0013687B" w:rsidTr="0013687B">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81666A" w:rsidRPr="0013687B" w:rsidRDefault="0081666A" w:rsidP="0013687B">
            <w:pPr>
              <w:jc w:val="center"/>
              <w:rPr>
                <w:color w:val="FFFFFF" w:themeColor="background1"/>
              </w:rPr>
            </w:pPr>
            <w:r w:rsidRPr="0013687B">
              <w:rPr>
                <w:color w:val="FFFFFF" w:themeColor="background1"/>
              </w:rPr>
              <w:t>Scenario Details</w:t>
            </w:r>
          </w:p>
        </w:tc>
      </w:tr>
      <w:tr w:rsidR="0081666A" w:rsidRPr="0013687B" w:rsidTr="0013687B">
        <w:trPr>
          <w:trHeight w:val="60"/>
        </w:trPr>
        <w:tc>
          <w:tcPr>
            <w:tcW w:w="1536" w:type="dxa"/>
            <w:tcBorders>
              <w:top w:val="single" w:sz="4" w:space="0" w:color="auto"/>
              <w:left w:val="single" w:sz="8" w:space="0" w:color="auto"/>
              <w:bottom w:val="single" w:sz="4" w:space="0" w:color="auto"/>
              <w:right w:val="single" w:sz="8" w:space="0" w:color="auto"/>
            </w:tcBorders>
            <w:hideMark/>
          </w:tcPr>
          <w:p w:rsidR="0081666A" w:rsidRPr="0013687B" w:rsidRDefault="0081666A" w:rsidP="0013687B">
            <w:r w:rsidRPr="0013687B">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81666A" w:rsidRPr="0013687B" w:rsidRDefault="0013687B" w:rsidP="0013687B">
            <w:r>
              <w:t xml:space="preserve">Information Transformation </w:t>
            </w:r>
            <w:r w:rsidR="0081666A" w:rsidRPr="0013687B">
              <w:t xml:space="preserve">of NIEM, </w:t>
            </w:r>
            <w:r>
              <w:t xml:space="preserve">and </w:t>
            </w:r>
            <w:r w:rsidR="0081666A" w:rsidRPr="0013687B">
              <w:t>EDXL</w:t>
            </w:r>
          </w:p>
        </w:tc>
      </w:tr>
      <w:tr w:rsidR="0081666A" w:rsidRPr="0013687B" w:rsidTr="0013687B">
        <w:trPr>
          <w:trHeight w:val="530"/>
        </w:trPr>
        <w:tc>
          <w:tcPr>
            <w:tcW w:w="1536" w:type="dxa"/>
            <w:tcBorders>
              <w:top w:val="single" w:sz="4" w:space="0" w:color="auto"/>
              <w:left w:val="single" w:sz="8" w:space="0" w:color="auto"/>
              <w:bottom w:val="single" w:sz="8" w:space="0" w:color="auto"/>
              <w:right w:val="single" w:sz="8" w:space="0" w:color="auto"/>
            </w:tcBorders>
            <w:hideMark/>
          </w:tcPr>
          <w:p w:rsidR="0081666A" w:rsidRPr="0013687B" w:rsidRDefault="0081666A" w:rsidP="0013687B">
            <w:r w:rsidRPr="0013687B">
              <w:t>Exchange Scenario</w:t>
            </w:r>
          </w:p>
        </w:tc>
        <w:tc>
          <w:tcPr>
            <w:tcW w:w="7905" w:type="dxa"/>
            <w:gridSpan w:val="2"/>
            <w:tcBorders>
              <w:top w:val="single" w:sz="4" w:space="0" w:color="auto"/>
              <w:left w:val="nil"/>
              <w:bottom w:val="single" w:sz="8" w:space="0" w:color="000000"/>
              <w:right w:val="single" w:sz="8" w:space="0" w:color="000000"/>
            </w:tcBorders>
          </w:tcPr>
          <w:p w:rsidR="008F1A96" w:rsidRPr="0013687B" w:rsidRDefault="008F1A96" w:rsidP="008F1A96">
            <w:r w:rsidRPr="0013687B">
              <w:t xml:space="preserve">In January 2015 Massachusetts has been facing the </w:t>
            </w:r>
            <w:r w:rsidRPr="0013687B">
              <w:rPr>
                <w:color w:val="B51A00"/>
              </w:rPr>
              <w:t>Hazard</w:t>
            </w:r>
            <w:r w:rsidRPr="0013687B">
              <w:t xml:space="preserve"> of major winter storms across the region. Potential </w:t>
            </w:r>
            <w:r w:rsidRPr="0013687B">
              <w:rPr>
                <w:color w:val="B51A00"/>
              </w:rPr>
              <w:t>Harm</w:t>
            </w:r>
            <w:r w:rsidRPr="0013687B">
              <w:t xml:space="preserve"> from blizzards and winter storms includes negative economic impact, limited road accessibility, restricted emergency management, non-availability of utility, property damage, personal injury and death, and more. Important </w:t>
            </w:r>
            <w:r w:rsidRPr="0013687B">
              <w:rPr>
                <w:color w:val="B51A00"/>
              </w:rPr>
              <w:t>Actors</w:t>
            </w:r>
            <w:r w:rsidRPr="0013687B">
              <w:t xml:space="preserve"> include: State Governor, Massachusetts Emergency Management Agency (MEMA), Federal Emergency Management (FEMA), local and state highway departments, fire and local &amp; state police departments, National Guard, neighboring state agencies, residents, etc. </w:t>
            </w:r>
          </w:p>
          <w:p w:rsidR="008F1A96" w:rsidRPr="0013687B" w:rsidRDefault="008F1A96" w:rsidP="008F1A96"/>
          <w:p w:rsidR="008F1A96" w:rsidRPr="0013687B" w:rsidRDefault="008F1A96" w:rsidP="008F1A96">
            <w:r w:rsidRPr="0013687B">
              <w:t xml:space="preserve">The onset of a winter storm or blizzard may be a undesirable </w:t>
            </w:r>
            <w:r w:rsidRPr="0013687B">
              <w:rPr>
                <w:color w:val="B51A00"/>
              </w:rPr>
              <w:t>Potential Situation</w:t>
            </w:r>
            <w:r w:rsidRPr="0013687B">
              <w:t xml:space="preserve"> predicted by the National Weather Service (NWS). The </w:t>
            </w:r>
            <w:r w:rsidRPr="0013687B">
              <w:rPr>
                <w:color w:val="B51A00"/>
              </w:rPr>
              <w:t>Risk</w:t>
            </w:r>
            <w:r w:rsidRPr="0013687B">
              <w:t xml:space="preserve"> of a bad winter storm is determined by the </w:t>
            </w:r>
            <w:r w:rsidRPr="0013687B">
              <w:rPr>
                <w:color w:val="B51A00"/>
              </w:rPr>
              <w:t>likelihood</w:t>
            </w:r>
            <w:r w:rsidRPr="0013687B">
              <w:t xml:space="preserve"> of occurring, and the potential </w:t>
            </w:r>
            <w:r w:rsidRPr="0013687B">
              <w:rPr>
                <w:color w:val="B51A00"/>
              </w:rPr>
              <w:t>Harm</w:t>
            </w:r>
            <w:r w:rsidRPr="0013687B">
              <w:t xml:space="preserve"> it can cause to the people and their personal effects (</w:t>
            </w:r>
            <w:r w:rsidRPr="0013687B">
              <w:rPr>
                <w:color w:val="B51A00"/>
              </w:rPr>
              <w:t>Assets</w:t>
            </w:r>
            <w:r w:rsidRPr="0013687B">
              <w:t>). </w:t>
            </w:r>
          </w:p>
          <w:p w:rsidR="008F1A96" w:rsidRPr="0013687B" w:rsidRDefault="008F1A96" w:rsidP="008F1A96"/>
          <w:p w:rsidR="008F1A96" w:rsidRPr="0013687B" w:rsidRDefault="008F1A96" w:rsidP="008F1A96">
            <w:r w:rsidRPr="0013687B">
              <w:rPr>
                <w:color w:val="B51A00"/>
              </w:rPr>
              <w:t>Risk Treatment Strategies</w:t>
            </w:r>
            <w:r w:rsidRPr="0013687B">
              <w:t xml:space="preserve"> at the government level may include: </w:t>
            </w:r>
          </w:p>
          <w:p w:rsidR="008F1A96" w:rsidRPr="0013687B" w:rsidRDefault="008F1A96" w:rsidP="008F1A96">
            <w:r w:rsidRPr="0013687B">
              <w:t>(i) Closing of government services (</w:t>
            </w:r>
            <w:r w:rsidRPr="0013687B">
              <w:rPr>
                <w:color w:val="38571A"/>
              </w:rPr>
              <w:t>avoidance</w:t>
            </w:r>
            <w:r w:rsidRPr="0013687B">
              <w:t>)</w:t>
            </w:r>
          </w:p>
          <w:p w:rsidR="008F1A96" w:rsidRPr="0013687B" w:rsidRDefault="008F1A96" w:rsidP="008F1A96">
            <w:r w:rsidRPr="0013687B">
              <w:t>(ii) Activation of snow removal services (</w:t>
            </w:r>
            <w:r w:rsidRPr="0013687B">
              <w:rPr>
                <w:color w:val="38571A"/>
              </w:rPr>
              <w:t>impact mitigation)</w:t>
            </w:r>
          </w:p>
          <w:p w:rsidR="008F1A96" w:rsidRPr="0013687B" w:rsidRDefault="008F1A96" w:rsidP="008F1A96">
            <w:r w:rsidRPr="0013687B">
              <w:t>(iii) Coordination with energy utilities and other critical infrastructure provider to prepare for damage (</w:t>
            </w:r>
            <w:r w:rsidRPr="0013687B">
              <w:rPr>
                <w:color w:val="38571A"/>
              </w:rPr>
              <w:t>impact mitigation</w:t>
            </w:r>
            <w:r w:rsidRPr="0013687B">
              <w:t>)</w:t>
            </w:r>
          </w:p>
          <w:p w:rsidR="008F1A96" w:rsidRPr="0013687B" w:rsidRDefault="008F1A96" w:rsidP="008F1A96">
            <w:r w:rsidRPr="0013687B">
              <w:t>(iv) Issuance of special orders (curfew/travel ban, airport shutdown, limited public transport, etc.) (</w:t>
            </w:r>
            <w:r w:rsidRPr="0013687B">
              <w:rPr>
                <w:color w:val="38571A"/>
              </w:rPr>
              <w:t>avoidance</w:t>
            </w:r>
            <w:r w:rsidRPr="0013687B">
              <w:t>)</w:t>
            </w:r>
          </w:p>
          <w:p w:rsidR="008F1A96" w:rsidRPr="0013687B" w:rsidRDefault="008F1A96" w:rsidP="008F1A96">
            <w:r w:rsidRPr="0013687B">
              <w:t>(v) Nothing (</w:t>
            </w:r>
            <w:r w:rsidRPr="0013687B">
              <w:rPr>
                <w:color w:val="38571A"/>
              </w:rPr>
              <w:t>acceptance</w:t>
            </w:r>
            <w:r w:rsidRPr="0013687B">
              <w:t>)</w:t>
            </w:r>
          </w:p>
          <w:p w:rsidR="008F1A96" w:rsidRPr="0013687B" w:rsidRDefault="008F1A96" w:rsidP="008F1A96"/>
          <w:p w:rsidR="008F1A96" w:rsidRPr="0013687B" w:rsidRDefault="008F1A96" w:rsidP="008F1A96">
            <w:r w:rsidRPr="0013687B">
              <w:t>Private parties may prepare by: </w:t>
            </w:r>
          </w:p>
          <w:p w:rsidR="008F1A96" w:rsidRPr="0013687B" w:rsidRDefault="008F1A96" w:rsidP="008F1A96">
            <w:r w:rsidRPr="0013687B">
              <w:t>(i) Contracting of snow removal services (</w:t>
            </w:r>
            <w:r w:rsidRPr="0013687B">
              <w:rPr>
                <w:color w:val="38571A"/>
              </w:rPr>
              <w:t>impact mitigation</w:t>
            </w:r>
            <w:r w:rsidRPr="0013687B">
              <w:t>)</w:t>
            </w:r>
          </w:p>
          <w:p w:rsidR="008F1A96" w:rsidRPr="0013687B" w:rsidRDefault="008F1A96" w:rsidP="008F1A96">
            <w:r w:rsidRPr="0013687B">
              <w:t>(ii) Snow damage insurance (</w:t>
            </w:r>
            <w:r w:rsidRPr="0013687B">
              <w:rPr>
                <w:color w:val="38571A"/>
              </w:rPr>
              <w:t>transfer</w:t>
            </w:r>
            <w:r w:rsidRPr="0013687B">
              <w:t>)</w:t>
            </w:r>
          </w:p>
          <w:p w:rsidR="008F1A96" w:rsidRPr="0013687B" w:rsidRDefault="008F1A96" w:rsidP="008F1A96">
            <w:r w:rsidRPr="0013687B">
              <w:t>(iii) Nothing (</w:t>
            </w:r>
            <w:r w:rsidRPr="0013687B">
              <w:rPr>
                <w:color w:val="38571A"/>
              </w:rPr>
              <w:t>acceptance</w:t>
            </w:r>
            <w:r w:rsidRPr="0013687B">
              <w:t>)</w:t>
            </w:r>
          </w:p>
          <w:p w:rsidR="008F1A96" w:rsidRPr="0013687B" w:rsidRDefault="008F1A96" w:rsidP="008F1A96"/>
          <w:p w:rsidR="0081666A" w:rsidRPr="0013687B" w:rsidRDefault="008F1A96" w:rsidP="008F1A96">
            <w:r w:rsidRPr="0013687B">
              <w:t xml:space="preserve">After the storm, response </w:t>
            </w:r>
            <w:r w:rsidRPr="0013687B">
              <w:rPr>
                <w:color w:val="B51A00"/>
              </w:rPr>
              <w:t>Capabilities</w:t>
            </w:r>
            <w:r w:rsidRPr="0013687B">
              <w:t xml:space="preserve"> of MEMA and other state and local emergency responders are determined by available </w:t>
            </w:r>
            <w:r w:rsidRPr="0013687B">
              <w:rPr>
                <w:color w:val="B51A00"/>
              </w:rPr>
              <w:t>Resources</w:t>
            </w:r>
            <w:r w:rsidRPr="0013687B">
              <w:t xml:space="preserve">. In severe cases, the Governor may act as </w:t>
            </w:r>
            <w:r w:rsidRPr="0013687B">
              <w:rPr>
                <w:color w:val="B51A00"/>
              </w:rPr>
              <w:t>Facilitator</w:t>
            </w:r>
            <w:r w:rsidRPr="0013687B">
              <w:t xml:space="preserve"> and issue a State of Emergency declaration (</w:t>
            </w:r>
            <w:r w:rsidRPr="0013687B">
              <w:rPr>
                <w:color w:val="B51A00"/>
              </w:rPr>
              <w:t>Alter Capabilities Act)</w:t>
            </w:r>
            <w:r w:rsidRPr="0013687B">
              <w:t xml:space="preserve"> to improve local and state emergency response </w:t>
            </w:r>
            <w:r w:rsidRPr="0013687B">
              <w:rPr>
                <w:color w:val="B51A00"/>
              </w:rPr>
              <w:t>Capabilities</w:t>
            </w:r>
            <w:r w:rsidRPr="0013687B">
              <w:t>. </w:t>
            </w:r>
          </w:p>
        </w:tc>
      </w:tr>
      <w:tr w:rsidR="0081666A" w:rsidRPr="0013687B" w:rsidTr="0013687B">
        <w:trPr>
          <w:trHeight w:val="115"/>
        </w:trPr>
        <w:tc>
          <w:tcPr>
            <w:tcW w:w="1536" w:type="dxa"/>
            <w:tcBorders>
              <w:top w:val="single" w:sz="4" w:space="0" w:color="auto"/>
              <w:left w:val="single" w:sz="8" w:space="0" w:color="auto"/>
              <w:bottom w:val="single" w:sz="4" w:space="0" w:color="auto"/>
              <w:right w:val="single" w:sz="8" w:space="0" w:color="auto"/>
            </w:tcBorders>
            <w:hideMark/>
          </w:tcPr>
          <w:p w:rsidR="0081666A" w:rsidRPr="0013687B" w:rsidRDefault="0081666A" w:rsidP="0013687B">
            <w:r w:rsidRPr="0013687B">
              <w:t>Business Rules</w:t>
            </w:r>
          </w:p>
        </w:tc>
        <w:tc>
          <w:tcPr>
            <w:tcW w:w="7905" w:type="dxa"/>
            <w:gridSpan w:val="2"/>
            <w:tcBorders>
              <w:top w:val="single" w:sz="4" w:space="0" w:color="auto"/>
              <w:left w:val="nil"/>
              <w:bottom w:val="single" w:sz="4" w:space="0" w:color="auto"/>
              <w:right w:val="single" w:sz="8" w:space="0" w:color="000000"/>
            </w:tcBorders>
          </w:tcPr>
          <w:p w:rsidR="0081666A" w:rsidRPr="0013687B" w:rsidRDefault="0081666A" w:rsidP="0013687B">
            <w:r w:rsidRPr="0013687B">
              <w:t>TBD by stakeholders</w:t>
            </w:r>
          </w:p>
        </w:tc>
      </w:tr>
      <w:tr w:rsidR="0081666A" w:rsidRPr="0013687B" w:rsidTr="0013687B">
        <w:trPr>
          <w:trHeight w:val="115"/>
        </w:trPr>
        <w:tc>
          <w:tcPr>
            <w:tcW w:w="1536" w:type="dxa"/>
            <w:tcBorders>
              <w:top w:val="single" w:sz="4" w:space="0" w:color="auto"/>
              <w:left w:val="single" w:sz="8" w:space="0" w:color="auto"/>
              <w:bottom w:val="single" w:sz="4" w:space="0" w:color="auto"/>
              <w:right w:val="single" w:sz="8" w:space="0" w:color="auto"/>
            </w:tcBorders>
          </w:tcPr>
          <w:p w:rsidR="0081666A" w:rsidRPr="0013687B" w:rsidRDefault="0081666A" w:rsidP="0013687B">
            <w:r w:rsidRPr="0013687B">
              <w:t>Mapping to ESSA’s Enduring Functional Exchanges (EFE)</w:t>
            </w:r>
          </w:p>
        </w:tc>
        <w:tc>
          <w:tcPr>
            <w:tcW w:w="7905" w:type="dxa"/>
            <w:gridSpan w:val="2"/>
            <w:tcBorders>
              <w:top w:val="single" w:sz="4" w:space="0" w:color="auto"/>
              <w:left w:val="nil"/>
              <w:bottom w:val="single" w:sz="4" w:space="0" w:color="auto"/>
              <w:right w:val="single" w:sz="8" w:space="0" w:color="000000"/>
            </w:tcBorders>
          </w:tcPr>
          <w:p w:rsidR="0081666A" w:rsidRPr="0013687B" w:rsidRDefault="0081666A" w:rsidP="0013687B">
            <w:r w:rsidRPr="0013687B">
              <w:t xml:space="preserve">Not Applicable   </w:t>
            </w:r>
          </w:p>
        </w:tc>
      </w:tr>
      <w:tr w:rsidR="0081666A" w:rsidRPr="0013687B" w:rsidTr="0013687B">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81666A" w:rsidRPr="0013687B" w:rsidRDefault="0081666A" w:rsidP="0013687B">
            <w:pPr>
              <w:jc w:val="center"/>
              <w:rPr>
                <w:color w:val="FFFFFF" w:themeColor="background1"/>
              </w:rPr>
            </w:pPr>
            <w:r w:rsidRPr="0013687B">
              <w:rPr>
                <w:color w:val="FFFFFF" w:themeColor="background1"/>
              </w:rPr>
              <w:t>Data Elements</w:t>
            </w:r>
          </w:p>
        </w:tc>
      </w:tr>
      <w:tr w:rsidR="0081666A" w:rsidRPr="0013687B" w:rsidTr="0013687B">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81666A" w:rsidRPr="0013687B" w:rsidRDefault="0081666A" w:rsidP="0013687B">
            <w:pPr>
              <w:jc w:val="center"/>
              <w:rPr>
                <w:color w:val="FFFFFF" w:themeColor="background1"/>
              </w:rPr>
            </w:pPr>
            <w:r w:rsidRPr="0013687B">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81666A" w:rsidRPr="0013687B" w:rsidRDefault="0081666A" w:rsidP="0013687B">
            <w:pPr>
              <w:jc w:val="center"/>
              <w:rPr>
                <w:color w:val="FFFFFF" w:themeColor="background1"/>
              </w:rPr>
            </w:pPr>
            <w:r w:rsidRPr="0013687B">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81666A" w:rsidRPr="0013687B" w:rsidRDefault="0081666A" w:rsidP="0013687B">
            <w:pPr>
              <w:jc w:val="center"/>
              <w:rPr>
                <w:color w:val="FFFFFF" w:themeColor="background1"/>
              </w:rPr>
            </w:pPr>
            <w:r w:rsidRPr="0013687B">
              <w:rPr>
                <w:color w:val="FFFFFF" w:themeColor="background1"/>
              </w:rPr>
              <w:t>Definitions</w:t>
            </w:r>
          </w:p>
        </w:tc>
      </w:tr>
      <w:tr w:rsidR="0081666A" w:rsidRPr="0013687B" w:rsidTr="0013687B">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81666A" w:rsidRPr="0013687B" w:rsidRDefault="0081666A" w:rsidP="0013687B">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81666A" w:rsidRPr="0013687B" w:rsidRDefault="0081666A" w:rsidP="0013687B">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81666A" w:rsidRPr="0013687B" w:rsidRDefault="0081666A" w:rsidP="0013687B">
            <w:pPr>
              <w:jc w:val="center"/>
              <w:rPr>
                <w:color w:val="FFFFFF" w:themeColor="background1"/>
              </w:rPr>
            </w:pPr>
          </w:p>
        </w:tc>
      </w:tr>
      <w:tr w:rsidR="0081666A" w:rsidRPr="0013687B" w:rsidTr="0013687B">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1666A" w:rsidRPr="0013687B" w:rsidRDefault="0081666A" w:rsidP="0013687B">
            <w:r w:rsidRPr="0013687B">
              <w:t xml:space="preserve">Additional Information: </w:t>
            </w:r>
          </w:p>
        </w:tc>
      </w:tr>
    </w:tbl>
    <w:p w:rsidR="0081666A" w:rsidRDefault="0081666A" w:rsidP="0081666A">
      <w:pPr>
        <w:rPr>
          <w:sz w:val="22"/>
          <w:szCs w:val="22"/>
        </w:rPr>
      </w:pPr>
    </w:p>
    <w:p w:rsidR="0081666A" w:rsidRDefault="0081666A" w:rsidP="0081666A">
      <w:pPr>
        <w:rPr>
          <w:sz w:val="22"/>
          <w:szCs w:val="22"/>
        </w:rPr>
      </w:pPr>
      <w:r>
        <w:rPr>
          <w:sz w:val="22"/>
          <w:szCs w:val="22"/>
        </w:rPr>
        <w:br w:type="page"/>
      </w:r>
    </w:p>
    <w:p w:rsidR="00E400F4" w:rsidRDefault="00E400F4">
      <w:pPr>
        <w:rPr>
          <w:sz w:val="22"/>
          <w:szCs w:val="22"/>
        </w:rPr>
      </w:pPr>
    </w:p>
    <w:p w:rsidR="0063410F" w:rsidRDefault="001B04CD" w:rsidP="00C17CD4">
      <w:pPr>
        <w:pStyle w:val="Heading2"/>
      </w:pPr>
      <w:r>
        <w:t>Scenario</w:t>
      </w:r>
      <w:r w:rsidR="0013687B">
        <w:t xml:space="preserve"> Story #5</w:t>
      </w:r>
    </w:p>
    <w:p w:rsidR="00C17CD4" w:rsidRDefault="00C17CD4" w:rsidP="00C17CD4"/>
    <w:p w:rsidR="00C17CD4" w:rsidRPr="001618A3" w:rsidRDefault="0070727D" w:rsidP="0013687B">
      <w:pPr>
        <w:autoSpaceDE w:val="0"/>
        <w:autoSpaceDN w:val="0"/>
        <w:adjustRightInd w:val="0"/>
        <w:rPr>
          <w:color w:val="000000"/>
          <w:sz w:val="22"/>
        </w:rPr>
      </w:pPr>
      <w:r w:rsidRPr="001618A3">
        <w:rPr>
          <w:color w:val="000000"/>
          <w:sz w:val="22"/>
        </w:rPr>
        <w:t>Realtor Compromise: A local realtor’s database of clients and upcoming sales was compromised through a spear phishing attack. On the day of several closings, emails were sent to the realtors representing the buying parties that appeared to coming from the seller’s realtor. These emails stated that the seller would prefer all the proceeds be wired to a specific account inst</w:t>
      </w:r>
      <w:r w:rsidR="001348A9" w:rsidRPr="001618A3">
        <w:rPr>
          <w:color w:val="000000"/>
          <w:sz w:val="22"/>
        </w:rPr>
        <w:t>ead of using a cashier’s check.</w:t>
      </w:r>
      <w:r w:rsidRPr="001618A3">
        <w:rPr>
          <w:color w:val="000000"/>
          <w:sz w:val="22"/>
        </w:rPr>
        <w:t xml:space="preserve"> On several occasions, realtors wired the proceeds and lost several hundred thousand dollars. </w:t>
      </w:r>
    </w:p>
    <w:p w:rsidR="00C17CD4" w:rsidRPr="001348A9" w:rsidRDefault="00C17CD4">
      <w:pPr>
        <w:rPr>
          <w:sz w:val="22"/>
          <w:szCs w:val="22"/>
        </w:rPr>
      </w:pPr>
    </w:p>
    <w:tbl>
      <w:tblPr>
        <w:tblW w:w="9441" w:type="dxa"/>
        <w:tblInd w:w="93" w:type="dxa"/>
        <w:tblLook w:val="04A0" w:firstRow="1" w:lastRow="0" w:firstColumn="1" w:lastColumn="0" w:noHBand="0" w:noVBand="1"/>
      </w:tblPr>
      <w:tblGrid>
        <w:gridCol w:w="1536"/>
        <w:gridCol w:w="3815"/>
        <w:gridCol w:w="4090"/>
      </w:tblGrid>
      <w:tr w:rsidR="0063410F" w:rsidRPr="000C1ECF" w:rsidTr="0063410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3410F" w:rsidRPr="00C2123A" w:rsidRDefault="0063410F" w:rsidP="0063410F">
            <w:pPr>
              <w:jc w:val="center"/>
              <w:rPr>
                <w:color w:val="FFFFFF" w:themeColor="background1"/>
              </w:rPr>
            </w:pPr>
            <w:r w:rsidRPr="00C2123A">
              <w:rPr>
                <w:color w:val="FFFFFF" w:themeColor="background1"/>
              </w:rPr>
              <w:t>Use Case</w:t>
            </w:r>
            <w:r>
              <w:rPr>
                <w:color w:val="FFFFFF" w:themeColor="background1"/>
              </w:rPr>
              <w:t xml:space="preserve"> #</w:t>
            </w:r>
            <w:r w:rsidR="0013687B">
              <w:rPr>
                <w:color w:val="FFFFFF" w:themeColor="background1"/>
              </w:rPr>
              <w:t>5</w:t>
            </w:r>
          </w:p>
        </w:tc>
      </w:tr>
      <w:tr w:rsidR="0063410F" w:rsidRPr="000C1ECF" w:rsidTr="0063410F">
        <w:trPr>
          <w:trHeight w:val="88"/>
        </w:trPr>
        <w:tc>
          <w:tcPr>
            <w:tcW w:w="1536" w:type="dxa"/>
            <w:tcBorders>
              <w:top w:val="single" w:sz="8" w:space="0" w:color="auto"/>
              <w:left w:val="single" w:sz="8" w:space="0" w:color="auto"/>
              <w:bottom w:val="single" w:sz="4" w:space="0" w:color="auto"/>
              <w:right w:val="single" w:sz="8" w:space="0" w:color="auto"/>
            </w:tcBorders>
          </w:tcPr>
          <w:p w:rsidR="0063410F" w:rsidRPr="00C2123A" w:rsidRDefault="0063410F" w:rsidP="0063410F">
            <w:r w:rsidRPr="00C2123A">
              <w:t>Title</w:t>
            </w:r>
          </w:p>
        </w:tc>
        <w:tc>
          <w:tcPr>
            <w:tcW w:w="7905" w:type="dxa"/>
            <w:gridSpan w:val="2"/>
            <w:tcBorders>
              <w:top w:val="single" w:sz="4" w:space="0" w:color="auto"/>
              <w:left w:val="nil"/>
              <w:bottom w:val="single" w:sz="4" w:space="0" w:color="auto"/>
              <w:right w:val="single" w:sz="8" w:space="0" w:color="000000"/>
            </w:tcBorders>
          </w:tcPr>
          <w:p w:rsidR="0063410F" w:rsidRPr="001348A9" w:rsidRDefault="001348A9" w:rsidP="0063410F">
            <w:r w:rsidRPr="001348A9">
              <w:t>Personal Financial Data</w:t>
            </w:r>
            <w:r w:rsidR="0063410F" w:rsidRPr="001348A9">
              <w:t xml:space="preserve"> Compromise</w:t>
            </w:r>
            <w:r>
              <w:t xml:space="preserve"> through Spear Phishing</w:t>
            </w:r>
          </w:p>
        </w:tc>
      </w:tr>
      <w:tr w:rsidR="0063410F" w:rsidRPr="000C1ECF" w:rsidTr="0063410F">
        <w:trPr>
          <w:trHeight w:val="50"/>
        </w:trPr>
        <w:tc>
          <w:tcPr>
            <w:tcW w:w="1536" w:type="dxa"/>
            <w:tcBorders>
              <w:top w:val="single" w:sz="8" w:space="0" w:color="auto"/>
              <w:left w:val="single" w:sz="8" w:space="0" w:color="auto"/>
              <w:bottom w:val="single" w:sz="4" w:space="0" w:color="auto"/>
              <w:right w:val="single" w:sz="8" w:space="0" w:color="auto"/>
            </w:tcBorders>
          </w:tcPr>
          <w:p w:rsidR="0063410F" w:rsidRPr="00C2123A" w:rsidRDefault="0063410F" w:rsidP="0063410F">
            <w:r w:rsidRPr="00C2123A">
              <w:t>Category</w:t>
            </w:r>
          </w:p>
        </w:tc>
        <w:tc>
          <w:tcPr>
            <w:tcW w:w="7905" w:type="dxa"/>
            <w:gridSpan w:val="2"/>
            <w:tcBorders>
              <w:top w:val="single" w:sz="4" w:space="0" w:color="auto"/>
              <w:left w:val="nil"/>
              <w:bottom w:val="single" w:sz="4" w:space="0" w:color="auto"/>
              <w:right w:val="single" w:sz="8" w:space="0" w:color="000000"/>
            </w:tcBorders>
          </w:tcPr>
          <w:p w:rsidR="0063410F" w:rsidRPr="001348A9" w:rsidRDefault="0063410F" w:rsidP="0063410F">
            <w:r w:rsidRPr="001348A9">
              <w:t>Integrated Threat Assessment for Critical Infrastructure</w:t>
            </w:r>
          </w:p>
        </w:tc>
      </w:tr>
      <w:tr w:rsidR="0063410F" w:rsidRPr="000C1ECF" w:rsidTr="0063410F">
        <w:trPr>
          <w:trHeight w:val="50"/>
        </w:trPr>
        <w:tc>
          <w:tcPr>
            <w:tcW w:w="1536" w:type="dxa"/>
            <w:tcBorders>
              <w:top w:val="single" w:sz="8" w:space="0" w:color="auto"/>
              <w:left w:val="single" w:sz="8" w:space="0" w:color="auto"/>
              <w:bottom w:val="single" w:sz="4" w:space="0" w:color="auto"/>
              <w:right w:val="single" w:sz="8" w:space="0" w:color="auto"/>
            </w:tcBorders>
          </w:tcPr>
          <w:p w:rsidR="0063410F" w:rsidRPr="00C2123A" w:rsidRDefault="0063410F" w:rsidP="0063410F">
            <w:r w:rsidRPr="00C2123A">
              <w:t>Domain</w:t>
            </w:r>
          </w:p>
        </w:tc>
        <w:tc>
          <w:tcPr>
            <w:tcW w:w="7905" w:type="dxa"/>
            <w:gridSpan w:val="2"/>
            <w:tcBorders>
              <w:top w:val="single" w:sz="4" w:space="0" w:color="auto"/>
              <w:left w:val="nil"/>
              <w:bottom w:val="single" w:sz="4" w:space="0" w:color="auto"/>
              <w:right w:val="single" w:sz="8" w:space="0" w:color="000000"/>
            </w:tcBorders>
          </w:tcPr>
          <w:p w:rsidR="0063410F" w:rsidRPr="001348A9" w:rsidRDefault="001348A9" w:rsidP="0063410F">
            <w:pPr>
              <w:pStyle w:val="ListParagraph"/>
              <w:numPr>
                <w:ilvl w:val="0"/>
                <w:numId w:val="18"/>
              </w:numPr>
              <w:rPr>
                <w:rFonts w:ascii="Times New Roman" w:hAnsi="Times New Roman"/>
                <w:sz w:val="20"/>
                <w:szCs w:val="20"/>
              </w:rPr>
            </w:pPr>
            <w:r w:rsidRPr="001348A9">
              <w:rPr>
                <w:rFonts w:ascii="Times New Roman" w:hAnsi="Times New Roman"/>
                <w:sz w:val="20"/>
                <w:szCs w:val="20"/>
              </w:rPr>
              <w:t xml:space="preserve">Financial </w:t>
            </w:r>
          </w:p>
          <w:p w:rsidR="0063410F" w:rsidRPr="001348A9" w:rsidRDefault="001348A9" w:rsidP="0063410F">
            <w:pPr>
              <w:pStyle w:val="ListParagraph"/>
              <w:numPr>
                <w:ilvl w:val="0"/>
                <w:numId w:val="18"/>
              </w:numPr>
              <w:rPr>
                <w:rFonts w:ascii="Times New Roman" w:hAnsi="Times New Roman"/>
                <w:sz w:val="20"/>
                <w:szCs w:val="20"/>
              </w:rPr>
            </w:pPr>
            <w:r w:rsidRPr="001348A9">
              <w:rPr>
                <w:rFonts w:ascii="Times New Roman" w:hAnsi="Times New Roman"/>
                <w:sz w:val="20"/>
                <w:szCs w:val="20"/>
              </w:rPr>
              <w:t>Real Estate Sector</w:t>
            </w:r>
          </w:p>
        </w:tc>
      </w:tr>
      <w:tr w:rsidR="0063410F" w:rsidRPr="000C1ECF" w:rsidTr="0063410F">
        <w:trPr>
          <w:trHeight w:val="50"/>
        </w:trPr>
        <w:tc>
          <w:tcPr>
            <w:tcW w:w="1536" w:type="dxa"/>
            <w:tcBorders>
              <w:top w:val="single" w:sz="8" w:space="0" w:color="auto"/>
              <w:left w:val="single" w:sz="8" w:space="0" w:color="auto"/>
              <w:bottom w:val="single" w:sz="4" w:space="0" w:color="auto"/>
              <w:right w:val="single" w:sz="8" w:space="0" w:color="auto"/>
            </w:tcBorders>
          </w:tcPr>
          <w:p w:rsidR="0063410F" w:rsidRPr="00C2123A" w:rsidRDefault="0063410F" w:rsidP="0063410F">
            <w:r w:rsidRPr="00C2123A">
              <w:t xml:space="preserve">Security </w:t>
            </w:r>
            <w:r>
              <w:t>Fabric</w:t>
            </w:r>
          </w:p>
          <w:p w:rsidR="0063410F" w:rsidRPr="00C2123A" w:rsidRDefault="0063410F" w:rsidP="0063410F">
            <w:r w:rsidRPr="00C2123A">
              <w:t>(e.g., U, LES, S, TS)</w:t>
            </w:r>
          </w:p>
        </w:tc>
        <w:tc>
          <w:tcPr>
            <w:tcW w:w="7905" w:type="dxa"/>
            <w:gridSpan w:val="2"/>
            <w:tcBorders>
              <w:top w:val="single" w:sz="4" w:space="0" w:color="auto"/>
              <w:left w:val="nil"/>
              <w:bottom w:val="single" w:sz="4" w:space="0" w:color="auto"/>
              <w:right w:val="single" w:sz="8" w:space="0" w:color="000000"/>
            </w:tcBorders>
          </w:tcPr>
          <w:p w:rsidR="0063410F" w:rsidRPr="001348A9" w:rsidRDefault="001348A9" w:rsidP="0063410F">
            <w:r w:rsidRPr="001348A9">
              <w:t>U</w:t>
            </w:r>
            <w:r>
              <w:t>, LES</w:t>
            </w:r>
          </w:p>
        </w:tc>
      </w:tr>
      <w:tr w:rsidR="0063410F" w:rsidRPr="000C1ECF" w:rsidTr="0063410F">
        <w:trPr>
          <w:trHeight w:val="493"/>
        </w:trPr>
        <w:tc>
          <w:tcPr>
            <w:tcW w:w="1536" w:type="dxa"/>
            <w:tcBorders>
              <w:top w:val="single" w:sz="8" w:space="0" w:color="auto"/>
              <w:left w:val="single" w:sz="8" w:space="0" w:color="auto"/>
              <w:bottom w:val="single" w:sz="4" w:space="0" w:color="auto"/>
              <w:right w:val="single" w:sz="8" w:space="0" w:color="auto"/>
            </w:tcBorders>
            <w:hideMark/>
          </w:tcPr>
          <w:p w:rsidR="0063410F" w:rsidRPr="00C2123A" w:rsidRDefault="0063410F" w:rsidP="0063410F">
            <w:r w:rsidRPr="00C2123A">
              <w:t>Scenario Description</w:t>
            </w:r>
          </w:p>
        </w:tc>
        <w:tc>
          <w:tcPr>
            <w:tcW w:w="7905" w:type="dxa"/>
            <w:gridSpan w:val="2"/>
            <w:tcBorders>
              <w:top w:val="single" w:sz="4" w:space="0" w:color="auto"/>
              <w:left w:val="nil"/>
              <w:bottom w:val="single" w:sz="4" w:space="0" w:color="auto"/>
              <w:right w:val="single" w:sz="8" w:space="0" w:color="000000"/>
            </w:tcBorders>
          </w:tcPr>
          <w:p w:rsidR="0063410F" w:rsidRPr="00C2123A" w:rsidRDefault="0063410F" w:rsidP="001348A9">
            <w:r>
              <w:t xml:space="preserve">Electronic </w:t>
            </w:r>
            <w:r w:rsidR="001348A9">
              <w:t xml:space="preserve">Financial PII </w:t>
            </w:r>
            <w:r>
              <w:t xml:space="preserve">compromised </w:t>
            </w:r>
            <w:r w:rsidR="001348A9">
              <w:t>through spear phishing attack</w:t>
            </w:r>
          </w:p>
        </w:tc>
      </w:tr>
      <w:tr w:rsidR="0063410F" w:rsidRPr="000C1ECF" w:rsidTr="0063410F">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63410F" w:rsidRPr="00C2123A" w:rsidRDefault="0063410F" w:rsidP="0063410F">
            <w:r w:rsidRPr="00C2123A">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1348A9" w:rsidRPr="001348A9" w:rsidRDefault="001348A9" w:rsidP="001348A9">
            <w:pPr>
              <w:pStyle w:val="ListParagraph"/>
              <w:numPr>
                <w:ilvl w:val="0"/>
                <w:numId w:val="19"/>
              </w:numPr>
              <w:rPr>
                <w:rFonts w:ascii="Times New Roman" w:hAnsi="Times New Roman"/>
                <w:sz w:val="20"/>
                <w:szCs w:val="20"/>
              </w:rPr>
            </w:pPr>
            <w:r w:rsidRPr="001348A9">
              <w:rPr>
                <w:rFonts w:ascii="Times New Roman" w:hAnsi="Times New Roman"/>
                <w:sz w:val="20"/>
                <w:szCs w:val="20"/>
              </w:rPr>
              <w:t>C</w:t>
            </w:r>
            <w:r>
              <w:rPr>
                <w:rFonts w:ascii="Times New Roman" w:hAnsi="Times New Roman"/>
                <w:sz w:val="20"/>
                <w:szCs w:val="20"/>
              </w:rPr>
              <w:t>itizen</w:t>
            </w:r>
            <w:r w:rsidRPr="001348A9">
              <w:rPr>
                <w:rFonts w:ascii="Times New Roman" w:hAnsi="Times New Roman"/>
                <w:sz w:val="20"/>
                <w:szCs w:val="20"/>
              </w:rPr>
              <w:t>↔S</w:t>
            </w:r>
            <w:r>
              <w:rPr>
                <w:rFonts w:ascii="Times New Roman" w:hAnsi="Times New Roman"/>
                <w:sz w:val="20"/>
                <w:szCs w:val="20"/>
              </w:rPr>
              <w:t>tate</w:t>
            </w:r>
          </w:p>
          <w:p w:rsidR="001348A9" w:rsidRPr="001348A9" w:rsidRDefault="001348A9" w:rsidP="001348A9">
            <w:pPr>
              <w:pStyle w:val="ListParagraph"/>
              <w:numPr>
                <w:ilvl w:val="0"/>
                <w:numId w:val="19"/>
              </w:numPr>
              <w:rPr>
                <w:rFonts w:ascii="Times New Roman" w:hAnsi="Times New Roman"/>
                <w:sz w:val="20"/>
                <w:szCs w:val="20"/>
              </w:rPr>
            </w:pPr>
            <w:r w:rsidRPr="001348A9">
              <w:rPr>
                <w:rFonts w:ascii="Times New Roman" w:hAnsi="Times New Roman"/>
                <w:sz w:val="20"/>
                <w:szCs w:val="20"/>
              </w:rPr>
              <w:t>P</w:t>
            </w:r>
            <w:r w:rsidR="009179FB">
              <w:rPr>
                <w:rFonts w:ascii="Times New Roman" w:hAnsi="Times New Roman"/>
                <w:sz w:val="20"/>
                <w:szCs w:val="20"/>
              </w:rPr>
              <w:t>rivate</w:t>
            </w:r>
            <w:r w:rsidRPr="001348A9">
              <w:rPr>
                <w:rFonts w:ascii="Times New Roman" w:hAnsi="Times New Roman"/>
                <w:sz w:val="20"/>
                <w:szCs w:val="20"/>
              </w:rPr>
              <w:t>↔S</w:t>
            </w:r>
            <w:r>
              <w:rPr>
                <w:rFonts w:ascii="Times New Roman" w:hAnsi="Times New Roman"/>
                <w:sz w:val="20"/>
                <w:szCs w:val="20"/>
              </w:rPr>
              <w:t>tate</w:t>
            </w:r>
          </w:p>
          <w:p w:rsidR="001348A9" w:rsidRPr="001348A9" w:rsidRDefault="001348A9" w:rsidP="001348A9">
            <w:pPr>
              <w:pStyle w:val="ListParagraph"/>
              <w:numPr>
                <w:ilvl w:val="0"/>
                <w:numId w:val="19"/>
              </w:numPr>
              <w:rPr>
                <w:rFonts w:ascii="Times New Roman" w:hAnsi="Times New Roman"/>
                <w:sz w:val="20"/>
                <w:szCs w:val="20"/>
              </w:rPr>
            </w:pPr>
            <w:r w:rsidRPr="001348A9">
              <w:rPr>
                <w:rFonts w:ascii="Times New Roman" w:hAnsi="Times New Roman"/>
                <w:sz w:val="20"/>
                <w:szCs w:val="20"/>
              </w:rPr>
              <w:t>S</w:t>
            </w:r>
            <w:r w:rsidR="009179FB">
              <w:rPr>
                <w:rFonts w:ascii="Times New Roman" w:hAnsi="Times New Roman"/>
                <w:sz w:val="20"/>
                <w:szCs w:val="20"/>
              </w:rPr>
              <w:t>tate</w:t>
            </w:r>
            <w:r w:rsidRPr="001348A9">
              <w:rPr>
                <w:rFonts w:ascii="Times New Roman" w:hAnsi="Times New Roman"/>
                <w:sz w:val="20"/>
                <w:szCs w:val="20"/>
              </w:rPr>
              <w:t>↔F</w:t>
            </w:r>
            <w:r w:rsidR="009179FB">
              <w:rPr>
                <w:rFonts w:ascii="Times New Roman" w:hAnsi="Times New Roman"/>
                <w:sz w:val="20"/>
                <w:szCs w:val="20"/>
              </w:rPr>
              <w:t>ederal</w:t>
            </w:r>
          </w:p>
          <w:p w:rsidR="001348A9" w:rsidRPr="001348A9" w:rsidRDefault="001348A9" w:rsidP="001348A9">
            <w:pPr>
              <w:pStyle w:val="ListParagraph"/>
              <w:numPr>
                <w:ilvl w:val="0"/>
                <w:numId w:val="19"/>
              </w:numPr>
              <w:rPr>
                <w:rFonts w:ascii="Times New Roman" w:hAnsi="Times New Roman"/>
                <w:sz w:val="20"/>
                <w:szCs w:val="20"/>
              </w:rPr>
            </w:pPr>
            <w:r w:rsidRPr="001348A9">
              <w:rPr>
                <w:rFonts w:ascii="Times New Roman" w:hAnsi="Times New Roman"/>
                <w:sz w:val="20"/>
                <w:szCs w:val="20"/>
              </w:rPr>
              <w:t>F</w:t>
            </w:r>
            <w:r w:rsidR="009179FB">
              <w:rPr>
                <w:rFonts w:ascii="Times New Roman" w:hAnsi="Times New Roman"/>
                <w:sz w:val="20"/>
                <w:szCs w:val="20"/>
              </w:rPr>
              <w:t>ederal</w:t>
            </w:r>
            <w:r w:rsidRPr="001348A9">
              <w:rPr>
                <w:rFonts w:ascii="Times New Roman" w:hAnsi="Times New Roman"/>
                <w:sz w:val="20"/>
                <w:szCs w:val="20"/>
              </w:rPr>
              <w:t>↔P</w:t>
            </w:r>
            <w:r w:rsidR="009179FB">
              <w:rPr>
                <w:rFonts w:ascii="Times New Roman" w:hAnsi="Times New Roman"/>
                <w:sz w:val="20"/>
                <w:szCs w:val="20"/>
              </w:rPr>
              <w:t>rivate</w:t>
            </w:r>
          </w:p>
          <w:p w:rsidR="0063410F" w:rsidRPr="000C1ECF" w:rsidRDefault="001348A9" w:rsidP="001348A9">
            <w:pPr>
              <w:pStyle w:val="ListParagraph"/>
              <w:numPr>
                <w:ilvl w:val="0"/>
                <w:numId w:val="19"/>
              </w:numPr>
            </w:pPr>
            <w:r w:rsidRPr="001348A9">
              <w:rPr>
                <w:rFonts w:ascii="Times New Roman" w:hAnsi="Times New Roman"/>
                <w:sz w:val="20"/>
                <w:szCs w:val="20"/>
              </w:rPr>
              <w:t>S</w:t>
            </w:r>
            <w:r w:rsidR="009179FB">
              <w:rPr>
                <w:rFonts w:ascii="Times New Roman" w:hAnsi="Times New Roman"/>
                <w:sz w:val="20"/>
                <w:szCs w:val="20"/>
              </w:rPr>
              <w:t>tate</w:t>
            </w:r>
            <w:r w:rsidRPr="001348A9">
              <w:rPr>
                <w:rFonts w:ascii="Times New Roman" w:hAnsi="Times New Roman"/>
                <w:sz w:val="20"/>
                <w:szCs w:val="20"/>
              </w:rPr>
              <w:t>↔C</w:t>
            </w:r>
            <w:r w:rsidR="009179FB">
              <w:rPr>
                <w:rFonts w:ascii="Times New Roman" w:hAnsi="Times New Roman"/>
                <w:sz w:val="20"/>
                <w:szCs w:val="20"/>
              </w:rPr>
              <w:t>itizen</w:t>
            </w:r>
          </w:p>
        </w:tc>
      </w:tr>
      <w:tr w:rsidR="0063410F" w:rsidRPr="000C1ECF" w:rsidTr="0063410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3410F" w:rsidRPr="00C2123A" w:rsidRDefault="0063410F" w:rsidP="0063410F">
            <w:pPr>
              <w:jc w:val="center"/>
              <w:rPr>
                <w:color w:val="FFFFFF" w:themeColor="background1"/>
              </w:rPr>
            </w:pPr>
            <w:r w:rsidRPr="00C2123A">
              <w:rPr>
                <w:color w:val="FFFFFF" w:themeColor="background1"/>
              </w:rPr>
              <w:t>Key Stakeholders</w:t>
            </w:r>
          </w:p>
        </w:tc>
      </w:tr>
      <w:tr w:rsidR="0063410F" w:rsidRPr="000C1ECF" w:rsidTr="0063410F">
        <w:trPr>
          <w:trHeight w:val="350"/>
        </w:trPr>
        <w:tc>
          <w:tcPr>
            <w:tcW w:w="1536" w:type="dxa"/>
            <w:tcBorders>
              <w:top w:val="single" w:sz="4" w:space="0" w:color="auto"/>
              <w:left w:val="single" w:sz="8" w:space="0" w:color="auto"/>
              <w:bottom w:val="single" w:sz="4" w:space="0" w:color="auto"/>
              <w:right w:val="single" w:sz="8" w:space="0" w:color="auto"/>
            </w:tcBorders>
          </w:tcPr>
          <w:p w:rsidR="0063410F" w:rsidRPr="000C1ECF" w:rsidRDefault="0063410F" w:rsidP="0063410F">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3410F" w:rsidRPr="001348A9" w:rsidRDefault="001348A9" w:rsidP="0063410F">
            <w:r w:rsidRPr="001348A9">
              <w:t>ISAC, ISAO, NNFC, FBI, DHS</w:t>
            </w:r>
          </w:p>
        </w:tc>
      </w:tr>
      <w:tr w:rsidR="0063410F" w:rsidRPr="000C1ECF" w:rsidTr="0063410F">
        <w:trPr>
          <w:trHeight w:val="350"/>
        </w:trPr>
        <w:tc>
          <w:tcPr>
            <w:tcW w:w="1536" w:type="dxa"/>
            <w:tcBorders>
              <w:top w:val="single" w:sz="4" w:space="0" w:color="auto"/>
              <w:left w:val="single" w:sz="8" w:space="0" w:color="auto"/>
              <w:bottom w:val="single" w:sz="4" w:space="0" w:color="auto"/>
              <w:right w:val="single" w:sz="8" w:space="0" w:color="auto"/>
            </w:tcBorders>
          </w:tcPr>
          <w:p w:rsidR="0063410F" w:rsidRPr="00C2123A" w:rsidRDefault="0063410F" w:rsidP="0063410F">
            <w:r w:rsidRPr="00C2123A">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3410F" w:rsidRPr="001348A9" w:rsidRDefault="001348A9" w:rsidP="0063410F">
            <w:r w:rsidRPr="001348A9">
              <w:t>ISAC, ISAO, DHS, FBI</w:t>
            </w:r>
          </w:p>
        </w:tc>
      </w:tr>
      <w:tr w:rsidR="0063410F" w:rsidRPr="000C1ECF" w:rsidTr="0063410F">
        <w:trPr>
          <w:trHeight w:val="350"/>
        </w:trPr>
        <w:tc>
          <w:tcPr>
            <w:tcW w:w="1536" w:type="dxa"/>
            <w:tcBorders>
              <w:top w:val="single" w:sz="4" w:space="0" w:color="auto"/>
              <w:left w:val="single" w:sz="8" w:space="0" w:color="auto"/>
              <w:bottom w:val="single" w:sz="4" w:space="0" w:color="auto"/>
              <w:right w:val="single" w:sz="8" w:space="0" w:color="auto"/>
            </w:tcBorders>
          </w:tcPr>
          <w:p w:rsidR="0063410F" w:rsidRPr="00C2123A" w:rsidRDefault="0063410F" w:rsidP="0063410F">
            <w:r w:rsidRPr="00C2123A">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3410F" w:rsidRPr="001348A9" w:rsidRDefault="001348A9" w:rsidP="0063410F">
            <w:r w:rsidRPr="001348A9">
              <w:t>ISAC, ISAO, NNFC, FBI, DHS</w:t>
            </w:r>
          </w:p>
        </w:tc>
      </w:tr>
      <w:tr w:rsidR="0063410F" w:rsidRPr="000C1ECF" w:rsidTr="0063410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3410F" w:rsidRPr="00C2123A" w:rsidRDefault="0063410F" w:rsidP="0063410F">
            <w:pPr>
              <w:jc w:val="center"/>
              <w:rPr>
                <w:color w:val="FFFFFF" w:themeColor="background1"/>
              </w:rPr>
            </w:pPr>
            <w:r>
              <w:rPr>
                <w:color w:val="FFFFFF" w:themeColor="background1"/>
              </w:rPr>
              <w:t>Scenario</w:t>
            </w:r>
            <w:r w:rsidRPr="00C2123A">
              <w:rPr>
                <w:color w:val="FFFFFF" w:themeColor="background1"/>
              </w:rPr>
              <w:t xml:space="preserve"> Details</w:t>
            </w:r>
          </w:p>
        </w:tc>
      </w:tr>
      <w:tr w:rsidR="0063410F" w:rsidRPr="000C1ECF" w:rsidTr="0013687B">
        <w:trPr>
          <w:trHeight w:val="341"/>
        </w:trPr>
        <w:tc>
          <w:tcPr>
            <w:tcW w:w="1536" w:type="dxa"/>
            <w:tcBorders>
              <w:top w:val="single" w:sz="4" w:space="0" w:color="auto"/>
              <w:left w:val="single" w:sz="8" w:space="0" w:color="auto"/>
              <w:bottom w:val="single" w:sz="4" w:space="0" w:color="auto"/>
              <w:right w:val="single" w:sz="8" w:space="0" w:color="auto"/>
            </w:tcBorders>
            <w:hideMark/>
          </w:tcPr>
          <w:p w:rsidR="0063410F" w:rsidRPr="00C2123A" w:rsidRDefault="0063410F" w:rsidP="0063410F">
            <w:r w:rsidRPr="00C2123A">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63410F" w:rsidRPr="000C1ECF" w:rsidRDefault="0013687B" w:rsidP="0013687B">
            <w:r>
              <w:t xml:space="preserve">Information Transformation of </w:t>
            </w:r>
            <w:r w:rsidR="001348A9">
              <w:t>STIX</w:t>
            </w:r>
            <w:r>
              <w:t xml:space="preserve"> to NIEM</w:t>
            </w:r>
          </w:p>
        </w:tc>
      </w:tr>
      <w:tr w:rsidR="0063410F" w:rsidRPr="000C1ECF" w:rsidTr="0063410F">
        <w:trPr>
          <w:trHeight w:val="530"/>
        </w:trPr>
        <w:tc>
          <w:tcPr>
            <w:tcW w:w="1536" w:type="dxa"/>
            <w:tcBorders>
              <w:top w:val="single" w:sz="4" w:space="0" w:color="auto"/>
              <w:left w:val="single" w:sz="8" w:space="0" w:color="auto"/>
              <w:bottom w:val="single" w:sz="8" w:space="0" w:color="auto"/>
              <w:right w:val="single" w:sz="8" w:space="0" w:color="auto"/>
            </w:tcBorders>
            <w:hideMark/>
          </w:tcPr>
          <w:p w:rsidR="0063410F" w:rsidRPr="00C2123A" w:rsidRDefault="0063410F" w:rsidP="0063410F">
            <w:r w:rsidRPr="00C2123A">
              <w:t>Exchange Scenario</w:t>
            </w:r>
          </w:p>
        </w:tc>
        <w:tc>
          <w:tcPr>
            <w:tcW w:w="7905" w:type="dxa"/>
            <w:gridSpan w:val="2"/>
            <w:tcBorders>
              <w:top w:val="single" w:sz="4" w:space="0" w:color="auto"/>
              <w:left w:val="nil"/>
              <w:bottom w:val="single" w:sz="8" w:space="0" w:color="000000"/>
              <w:right w:val="single" w:sz="8" w:space="0" w:color="000000"/>
            </w:tcBorders>
          </w:tcPr>
          <w:p w:rsidR="0063410F" w:rsidRPr="00D67C6C" w:rsidRDefault="001348A9" w:rsidP="0063410F">
            <w:r w:rsidRPr="001348A9">
              <w:t>On the day of several closings, emails were sent to the realtors representing the buying parties that appeared to coming from the seller’s realtor. These emails stated that the seller would prefer all the proceeds be wired to a specific account instead of using a cashier’s check. On several occasions, realtors wired the proceeds and lost several hundred thousand dollars.</w:t>
            </w:r>
          </w:p>
        </w:tc>
      </w:tr>
      <w:tr w:rsidR="0063410F" w:rsidRPr="000C1ECF" w:rsidTr="0063410F">
        <w:trPr>
          <w:trHeight w:val="115"/>
        </w:trPr>
        <w:tc>
          <w:tcPr>
            <w:tcW w:w="1536" w:type="dxa"/>
            <w:tcBorders>
              <w:top w:val="single" w:sz="4" w:space="0" w:color="auto"/>
              <w:left w:val="single" w:sz="8" w:space="0" w:color="auto"/>
              <w:bottom w:val="single" w:sz="4" w:space="0" w:color="auto"/>
              <w:right w:val="single" w:sz="8" w:space="0" w:color="auto"/>
            </w:tcBorders>
            <w:hideMark/>
          </w:tcPr>
          <w:p w:rsidR="0063410F" w:rsidRPr="00C2123A" w:rsidRDefault="0063410F" w:rsidP="0063410F">
            <w:r w:rsidRPr="00C2123A">
              <w:t>Business Rules</w:t>
            </w:r>
          </w:p>
        </w:tc>
        <w:tc>
          <w:tcPr>
            <w:tcW w:w="7905" w:type="dxa"/>
            <w:gridSpan w:val="2"/>
            <w:tcBorders>
              <w:top w:val="single" w:sz="4" w:space="0" w:color="auto"/>
              <w:left w:val="nil"/>
              <w:bottom w:val="single" w:sz="4" w:space="0" w:color="auto"/>
              <w:right w:val="single" w:sz="8" w:space="0" w:color="000000"/>
            </w:tcBorders>
          </w:tcPr>
          <w:p w:rsidR="0063410F" w:rsidRPr="000C1ECF" w:rsidRDefault="001348A9" w:rsidP="0063410F">
            <w:r>
              <w:t>TBD by stakeholders</w:t>
            </w:r>
          </w:p>
        </w:tc>
      </w:tr>
      <w:tr w:rsidR="0063410F" w:rsidRPr="000C1ECF" w:rsidTr="0063410F">
        <w:trPr>
          <w:trHeight w:val="115"/>
        </w:trPr>
        <w:tc>
          <w:tcPr>
            <w:tcW w:w="1536" w:type="dxa"/>
            <w:tcBorders>
              <w:top w:val="single" w:sz="4" w:space="0" w:color="auto"/>
              <w:left w:val="single" w:sz="8" w:space="0" w:color="auto"/>
              <w:bottom w:val="single" w:sz="4" w:space="0" w:color="auto"/>
              <w:right w:val="single" w:sz="8" w:space="0" w:color="auto"/>
            </w:tcBorders>
          </w:tcPr>
          <w:p w:rsidR="0063410F" w:rsidRPr="000C1ECF" w:rsidRDefault="0063410F" w:rsidP="0063410F">
            <w:r>
              <w:t>Mapping to ESSA’s Enduring Functional Exchanges</w:t>
            </w:r>
            <w:r w:rsidR="00AA4498">
              <w:t xml:space="preserve"> (EFE)</w:t>
            </w:r>
          </w:p>
        </w:tc>
        <w:tc>
          <w:tcPr>
            <w:tcW w:w="7905" w:type="dxa"/>
            <w:gridSpan w:val="2"/>
            <w:tcBorders>
              <w:top w:val="single" w:sz="4" w:space="0" w:color="auto"/>
              <w:left w:val="nil"/>
              <w:bottom w:val="single" w:sz="4" w:space="0" w:color="auto"/>
              <w:right w:val="single" w:sz="8" w:space="0" w:color="000000"/>
            </w:tcBorders>
          </w:tcPr>
          <w:p w:rsidR="0063410F" w:rsidRPr="000C1ECF" w:rsidRDefault="001348A9" w:rsidP="001348A9">
            <w:r w:rsidRPr="001348A9">
              <w:t>(</w:t>
            </w:r>
            <w:r w:rsidR="0063410F" w:rsidRPr="001348A9">
              <w:t xml:space="preserve">1) Configuration/Anomaly Reporting; (2) Knowledge of Threat Actors; (3) Incident Awareness; (4) Indicators and Warnings; (5) Vulnerability Knowledge; (6) Mitigation Strategies; (7) Mitigation Actions &amp; Responses </w:t>
            </w:r>
          </w:p>
        </w:tc>
      </w:tr>
      <w:tr w:rsidR="0063410F" w:rsidRPr="000C1ECF" w:rsidTr="0063410F">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63410F" w:rsidRPr="00C2123A" w:rsidRDefault="0063410F" w:rsidP="0063410F">
            <w:pPr>
              <w:jc w:val="center"/>
              <w:rPr>
                <w:color w:val="FFFFFF" w:themeColor="background1"/>
              </w:rPr>
            </w:pPr>
            <w:r w:rsidRPr="00C2123A">
              <w:rPr>
                <w:color w:val="FFFFFF" w:themeColor="background1"/>
              </w:rPr>
              <w:t>Data Elements</w:t>
            </w:r>
          </w:p>
        </w:tc>
      </w:tr>
      <w:tr w:rsidR="0063410F" w:rsidRPr="000C1ECF" w:rsidTr="0063410F">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63410F" w:rsidRPr="00C2123A" w:rsidRDefault="0063410F" w:rsidP="0063410F">
            <w:pPr>
              <w:jc w:val="center"/>
              <w:rPr>
                <w:color w:val="FFFFFF" w:themeColor="background1"/>
              </w:rPr>
            </w:pPr>
            <w:r w:rsidRPr="00C2123A">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63410F" w:rsidRPr="00C2123A" w:rsidRDefault="0063410F" w:rsidP="0063410F">
            <w:pPr>
              <w:jc w:val="center"/>
              <w:rPr>
                <w:color w:val="FFFFFF" w:themeColor="background1"/>
              </w:rPr>
            </w:pPr>
            <w:r w:rsidRPr="00C2123A">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63410F" w:rsidRPr="00C2123A" w:rsidRDefault="0063410F" w:rsidP="0063410F">
            <w:pPr>
              <w:jc w:val="center"/>
              <w:rPr>
                <w:color w:val="FFFFFF" w:themeColor="background1"/>
              </w:rPr>
            </w:pPr>
            <w:r w:rsidRPr="00C2123A">
              <w:rPr>
                <w:color w:val="FFFFFF" w:themeColor="background1"/>
              </w:rPr>
              <w:t>Definitions</w:t>
            </w:r>
          </w:p>
        </w:tc>
      </w:tr>
      <w:tr w:rsidR="0063410F" w:rsidRPr="000C1ECF" w:rsidTr="0063410F">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63410F" w:rsidRPr="00C2123A" w:rsidRDefault="0063410F" w:rsidP="0063410F">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63410F" w:rsidRPr="00C2123A" w:rsidRDefault="0063410F" w:rsidP="0063410F">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63410F" w:rsidRPr="00C2123A" w:rsidRDefault="0063410F" w:rsidP="0063410F">
            <w:pPr>
              <w:jc w:val="center"/>
              <w:rPr>
                <w:color w:val="FFFFFF" w:themeColor="background1"/>
              </w:rPr>
            </w:pPr>
          </w:p>
        </w:tc>
      </w:tr>
      <w:tr w:rsidR="0063410F" w:rsidRPr="000C1ECF" w:rsidTr="0063410F">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3410F" w:rsidRPr="000C1ECF" w:rsidRDefault="0063410F" w:rsidP="0063410F">
            <w:r>
              <w:t xml:space="preserve">Additional Information: </w:t>
            </w:r>
          </w:p>
        </w:tc>
      </w:tr>
    </w:tbl>
    <w:p w:rsidR="00E400F4" w:rsidRDefault="00E400F4">
      <w:pPr>
        <w:rPr>
          <w:sz w:val="22"/>
          <w:szCs w:val="22"/>
        </w:rPr>
      </w:pPr>
      <w:r>
        <w:rPr>
          <w:sz w:val="22"/>
          <w:szCs w:val="22"/>
        </w:rPr>
        <w:br w:type="page"/>
      </w:r>
    </w:p>
    <w:p w:rsidR="002F3BF9" w:rsidRDefault="001B04CD" w:rsidP="00C17CD4">
      <w:pPr>
        <w:pStyle w:val="Heading2"/>
      </w:pPr>
      <w:r>
        <w:t>Scenario</w:t>
      </w:r>
      <w:r w:rsidR="0013687B">
        <w:t xml:space="preserve"> Story #5</w:t>
      </w:r>
    </w:p>
    <w:p w:rsidR="00C17CD4" w:rsidRPr="00C17CD4" w:rsidRDefault="00C17CD4" w:rsidP="00C17CD4"/>
    <w:p w:rsidR="00C17CD4" w:rsidRPr="00C17CD4" w:rsidRDefault="00C17CD4" w:rsidP="00C17CD4">
      <w:pPr>
        <w:rPr>
          <w:sz w:val="22"/>
        </w:rPr>
      </w:pPr>
      <w:r w:rsidRPr="00C17CD4">
        <w:rPr>
          <w:sz w:val="22"/>
          <w:highlight w:val="yellow"/>
        </w:rPr>
        <w:t>Narrative</w:t>
      </w:r>
    </w:p>
    <w:p w:rsidR="00C17CD4" w:rsidRDefault="00C17CD4">
      <w:pPr>
        <w:rPr>
          <w:sz w:val="22"/>
          <w:szCs w:val="22"/>
        </w:rPr>
      </w:pPr>
    </w:p>
    <w:p w:rsidR="00C17CD4" w:rsidRDefault="00C17CD4">
      <w:pPr>
        <w:rPr>
          <w:sz w:val="22"/>
          <w:szCs w:val="22"/>
        </w:rPr>
      </w:pPr>
    </w:p>
    <w:tbl>
      <w:tblPr>
        <w:tblW w:w="9441" w:type="dxa"/>
        <w:tblInd w:w="93" w:type="dxa"/>
        <w:tblLook w:val="04A0" w:firstRow="1" w:lastRow="0" w:firstColumn="1" w:lastColumn="0" w:noHBand="0" w:noVBand="1"/>
      </w:tblPr>
      <w:tblGrid>
        <w:gridCol w:w="1536"/>
        <w:gridCol w:w="3815"/>
        <w:gridCol w:w="4090"/>
      </w:tblGrid>
      <w:tr w:rsidR="002F3BF9" w:rsidRPr="000C1ECF" w:rsidTr="00322831">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2F3BF9" w:rsidRPr="00C2123A" w:rsidRDefault="002F3BF9" w:rsidP="00322831">
            <w:pPr>
              <w:jc w:val="center"/>
              <w:rPr>
                <w:color w:val="FFFFFF" w:themeColor="background1"/>
              </w:rPr>
            </w:pPr>
            <w:r w:rsidRPr="00C2123A">
              <w:rPr>
                <w:color w:val="FFFFFF" w:themeColor="background1"/>
              </w:rPr>
              <w:t>Use Case</w:t>
            </w:r>
            <w:r>
              <w:rPr>
                <w:color w:val="FFFFFF" w:themeColor="background1"/>
              </w:rPr>
              <w:t xml:space="preserve"> #</w:t>
            </w:r>
            <w:r w:rsidR="0013687B">
              <w:rPr>
                <w:color w:val="FFFFFF" w:themeColor="background1"/>
              </w:rPr>
              <w:t>5</w:t>
            </w:r>
          </w:p>
        </w:tc>
      </w:tr>
      <w:tr w:rsidR="002F3BF9" w:rsidRPr="000C1ECF" w:rsidTr="00322831">
        <w:trPr>
          <w:trHeight w:val="88"/>
        </w:trPr>
        <w:tc>
          <w:tcPr>
            <w:tcW w:w="1536" w:type="dxa"/>
            <w:tcBorders>
              <w:top w:val="single" w:sz="8" w:space="0" w:color="auto"/>
              <w:left w:val="single" w:sz="8" w:space="0" w:color="auto"/>
              <w:bottom w:val="single" w:sz="4" w:space="0" w:color="auto"/>
              <w:right w:val="single" w:sz="8" w:space="0" w:color="auto"/>
            </w:tcBorders>
          </w:tcPr>
          <w:p w:rsidR="002F3BF9" w:rsidRPr="00C2123A" w:rsidRDefault="002F3BF9" w:rsidP="00322831">
            <w:r w:rsidRPr="00C2123A">
              <w:t>Title</w:t>
            </w:r>
          </w:p>
        </w:tc>
        <w:tc>
          <w:tcPr>
            <w:tcW w:w="7905" w:type="dxa"/>
            <w:gridSpan w:val="2"/>
            <w:tcBorders>
              <w:top w:val="single" w:sz="4" w:space="0" w:color="auto"/>
              <w:left w:val="nil"/>
              <w:bottom w:val="single" w:sz="4" w:space="0" w:color="auto"/>
              <w:right w:val="single" w:sz="8" w:space="0" w:color="000000"/>
            </w:tcBorders>
          </w:tcPr>
          <w:p w:rsidR="002F3BF9" w:rsidRPr="00C2123A" w:rsidRDefault="002F3BF9" w:rsidP="00322831">
            <w:r>
              <w:rPr>
                <w:color w:val="FF0000"/>
              </w:rPr>
              <w:t>I</w:t>
            </w:r>
            <w:r w:rsidR="00FD5655">
              <w:rPr>
                <w:color w:val="FF0000"/>
              </w:rPr>
              <w:t xml:space="preserve">ntellectual </w:t>
            </w:r>
            <w:r>
              <w:rPr>
                <w:color w:val="FF0000"/>
              </w:rPr>
              <w:t>P</w:t>
            </w:r>
            <w:r w:rsidR="00FD5655">
              <w:rPr>
                <w:color w:val="FF0000"/>
              </w:rPr>
              <w:t>roperty</w:t>
            </w:r>
            <w:r>
              <w:rPr>
                <w:color w:val="FF0000"/>
              </w:rPr>
              <w:t xml:space="preserve"> and Foreign Policy Crisis</w:t>
            </w:r>
          </w:p>
        </w:tc>
      </w:tr>
      <w:tr w:rsidR="002F3BF9" w:rsidRPr="000C1ECF" w:rsidTr="00322831">
        <w:trPr>
          <w:trHeight w:val="50"/>
        </w:trPr>
        <w:tc>
          <w:tcPr>
            <w:tcW w:w="1536" w:type="dxa"/>
            <w:tcBorders>
              <w:top w:val="single" w:sz="8" w:space="0" w:color="auto"/>
              <w:left w:val="single" w:sz="8" w:space="0" w:color="auto"/>
              <w:bottom w:val="single" w:sz="4" w:space="0" w:color="auto"/>
              <w:right w:val="single" w:sz="8" w:space="0" w:color="auto"/>
            </w:tcBorders>
          </w:tcPr>
          <w:p w:rsidR="002F3BF9" w:rsidRPr="00C2123A" w:rsidRDefault="002F3BF9" w:rsidP="00322831">
            <w:r w:rsidRPr="00C2123A">
              <w:t>Category</w:t>
            </w:r>
          </w:p>
        </w:tc>
        <w:tc>
          <w:tcPr>
            <w:tcW w:w="7905" w:type="dxa"/>
            <w:gridSpan w:val="2"/>
            <w:tcBorders>
              <w:top w:val="single" w:sz="4" w:space="0" w:color="auto"/>
              <w:left w:val="nil"/>
              <w:bottom w:val="single" w:sz="4" w:space="0" w:color="auto"/>
              <w:right w:val="single" w:sz="8" w:space="0" w:color="000000"/>
            </w:tcBorders>
          </w:tcPr>
          <w:p w:rsidR="002F3BF9" w:rsidRPr="000C1ECF" w:rsidRDefault="002F3BF9" w:rsidP="00322831">
            <w:r w:rsidRPr="000C1ECF">
              <w:t>Integrated Threat Assessment for Critical Infrastructure</w:t>
            </w:r>
          </w:p>
        </w:tc>
      </w:tr>
      <w:tr w:rsidR="002F3BF9" w:rsidRPr="000C1ECF" w:rsidTr="00322831">
        <w:trPr>
          <w:trHeight w:val="50"/>
        </w:trPr>
        <w:tc>
          <w:tcPr>
            <w:tcW w:w="1536" w:type="dxa"/>
            <w:tcBorders>
              <w:top w:val="single" w:sz="8" w:space="0" w:color="auto"/>
              <w:left w:val="single" w:sz="8" w:space="0" w:color="auto"/>
              <w:bottom w:val="single" w:sz="4" w:space="0" w:color="auto"/>
              <w:right w:val="single" w:sz="8" w:space="0" w:color="auto"/>
            </w:tcBorders>
          </w:tcPr>
          <w:p w:rsidR="002F3BF9" w:rsidRPr="00C2123A" w:rsidRDefault="002F3BF9" w:rsidP="00322831">
            <w:r w:rsidRPr="00C2123A">
              <w:t>Domain</w:t>
            </w:r>
          </w:p>
        </w:tc>
        <w:tc>
          <w:tcPr>
            <w:tcW w:w="7905" w:type="dxa"/>
            <w:gridSpan w:val="2"/>
            <w:tcBorders>
              <w:top w:val="single" w:sz="4" w:space="0" w:color="auto"/>
              <w:left w:val="nil"/>
              <w:bottom w:val="single" w:sz="4" w:space="0" w:color="auto"/>
              <w:right w:val="single" w:sz="8" w:space="0" w:color="000000"/>
            </w:tcBorders>
          </w:tcPr>
          <w:p w:rsidR="002F3BF9" w:rsidRDefault="002F3BF9" w:rsidP="002F3BF9">
            <w:pPr>
              <w:pStyle w:val="ListParagraph"/>
              <w:numPr>
                <w:ilvl w:val="0"/>
                <w:numId w:val="18"/>
              </w:numPr>
              <w:rPr>
                <w:rFonts w:ascii="Times New Roman" w:hAnsi="Times New Roman"/>
                <w:sz w:val="20"/>
                <w:szCs w:val="20"/>
              </w:rPr>
            </w:pPr>
            <w:r>
              <w:rPr>
                <w:rFonts w:ascii="Times New Roman" w:hAnsi="Times New Roman"/>
                <w:sz w:val="20"/>
                <w:szCs w:val="20"/>
              </w:rPr>
              <w:t>Retail</w:t>
            </w:r>
          </w:p>
          <w:p w:rsidR="002F3BF9" w:rsidRPr="00C2123A" w:rsidRDefault="002F3BF9" w:rsidP="002F3BF9">
            <w:pPr>
              <w:pStyle w:val="ListParagraph"/>
              <w:numPr>
                <w:ilvl w:val="0"/>
                <w:numId w:val="18"/>
              </w:numPr>
              <w:rPr>
                <w:rFonts w:ascii="Times New Roman" w:hAnsi="Times New Roman"/>
                <w:sz w:val="20"/>
                <w:szCs w:val="20"/>
              </w:rPr>
            </w:pPr>
            <w:r>
              <w:rPr>
                <w:rFonts w:ascii="Times New Roman" w:hAnsi="Times New Roman"/>
                <w:sz w:val="20"/>
                <w:szCs w:val="20"/>
              </w:rPr>
              <w:t>Financial (Public and Private Sector Networks)</w:t>
            </w:r>
          </w:p>
        </w:tc>
      </w:tr>
      <w:tr w:rsidR="002F3BF9" w:rsidRPr="000C1ECF" w:rsidTr="00322831">
        <w:trPr>
          <w:trHeight w:val="50"/>
        </w:trPr>
        <w:tc>
          <w:tcPr>
            <w:tcW w:w="1536" w:type="dxa"/>
            <w:tcBorders>
              <w:top w:val="single" w:sz="8" w:space="0" w:color="auto"/>
              <w:left w:val="single" w:sz="8" w:space="0" w:color="auto"/>
              <w:bottom w:val="single" w:sz="4" w:space="0" w:color="auto"/>
              <w:right w:val="single" w:sz="8" w:space="0" w:color="auto"/>
            </w:tcBorders>
          </w:tcPr>
          <w:p w:rsidR="002F3BF9" w:rsidRPr="00C2123A" w:rsidRDefault="002F3BF9" w:rsidP="00322831">
            <w:r w:rsidRPr="00C2123A">
              <w:t xml:space="preserve">Security </w:t>
            </w:r>
            <w:r>
              <w:t>Fabric</w:t>
            </w:r>
          </w:p>
          <w:p w:rsidR="002F3BF9" w:rsidRPr="00C2123A" w:rsidRDefault="002F3BF9" w:rsidP="00322831">
            <w:r w:rsidRPr="00C2123A">
              <w:t>(e.g., U, LES, S, TS)</w:t>
            </w:r>
          </w:p>
        </w:tc>
        <w:tc>
          <w:tcPr>
            <w:tcW w:w="7905" w:type="dxa"/>
            <w:gridSpan w:val="2"/>
            <w:tcBorders>
              <w:top w:val="single" w:sz="4" w:space="0" w:color="auto"/>
              <w:left w:val="nil"/>
              <w:bottom w:val="single" w:sz="4" w:space="0" w:color="auto"/>
              <w:right w:val="single" w:sz="8" w:space="0" w:color="000000"/>
            </w:tcBorders>
          </w:tcPr>
          <w:p w:rsidR="002F3BF9" w:rsidRPr="00C2123A" w:rsidRDefault="002F3BF9" w:rsidP="00322831">
            <w:r w:rsidRPr="00C2123A">
              <w:rPr>
                <w:color w:val="FF0000"/>
              </w:rPr>
              <w:t>XXX</w:t>
            </w:r>
          </w:p>
        </w:tc>
      </w:tr>
      <w:tr w:rsidR="002F3BF9" w:rsidRPr="000C1ECF" w:rsidTr="00322831">
        <w:trPr>
          <w:trHeight w:val="493"/>
        </w:trPr>
        <w:tc>
          <w:tcPr>
            <w:tcW w:w="1536" w:type="dxa"/>
            <w:tcBorders>
              <w:top w:val="single" w:sz="8" w:space="0" w:color="auto"/>
              <w:left w:val="single" w:sz="8" w:space="0" w:color="auto"/>
              <w:bottom w:val="single" w:sz="4" w:space="0" w:color="auto"/>
              <w:right w:val="single" w:sz="8" w:space="0" w:color="auto"/>
            </w:tcBorders>
            <w:hideMark/>
          </w:tcPr>
          <w:p w:rsidR="002F3BF9" w:rsidRPr="00C2123A" w:rsidRDefault="002F3BF9" w:rsidP="00322831">
            <w:r w:rsidRPr="00C2123A">
              <w:t>Scenario Description</w:t>
            </w:r>
          </w:p>
        </w:tc>
        <w:tc>
          <w:tcPr>
            <w:tcW w:w="7905" w:type="dxa"/>
            <w:gridSpan w:val="2"/>
            <w:tcBorders>
              <w:top w:val="single" w:sz="4" w:space="0" w:color="auto"/>
              <w:left w:val="nil"/>
              <w:bottom w:val="single" w:sz="4" w:space="0" w:color="auto"/>
              <w:right w:val="single" w:sz="8" w:space="0" w:color="000000"/>
            </w:tcBorders>
          </w:tcPr>
          <w:p w:rsidR="002F3BF9" w:rsidRPr="00C2123A" w:rsidRDefault="002F3BF9" w:rsidP="00322831">
            <w:r>
              <w:t>Intellectual property compromise leads to a foreign policy crisis</w:t>
            </w:r>
          </w:p>
        </w:tc>
      </w:tr>
      <w:tr w:rsidR="002F3BF9" w:rsidRPr="000C1ECF" w:rsidTr="00322831">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2F3BF9" w:rsidRPr="00C2123A" w:rsidRDefault="002F3BF9" w:rsidP="00322831">
            <w:r w:rsidRPr="00C2123A">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2F3BF9" w:rsidRPr="00C2123A" w:rsidRDefault="002F3BF9" w:rsidP="002F3BF9">
            <w:pPr>
              <w:pStyle w:val="ListParagraph"/>
              <w:numPr>
                <w:ilvl w:val="0"/>
                <w:numId w:val="19"/>
              </w:numPr>
              <w:rPr>
                <w:rFonts w:ascii="Times New Roman" w:hAnsi="Times New Roman"/>
                <w:color w:val="FF0000"/>
                <w:sz w:val="20"/>
                <w:szCs w:val="20"/>
              </w:rPr>
            </w:pPr>
            <w:r w:rsidRPr="00C2123A">
              <w:rPr>
                <w:rFonts w:ascii="Times New Roman" w:hAnsi="Times New Roman"/>
                <w:color w:val="FF0000"/>
                <w:sz w:val="20"/>
                <w:szCs w:val="20"/>
              </w:rPr>
              <w:t>XX</w:t>
            </w:r>
          </w:p>
          <w:p w:rsidR="002F3BF9" w:rsidRPr="000C1ECF" w:rsidRDefault="002F3BF9" w:rsidP="002F3BF9">
            <w:pPr>
              <w:pStyle w:val="ListParagraph"/>
              <w:numPr>
                <w:ilvl w:val="0"/>
                <w:numId w:val="19"/>
              </w:numPr>
            </w:pPr>
            <w:r w:rsidRPr="00C2123A">
              <w:rPr>
                <w:rFonts w:ascii="Times New Roman" w:hAnsi="Times New Roman"/>
                <w:color w:val="FF0000"/>
                <w:sz w:val="20"/>
                <w:szCs w:val="20"/>
              </w:rPr>
              <w:t>XX</w:t>
            </w:r>
          </w:p>
        </w:tc>
      </w:tr>
      <w:tr w:rsidR="002F3BF9" w:rsidRPr="000C1ECF" w:rsidTr="00322831">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2F3BF9" w:rsidRPr="00C2123A" w:rsidRDefault="002F3BF9" w:rsidP="00322831">
            <w:pPr>
              <w:jc w:val="center"/>
              <w:rPr>
                <w:color w:val="FFFFFF" w:themeColor="background1"/>
              </w:rPr>
            </w:pPr>
            <w:r w:rsidRPr="00C2123A">
              <w:rPr>
                <w:color w:val="FFFFFF" w:themeColor="background1"/>
              </w:rPr>
              <w:t>Key Stakeholders</w:t>
            </w:r>
          </w:p>
        </w:tc>
      </w:tr>
      <w:tr w:rsidR="002F3BF9" w:rsidRPr="000C1ECF" w:rsidTr="00322831">
        <w:trPr>
          <w:trHeight w:val="350"/>
        </w:trPr>
        <w:tc>
          <w:tcPr>
            <w:tcW w:w="1536" w:type="dxa"/>
            <w:tcBorders>
              <w:top w:val="single" w:sz="4" w:space="0" w:color="auto"/>
              <w:left w:val="single" w:sz="8" w:space="0" w:color="auto"/>
              <w:bottom w:val="single" w:sz="4" w:space="0" w:color="auto"/>
              <w:right w:val="single" w:sz="8" w:space="0" w:color="auto"/>
            </w:tcBorders>
          </w:tcPr>
          <w:p w:rsidR="002F3BF9" w:rsidRPr="000C1ECF" w:rsidRDefault="002F3BF9" w:rsidP="00322831">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2F3BF9" w:rsidRPr="00C2123A" w:rsidRDefault="002F3BF9" w:rsidP="00322831">
            <w:pPr>
              <w:rPr>
                <w:color w:val="FF0000"/>
              </w:rPr>
            </w:pPr>
            <w:r w:rsidRPr="00C2123A">
              <w:rPr>
                <w:color w:val="FF0000"/>
              </w:rPr>
              <w:t>XXX</w:t>
            </w:r>
          </w:p>
        </w:tc>
      </w:tr>
      <w:tr w:rsidR="002F3BF9" w:rsidRPr="000C1ECF" w:rsidTr="00322831">
        <w:trPr>
          <w:trHeight w:val="350"/>
        </w:trPr>
        <w:tc>
          <w:tcPr>
            <w:tcW w:w="1536" w:type="dxa"/>
            <w:tcBorders>
              <w:top w:val="single" w:sz="4" w:space="0" w:color="auto"/>
              <w:left w:val="single" w:sz="8" w:space="0" w:color="auto"/>
              <w:bottom w:val="single" w:sz="4" w:space="0" w:color="auto"/>
              <w:right w:val="single" w:sz="8" w:space="0" w:color="auto"/>
            </w:tcBorders>
          </w:tcPr>
          <w:p w:rsidR="002F3BF9" w:rsidRPr="00C2123A" w:rsidRDefault="002F3BF9" w:rsidP="00322831">
            <w:r w:rsidRPr="00C2123A">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2F3BF9" w:rsidRPr="00C2123A" w:rsidRDefault="002F3BF9" w:rsidP="00322831">
            <w:pPr>
              <w:rPr>
                <w:color w:val="FF0000"/>
              </w:rPr>
            </w:pPr>
            <w:r w:rsidRPr="00C2123A">
              <w:rPr>
                <w:color w:val="FF0000"/>
              </w:rPr>
              <w:t>XXX</w:t>
            </w:r>
          </w:p>
        </w:tc>
      </w:tr>
      <w:tr w:rsidR="002F3BF9" w:rsidRPr="000C1ECF" w:rsidTr="00322831">
        <w:trPr>
          <w:trHeight w:val="350"/>
        </w:trPr>
        <w:tc>
          <w:tcPr>
            <w:tcW w:w="1536" w:type="dxa"/>
            <w:tcBorders>
              <w:top w:val="single" w:sz="4" w:space="0" w:color="auto"/>
              <w:left w:val="single" w:sz="8" w:space="0" w:color="auto"/>
              <w:bottom w:val="single" w:sz="4" w:space="0" w:color="auto"/>
              <w:right w:val="single" w:sz="8" w:space="0" w:color="auto"/>
            </w:tcBorders>
          </w:tcPr>
          <w:p w:rsidR="002F3BF9" w:rsidRPr="00C2123A" w:rsidRDefault="002F3BF9" w:rsidP="00322831">
            <w:r w:rsidRPr="00C2123A">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2F3BF9" w:rsidRPr="00C2123A" w:rsidRDefault="002F3BF9" w:rsidP="00322831">
            <w:pPr>
              <w:rPr>
                <w:color w:val="FF0000"/>
              </w:rPr>
            </w:pPr>
            <w:r w:rsidRPr="00C2123A">
              <w:rPr>
                <w:color w:val="FF0000"/>
              </w:rPr>
              <w:t>XXX</w:t>
            </w:r>
          </w:p>
        </w:tc>
      </w:tr>
      <w:tr w:rsidR="002F3BF9" w:rsidRPr="000C1ECF" w:rsidTr="00322831">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2F3BF9" w:rsidRPr="00C2123A" w:rsidRDefault="002F3BF9" w:rsidP="00322831">
            <w:pPr>
              <w:jc w:val="center"/>
              <w:rPr>
                <w:color w:val="FFFFFF" w:themeColor="background1"/>
              </w:rPr>
            </w:pPr>
            <w:r>
              <w:rPr>
                <w:color w:val="FFFFFF" w:themeColor="background1"/>
              </w:rPr>
              <w:t>Scenario</w:t>
            </w:r>
            <w:r w:rsidRPr="00C2123A">
              <w:rPr>
                <w:color w:val="FFFFFF" w:themeColor="background1"/>
              </w:rPr>
              <w:t xml:space="preserve"> Details</w:t>
            </w:r>
          </w:p>
        </w:tc>
      </w:tr>
      <w:tr w:rsidR="002F3BF9" w:rsidRPr="000C1ECF" w:rsidTr="00322831">
        <w:trPr>
          <w:trHeight w:val="60"/>
        </w:trPr>
        <w:tc>
          <w:tcPr>
            <w:tcW w:w="1536" w:type="dxa"/>
            <w:tcBorders>
              <w:top w:val="single" w:sz="4" w:space="0" w:color="auto"/>
              <w:left w:val="single" w:sz="8" w:space="0" w:color="auto"/>
              <w:bottom w:val="single" w:sz="4" w:space="0" w:color="auto"/>
              <w:right w:val="single" w:sz="8" w:space="0" w:color="auto"/>
            </w:tcBorders>
            <w:hideMark/>
          </w:tcPr>
          <w:p w:rsidR="002F3BF9" w:rsidRPr="00C2123A" w:rsidRDefault="002F3BF9" w:rsidP="00322831">
            <w:r w:rsidRPr="00C2123A">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2F3BF9" w:rsidRPr="000C1ECF" w:rsidRDefault="002F3BF9" w:rsidP="00322831"/>
        </w:tc>
      </w:tr>
      <w:tr w:rsidR="002F3BF9" w:rsidRPr="000C1ECF" w:rsidTr="00322831">
        <w:trPr>
          <w:trHeight w:val="530"/>
        </w:trPr>
        <w:tc>
          <w:tcPr>
            <w:tcW w:w="1536" w:type="dxa"/>
            <w:tcBorders>
              <w:top w:val="single" w:sz="4" w:space="0" w:color="auto"/>
              <w:left w:val="single" w:sz="8" w:space="0" w:color="auto"/>
              <w:bottom w:val="single" w:sz="8" w:space="0" w:color="auto"/>
              <w:right w:val="single" w:sz="8" w:space="0" w:color="auto"/>
            </w:tcBorders>
            <w:hideMark/>
          </w:tcPr>
          <w:p w:rsidR="002F3BF9" w:rsidRPr="00C2123A" w:rsidRDefault="002F3BF9" w:rsidP="00322831">
            <w:r w:rsidRPr="00C2123A">
              <w:t>Exchange Scenario</w:t>
            </w:r>
          </w:p>
        </w:tc>
        <w:tc>
          <w:tcPr>
            <w:tcW w:w="7905" w:type="dxa"/>
            <w:gridSpan w:val="2"/>
            <w:tcBorders>
              <w:top w:val="single" w:sz="4" w:space="0" w:color="auto"/>
              <w:left w:val="nil"/>
              <w:bottom w:val="single" w:sz="8" w:space="0" w:color="000000"/>
              <w:right w:val="single" w:sz="8" w:space="0" w:color="000000"/>
            </w:tcBorders>
          </w:tcPr>
          <w:p w:rsidR="002F3BF9" w:rsidRPr="00D67C6C" w:rsidRDefault="002F3BF9" w:rsidP="00322831">
            <w:r w:rsidRPr="00C2123A">
              <w:rPr>
                <w:color w:val="FF0000"/>
              </w:rPr>
              <w:t>Detailed description of how the scenario would “play out” in 3-4 bullets.</w:t>
            </w:r>
          </w:p>
        </w:tc>
      </w:tr>
      <w:tr w:rsidR="002F3BF9" w:rsidRPr="000C1ECF" w:rsidTr="00322831">
        <w:trPr>
          <w:trHeight w:val="115"/>
        </w:trPr>
        <w:tc>
          <w:tcPr>
            <w:tcW w:w="1536" w:type="dxa"/>
            <w:tcBorders>
              <w:top w:val="single" w:sz="4" w:space="0" w:color="auto"/>
              <w:left w:val="single" w:sz="8" w:space="0" w:color="auto"/>
              <w:bottom w:val="single" w:sz="4" w:space="0" w:color="auto"/>
              <w:right w:val="single" w:sz="8" w:space="0" w:color="auto"/>
            </w:tcBorders>
            <w:hideMark/>
          </w:tcPr>
          <w:p w:rsidR="002F3BF9" w:rsidRPr="00C2123A" w:rsidRDefault="002F3BF9" w:rsidP="00322831">
            <w:r w:rsidRPr="00C2123A">
              <w:t>Business Rules</w:t>
            </w:r>
          </w:p>
        </w:tc>
        <w:tc>
          <w:tcPr>
            <w:tcW w:w="7905" w:type="dxa"/>
            <w:gridSpan w:val="2"/>
            <w:tcBorders>
              <w:top w:val="single" w:sz="4" w:space="0" w:color="auto"/>
              <w:left w:val="nil"/>
              <w:bottom w:val="single" w:sz="4" w:space="0" w:color="auto"/>
              <w:right w:val="single" w:sz="8" w:space="0" w:color="000000"/>
            </w:tcBorders>
          </w:tcPr>
          <w:p w:rsidR="002F3BF9" w:rsidRPr="000C1ECF" w:rsidRDefault="002F3BF9" w:rsidP="00322831"/>
        </w:tc>
      </w:tr>
      <w:tr w:rsidR="002F3BF9" w:rsidRPr="000C1ECF" w:rsidTr="00322831">
        <w:trPr>
          <w:trHeight w:val="115"/>
        </w:trPr>
        <w:tc>
          <w:tcPr>
            <w:tcW w:w="1536" w:type="dxa"/>
            <w:tcBorders>
              <w:top w:val="single" w:sz="4" w:space="0" w:color="auto"/>
              <w:left w:val="single" w:sz="8" w:space="0" w:color="auto"/>
              <w:bottom w:val="single" w:sz="4" w:space="0" w:color="auto"/>
              <w:right w:val="single" w:sz="8" w:space="0" w:color="auto"/>
            </w:tcBorders>
          </w:tcPr>
          <w:p w:rsidR="002F3BF9" w:rsidRPr="000C1ECF" w:rsidRDefault="002F3BF9" w:rsidP="00322831">
            <w:r>
              <w:t>Mapping to ESSA’s Enduring Functional Exchanges</w:t>
            </w:r>
            <w:r w:rsidR="00AA4498">
              <w:t xml:space="preserve"> (EFE)</w:t>
            </w:r>
          </w:p>
        </w:tc>
        <w:tc>
          <w:tcPr>
            <w:tcW w:w="7905" w:type="dxa"/>
            <w:gridSpan w:val="2"/>
            <w:tcBorders>
              <w:top w:val="single" w:sz="4" w:space="0" w:color="auto"/>
              <w:left w:val="nil"/>
              <w:bottom w:val="single" w:sz="4" w:space="0" w:color="auto"/>
              <w:right w:val="single" w:sz="8" w:space="0" w:color="000000"/>
            </w:tcBorders>
          </w:tcPr>
          <w:p w:rsidR="002F3BF9" w:rsidRPr="000C1ECF" w:rsidRDefault="002F3BF9" w:rsidP="00322831">
            <w:r w:rsidRPr="00C2123A">
              <w:rPr>
                <w:color w:val="FF0000"/>
              </w:rPr>
              <w:t>Refer to the ESSA identified Enduring Functional Exchanges [(1) Configuration/Anomaly Reporting; (2) Knowledge of Threat Actors; (3) Incident Awareness; (4) Indicators and Warnings; (5) Vulnerability Knowledge; (6) Mitigation Strategies; (7) Mitigation Actions &amp; Responses]. Determine which EFE’s (1 thru 7) might be used during the scenario based upon the scenario’s participants.  Each participant’s mission-specific operations will guid</w:t>
            </w:r>
            <w:r w:rsidR="00AA4498">
              <w:rPr>
                <w:color w:val="FF0000"/>
              </w:rPr>
              <w:t>e</w:t>
            </w:r>
            <w:r w:rsidRPr="00C2123A">
              <w:rPr>
                <w:color w:val="FF0000"/>
              </w:rPr>
              <w:t xml:space="preserve"> how many, and how much of each functions they are able to perform.   </w:t>
            </w:r>
          </w:p>
        </w:tc>
      </w:tr>
      <w:tr w:rsidR="002F3BF9" w:rsidRPr="000C1ECF" w:rsidTr="00322831">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2F3BF9" w:rsidRPr="00C2123A" w:rsidRDefault="002F3BF9" w:rsidP="00322831">
            <w:pPr>
              <w:jc w:val="center"/>
              <w:rPr>
                <w:color w:val="FFFFFF" w:themeColor="background1"/>
              </w:rPr>
            </w:pPr>
            <w:r w:rsidRPr="00C2123A">
              <w:rPr>
                <w:color w:val="FFFFFF" w:themeColor="background1"/>
              </w:rPr>
              <w:t>Data Elements</w:t>
            </w:r>
          </w:p>
        </w:tc>
      </w:tr>
      <w:tr w:rsidR="002F3BF9" w:rsidRPr="000C1ECF" w:rsidTr="00322831">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2F3BF9" w:rsidRPr="00C2123A" w:rsidRDefault="002F3BF9" w:rsidP="00322831">
            <w:pPr>
              <w:jc w:val="center"/>
              <w:rPr>
                <w:color w:val="FFFFFF" w:themeColor="background1"/>
              </w:rPr>
            </w:pPr>
            <w:r w:rsidRPr="00C2123A">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2F3BF9" w:rsidRPr="00C2123A" w:rsidRDefault="002F3BF9" w:rsidP="00322831">
            <w:pPr>
              <w:jc w:val="center"/>
              <w:rPr>
                <w:color w:val="FFFFFF" w:themeColor="background1"/>
              </w:rPr>
            </w:pPr>
            <w:r w:rsidRPr="00C2123A">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2F3BF9" w:rsidRPr="00C2123A" w:rsidRDefault="002F3BF9" w:rsidP="00322831">
            <w:pPr>
              <w:jc w:val="center"/>
              <w:rPr>
                <w:color w:val="FFFFFF" w:themeColor="background1"/>
              </w:rPr>
            </w:pPr>
            <w:r w:rsidRPr="00C2123A">
              <w:rPr>
                <w:color w:val="FFFFFF" w:themeColor="background1"/>
              </w:rPr>
              <w:t>Definitions</w:t>
            </w:r>
          </w:p>
        </w:tc>
      </w:tr>
      <w:tr w:rsidR="002F3BF9" w:rsidRPr="000C1ECF" w:rsidTr="00322831">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2F3BF9" w:rsidRPr="00C2123A" w:rsidRDefault="002F3BF9" w:rsidP="00322831">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2F3BF9" w:rsidRPr="00C2123A" w:rsidRDefault="002F3BF9" w:rsidP="00322831">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2F3BF9" w:rsidRPr="00C2123A" w:rsidRDefault="002F3BF9" w:rsidP="00322831">
            <w:pPr>
              <w:jc w:val="center"/>
              <w:rPr>
                <w:color w:val="FFFFFF" w:themeColor="background1"/>
              </w:rPr>
            </w:pPr>
          </w:p>
        </w:tc>
      </w:tr>
      <w:tr w:rsidR="002F3BF9" w:rsidRPr="000C1ECF" w:rsidTr="00322831">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F3BF9" w:rsidRPr="000C1ECF" w:rsidRDefault="002F3BF9" w:rsidP="00322831">
            <w:r>
              <w:t xml:space="preserve">Additional Information: </w:t>
            </w:r>
          </w:p>
        </w:tc>
      </w:tr>
    </w:tbl>
    <w:p w:rsidR="002F3BF9" w:rsidRDefault="002F3BF9">
      <w:pPr>
        <w:rPr>
          <w:sz w:val="22"/>
          <w:szCs w:val="22"/>
        </w:rPr>
      </w:pPr>
    </w:p>
    <w:p w:rsidR="00E400F4" w:rsidRDefault="00E400F4">
      <w:pPr>
        <w:rPr>
          <w:sz w:val="22"/>
          <w:szCs w:val="22"/>
        </w:rPr>
      </w:pPr>
      <w:r>
        <w:rPr>
          <w:sz w:val="22"/>
          <w:szCs w:val="22"/>
        </w:rPr>
        <w:br w:type="page"/>
      </w:r>
    </w:p>
    <w:p w:rsidR="002F3BF9" w:rsidRDefault="001B04CD" w:rsidP="00C17CD4">
      <w:pPr>
        <w:pStyle w:val="Heading2"/>
      </w:pPr>
      <w:r>
        <w:t>Scenario</w:t>
      </w:r>
      <w:r w:rsidR="0013687B">
        <w:t xml:space="preserve"> Story #7</w:t>
      </w:r>
    </w:p>
    <w:p w:rsidR="00C17CD4" w:rsidRDefault="00C17CD4">
      <w:pPr>
        <w:rPr>
          <w:sz w:val="22"/>
          <w:szCs w:val="22"/>
        </w:rPr>
      </w:pPr>
    </w:p>
    <w:p w:rsidR="00C17CD4" w:rsidRPr="00FC4BA5" w:rsidRDefault="005A468E" w:rsidP="005A468E">
      <w:pPr>
        <w:rPr>
          <w:sz w:val="22"/>
        </w:rPr>
      </w:pPr>
      <w:r w:rsidRPr="005A468E">
        <w:rPr>
          <w:sz w:val="22"/>
        </w:rPr>
        <w:t>PBX Compromise:</w:t>
      </w:r>
      <w:r w:rsidR="0013687B">
        <w:rPr>
          <w:sz w:val="22"/>
        </w:rPr>
        <w:t xml:space="preserve"> </w:t>
      </w:r>
      <w:r w:rsidRPr="005A468E">
        <w:rPr>
          <w:sz w:val="22"/>
        </w:rPr>
        <w:t>A local hotel’s private branch exchange (PBX), a telephone switching system, was compromised.</w:t>
      </w:r>
      <w:r w:rsidR="009E070F">
        <w:rPr>
          <w:sz w:val="22"/>
        </w:rPr>
        <w:t xml:space="preserve">  </w:t>
      </w:r>
      <w:r w:rsidRPr="005A468E">
        <w:rPr>
          <w:sz w:val="22"/>
        </w:rPr>
        <w:t>The PBX ran an old version of SSH (secure shell) a</w:t>
      </w:r>
      <w:r w:rsidR="00FC4BA5">
        <w:rPr>
          <w:sz w:val="22"/>
        </w:rPr>
        <w:t>nd was compromised using a well-</w:t>
      </w:r>
      <w:r w:rsidRPr="005A468E">
        <w:rPr>
          <w:sz w:val="22"/>
        </w:rPr>
        <w:t>known exploit and was launched from a foreign adversary.</w:t>
      </w:r>
      <w:r w:rsidR="009E070F">
        <w:rPr>
          <w:sz w:val="22"/>
        </w:rPr>
        <w:t xml:space="preserve">  </w:t>
      </w:r>
      <w:r w:rsidRPr="005A468E">
        <w:rPr>
          <w:sz w:val="22"/>
        </w:rPr>
        <w:t>Once compromised the PBX was reprogrammed to continuously dial 911.</w:t>
      </w:r>
      <w:r w:rsidR="00FC4BA5">
        <w:rPr>
          <w:sz w:val="22"/>
        </w:rPr>
        <w:t xml:space="preserve">  </w:t>
      </w:r>
      <w:r w:rsidRPr="005A468E">
        <w:rPr>
          <w:sz w:val="22"/>
        </w:rPr>
        <w:t>The result of this compromise was a telephony denial of service (TDoS) against the local 911 call center that ran for approximately 12 hours.</w:t>
      </w:r>
    </w:p>
    <w:p w:rsidR="00C17CD4" w:rsidRDefault="00C17CD4">
      <w:pPr>
        <w:rPr>
          <w:sz w:val="22"/>
          <w:szCs w:val="22"/>
        </w:rPr>
      </w:pPr>
    </w:p>
    <w:tbl>
      <w:tblPr>
        <w:tblW w:w="9441" w:type="dxa"/>
        <w:tblInd w:w="93" w:type="dxa"/>
        <w:tblLook w:val="04A0" w:firstRow="1" w:lastRow="0" w:firstColumn="1" w:lastColumn="0" w:noHBand="0" w:noVBand="1"/>
      </w:tblPr>
      <w:tblGrid>
        <w:gridCol w:w="1536"/>
        <w:gridCol w:w="3815"/>
        <w:gridCol w:w="4090"/>
      </w:tblGrid>
      <w:tr w:rsidR="002F3BF9" w:rsidRPr="000C1ECF" w:rsidTr="00322831">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2F3BF9" w:rsidRPr="00C2123A" w:rsidRDefault="002F3BF9" w:rsidP="00322831">
            <w:pPr>
              <w:jc w:val="center"/>
              <w:rPr>
                <w:color w:val="FFFFFF" w:themeColor="background1"/>
              </w:rPr>
            </w:pPr>
            <w:r w:rsidRPr="00C2123A">
              <w:rPr>
                <w:color w:val="FFFFFF" w:themeColor="background1"/>
              </w:rPr>
              <w:t>Use Case</w:t>
            </w:r>
            <w:r>
              <w:rPr>
                <w:color w:val="FFFFFF" w:themeColor="background1"/>
              </w:rPr>
              <w:t xml:space="preserve"> #7</w:t>
            </w:r>
          </w:p>
        </w:tc>
      </w:tr>
      <w:tr w:rsidR="002F3BF9" w:rsidRPr="000C1ECF" w:rsidTr="00322831">
        <w:trPr>
          <w:trHeight w:val="88"/>
        </w:trPr>
        <w:tc>
          <w:tcPr>
            <w:tcW w:w="1536" w:type="dxa"/>
            <w:tcBorders>
              <w:top w:val="single" w:sz="8" w:space="0" w:color="auto"/>
              <w:left w:val="single" w:sz="8" w:space="0" w:color="auto"/>
              <w:bottom w:val="single" w:sz="4" w:space="0" w:color="auto"/>
              <w:right w:val="single" w:sz="8" w:space="0" w:color="auto"/>
            </w:tcBorders>
          </w:tcPr>
          <w:p w:rsidR="002F3BF9" w:rsidRPr="00C2123A" w:rsidRDefault="002F3BF9" w:rsidP="00322831">
            <w:r w:rsidRPr="00C2123A">
              <w:t>Title</w:t>
            </w:r>
          </w:p>
        </w:tc>
        <w:tc>
          <w:tcPr>
            <w:tcW w:w="7905" w:type="dxa"/>
            <w:gridSpan w:val="2"/>
            <w:tcBorders>
              <w:top w:val="single" w:sz="4" w:space="0" w:color="auto"/>
              <w:left w:val="nil"/>
              <w:bottom w:val="single" w:sz="4" w:space="0" w:color="auto"/>
              <w:right w:val="single" w:sz="8" w:space="0" w:color="000000"/>
            </w:tcBorders>
          </w:tcPr>
          <w:p w:rsidR="002F3BF9" w:rsidRPr="00C2123A" w:rsidRDefault="005A468E" w:rsidP="009E070F">
            <w:r w:rsidRPr="005A468E">
              <w:t>Foreign</w:t>
            </w:r>
            <w:r w:rsidR="002F3BF9" w:rsidRPr="005A468E">
              <w:t xml:space="preserve"> Syndicate </w:t>
            </w:r>
            <w:r w:rsidR="009E070F">
              <w:t>Attacks Hotel</w:t>
            </w:r>
          </w:p>
        </w:tc>
      </w:tr>
      <w:tr w:rsidR="002F3BF9" w:rsidRPr="000C1ECF" w:rsidTr="00322831">
        <w:trPr>
          <w:trHeight w:val="50"/>
        </w:trPr>
        <w:tc>
          <w:tcPr>
            <w:tcW w:w="1536" w:type="dxa"/>
            <w:tcBorders>
              <w:top w:val="single" w:sz="8" w:space="0" w:color="auto"/>
              <w:left w:val="single" w:sz="8" w:space="0" w:color="auto"/>
              <w:bottom w:val="single" w:sz="4" w:space="0" w:color="auto"/>
              <w:right w:val="single" w:sz="8" w:space="0" w:color="auto"/>
            </w:tcBorders>
          </w:tcPr>
          <w:p w:rsidR="002F3BF9" w:rsidRPr="00C2123A" w:rsidRDefault="002F3BF9" w:rsidP="00322831">
            <w:r w:rsidRPr="00C2123A">
              <w:t>Category</w:t>
            </w:r>
          </w:p>
        </w:tc>
        <w:tc>
          <w:tcPr>
            <w:tcW w:w="7905" w:type="dxa"/>
            <w:gridSpan w:val="2"/>
            <w:tcBorders>
              <w:top w:val="single" w:sz="4" w:space="0" w:color="auto"/>
              <w:left w:val="nil"/>
              <w:bottom w:val="single" w:sz="4" w:space="0" w:color="auto"/>
              <w:right w:val="single" w:sz="8" w:space="0" w:color="000000"/>
            </w:tcBorders>
          </w:tcPr>
          <w:p w:rsidR="002F3BF9" w:rsidRPr="000C1ECF" w:rsidRDefault="002F3BF9" w:rsidP="00322831">
            <w:r w:rsidRPr="000C1ECF">
              <w:t>Integrated Threat Assessment for Critical Infrastructure</w:t>
            </w:r>
          </w:p>
        </w:tc>
      </w:tr>
      <w:tr w:rsidR="002F3BF9" w:rsidRPr="000C1ECF" w:rsidTr="00322831">
        <w:trPr>
          <w:trHeight w:val="50"/>
        </w:trPr>
        <w:tc>
          <w:tcPr>
            <w:tcW w:w="1536" w:type="dxa"/>
            <w:tcBorders>
              <w:top w:val="single" w:sz="8" w:space="0" w:color="auto"/>
              <w:left w:val="single" w:sz="8" w:space="0" w:color="auto"/>
              <w:bottom w:val="single" w:sz="4" w:space="0" w:color="auto"/>
              <w:right w:val="single" w:sz="8" w:space="0" w:color="auto"/>
            </w:tcBorders>
          </w:tcPr>
          <w:p w:rsidR="002F3BF9" w:rsidRPr="00C2123A" w:rsidRDefault="002F3BF9" w:rsidP="00322831">
            <w:r w:rsidRPr="00C2123A">
              <w:t>Domain</w:t>
            </w:r>
          </w:p>
        </w:tc>
        <w:tc>
          <w:tcPr>
            <w:tcW w:w="7905" w:type="dxa"/>
            <w:gridSpan w:val="2"/>
            <w:tcBorders>
              <w:top w:val="single" w:sz="4" w:space="0" w:color="auto"/>
              <w:left w:val="nil"/>
              <w:bottom w:val="single" w:sz="4" w:space="0" w:color="auto"/>
              <w:right w:val="single" w:sz="8" w:space="0" w:color="000000"/>
            </w:tcBorders>
          </w:tcPr>
          <w:p w:rsidR="002F3BF9" w:rsidRDefault="002F3BF9" w:rsidP="002F3BF9">
            <w:pPr>
              <w:pStyle w:val="ListParagraph"/>
              <w:numPr>
                <w:ilvl w:val="0"/>
                <w:numId w:val="18"/>
              </w:numPr>
              <w:rPr>
                <w:rFonts w:ascii="Times New Roman" w:hAnsi="Times New Roman"/>
                <w:sz w:val="20"/>
                <w:szCs w:val="20"/>
              </w:rPr>
            </w:pPr>
            <w:r>
              <w:rPr>
                <w:rFonts w:ascii="Times New Roman" w:hAnsi="Times New Roman"/>
                <w:sz w:val="20"/>
                <w:szCs w:val="20"/>
              </w:rPr>
              <w:t>Retail</w:t>
            </w:r>
            <w:r w:rsidR="009E070F">
              <w:rPr>
                <w:rFonts w:ascii="Times New Roman" w:hAnsi="Times New Roman"/>
                <w:sz w:val="20"/>
                <w:szCs w:val="20"/>
              </w:rPr>
              <w:t xml:space="preserve"> Industry</w:t>
            </w:r>
          </w:p>
          <w:p w:rsidR="002F3BF9" w:rsidRPr="005A468E" w:rsidRDefault="005A468E" w:rsidP="005A468E">
            <w:pPr>
              <w:pStyle w:val="ListParagraph"/>
              <w:numPr>
                <w:ilvl w:val="0"/>
                <w:numId w:val="18"/>
              </w:numPr>
              <w:rPr>
                <w:rFonts w:ascii="Times New Roman" w:hAnsi="Times New Roman"/>
                <w:sz w:val="20"/>
                <w:szCs w:val="20"/>
              </w:rPr>
            </w:pPr>
            <w:r>
              <w:rPr>
                <w:rFonts w:ascii="Times New Roman" w:hAnsi="Times New Roman"/>
                <w:sz w:val="20"/>
                <w:szCs w:val="20"/>
              </w:rPr>
              <w:t>Critical Infrastructure, Public Safety</w:t>
            </w:r>
          </w:p>
        </w:tc>
      </w:tr>
      <w:tr w:rsidR="002F3BF9" w:rsidRPr="000C1ECF" w:rsidTr="00322831">
        <w:trPr>
          <w:trHeight w:val="50"/>
        </w:trPr>
        <w:tc>
          <w:tcPr>
            <w:tcW w:w="1536" w:type="dxa"/>
            <w:tcBorders>
              <w:top w:val="single" w:sz="8" w:space="0" w:color="auto"/>
              <w:left w:val="single" w:sz="8" w:space="0" w:color="auto"/>
              <w:bottom w:val="single" w:sz="4" w:space="0" w:color="auto"/>
              <w:right w:val="single" w:sz="8" w:space="0" w:color="auto"/>
            </w:tcBorders>
          </w:tcPr>
          <w:p w:rsidR="002F3BF9" w:rsidRPr="00C2123A" w:rsidRDefault="002F3BF9" w:rsidP="00322831">
            <w:r w:rsidRPr="00C2123A">
              <w:t xml:space="preserve">Security </w:t>
            </w:r>
            <w:r>
              <w:t>Fabric</w:t>
            </w:r>
          </w:p>
          <w:p w:rsidR="002F3BF9" w:rsidRPr="00C2123A" w:rsidRDefault="002F3BF9" w:rsidP="00322831">
            <w:r w:rsidRPr="00C2123A">
              <w:t>(e.g., U, LES, S, TS)</w:t>
            </w:r>
          </w:p>
        </w:tc>
        <w:tc>
          <w:tcPr>
            <w:tcW w:w="7905" w:type="dxa"/>
            <w:gridSpan w:val="2"/>
            <w:tcBorders>
              <w:top w:val="single" w:sz="4" w:space="0" w:color="auto"/>
              <w:left w:val="nil"/>
              <w:bottom w:val="single" w:sz="4" w:space="0" w:color="auto"/>
              <w:right w:val="single" w:sz="8" w:space="0" w:color="000000"/>
            </w:tcBorders>
          </w:tcPr>
          <w:p w:rsidR="002F3BF9" w:rsidRPr="00C2123A" w:rsidRDefault="005A468E" w:rsidP="00322831">
            <w:r w:rsidRPr="005A468E">
              <w:t>U, LES</w:t>
            </w:r>
          </w:p>
        </w:tc>
      </w:tr>
      <w:tr w:rsidR="002F3BF9" w:rsidRPr="000C1ECF" w:rsidTr="00322831">
        <w:trPr>
          <w:trHeight w:val="493"/>
        </w:trPr>
        <w:tc>
          <w:tcPr>
            <w:tcW w:w="1536" w:type="dxa"/>
            <w:tcBorders>
              <w:top w:val="single" w:sz="8" w:space="0" w:color="auto"/>
              <w:left w:val="single" w:sz="8" w:space="0" w:color="auto"/>
              <w:bottom w:val="single" w:sz="4" w:space="0" w:color="auto"/>
              <w:right w:val="single" w:sz="8" w:space="0" w:color="auto"/>
            </w:tcBorders>
            <w:hideMark/>
          </w:tcPr>
          <w:p w:rsidR="002F3BF9" w:rsidRPr="00C2123A" w:rsidRDefault="002F3BF9" w:rsidP="00322831">
            <w:r w:rsidRPr="00C2123A">
              <w:t>Scenario Description</w:t>
            </w:r>
          </w:p>
        </w:tc>
        <w:tc>
          <w:tcPr>
            <w:tcW w:w="7905" w:type="dxa"/>
            <w:gridSpan w:val="2"/>
            <w:tcBorders>
              <w:top w:val="single" w:sz="4" w:space="0" w:color="auto"/>
              <w:left w:val="nil"/>
              <w:bottom w:val="single" w:sz="4" w:space="0" w:color="auto"/>
              <w:right w:val="single" w:sz="8" w:space="0" w:color="000000"/>
            </w:tcBorders>
          </w:tcPr>
          <w:p w:rsidR="002F3BF9" w:rsidRPr="00C2123A" w:rsidRDefault="009E070F" w:rsidP="009E070F">
            <w:r>
              <w:t>TDoS infiltration of hotel’s telephone system by organized syndicate</w:t>
            </w:r>
            <w:r w:rsidR="002F3BF9">
              <w:t xml:space="preserve"> </w:t>
            </w:r>
            <w:r>
              <w:t xml:space="preserve">degrades </w:t>
            </w:r>
            <w:r w:rsidR="002F3BF9">
              <w:t xml:space="preserve">public </w:t>
            </w:r>
            <w:r>
              <w:t>confidence in critical safety infrastructure</w:t>
            </w:r>
            <w:r w:rsidR="002F3BF9">
              <w:t>.</w:t>
            </w:r>
          </w:p>
        </w:tc>
      </w:tr>
      <w:tr w:rsidR="002F3BF9" w:rsidRPr="000C1ECF" w:rsidTr="00322831">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2F3BF9" w:rsidRPr="00C2123A" w:rsidRDefault="002F3BF9" w:rsidP="00322831">
            <w:r w:rsidRPr="00C2123A">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5A468E" w:rsidRPr="009E070F" w:rsidRDefault="005A468E" w:rsidP="005A468E">
            <w:pPr>
              <w:pStyle w:val="ListParagraph"/>
              <w:numPr>
                <w:ilvl w:val="0"/>
                <w:numId w:val="19"/>
              </w:numPr>
              <w:rPr>
                <w:rFonts w:ascii="Times New Roman" w:hAnsi="Times New Roman"/>
                <w:sz w:val="20"/>
                <w:szCs w:val="20"/>
              </w:rPr>
            </w:pPr>
            <w:r w:rsidRPr="009E070F">
              <w:rPr>
                <w:rFonts w:ascii="Times New Roman" w:hAnsi="Times New Roman"/>
                <w:sz w:val="20"/>
                <w:szCs w:val="20"/>
              </w:rPr>
              <w:t>Private↔State</w:t>
            </w:r>
          </w:p>
          <w:p w:rsidR="005A468E" w:rsidRPr="009E070F" w:rsidRDefault="005A468E" w:rsidP="005A468E">
            <w:pPr>
              <w:pStyle w:val="ListParagraph"/>
              <w:numPr>
                <w:ilvl w:val="0"/>
                <w:numId w:val="19"/>
              </w:numPr>
              <w:rPr>
                <w:rFonts w:ascii="Times New Roman" w:hAnsi="Times New Roman"/>
                <w:sz w:val="20"/>
                <w:szCs w:val="20"/>
              </w:rPr>
            </w:pPr>
            <w:r w:rsidRPr="009E070F">
              <w:rPr>
                <w:rFonts w:ascii="Times New Roman" w:hAnsi="Times New Roman"/>
                <w:sz w:val="20"/>
                <w:szCs w:val="20"/>
              </w:rPr>
              <w:t>State↔Federal</w:t>
            </w:r>
          </w:p>
          <w:p w:rsidR="002F3BF9" w:rsidRPr="009E070F" w:rsidRDefault="005A468E" w:rsidP="009E070F">
            <w:pPr>
              <w:pStyle w:val="ListParagraph"/>
              <w:numPr>
                <w:ilvl w:val="0"/>
                <w:numId w:val="19"/>
              </w:numPr>
              <w:rPr>
                <w:rFonts w:ascii="Times New Roman" w:hAnsi="Times New Roman"/>
                <w:sz w:val="20"/>
                <w:szCs w:val="20"/>
              </w:rPr>
            </w:pPr>
            <w:r w:rsidRPr="009E070F">
              <w:rPr>
                <w:rFonts w:ascii="Times New Roman" w:hAnsi="Times New Roman"/>
                <w:sz w:val="20"/>
                <w:szCs w:val="20"/>
              </w:rPr>
              <w:t>Federal↔Private</w:t>
            </w:r>
          </w:p>
        </w:tc>
      </w:tr>
      <w:tr w:rsidR="002F3BF9" w:rsidRPr="000C1ECF" w:rsidTr="00322831">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2F3BF9" w:rsidRPr="00C2123A" w:rsidRDefault="002F3BF9" w:rsidP="00322831">
            <w:pPr>
              <w:jc w:val="center"/>
              <w:rPr>
                <w:color w:val="FFFFFF" w:themeColor="background1"/>
              </w:rPr>
            </w:pPr>
            <w:r w:rsidRPr="00C2123A">
              <w:rPr>
                <w:color w:val="FFFFFF" w:themeColor="background1"/>
              </w:rPr>
              <w:t>Key Stakeholders</w:t>
            </w:r>
          </w:p>
        </w:tc>
      </w:tr>
      <w:tr w:rsidR="002F3BF9" w:rsidRPr="000C1ECF" w:rsidTr="00322831">
        <w:trPr>
          <w:trHeight w:val="350"/>
        </w:trPr>
        <w:tc>
          <w:tcPr>
            <w:tcW w:w="1536" w:type="dxa"/>
            <w:tcBorders>
              <w:top w:val="single" w:sz="4" w:space="0" w:color="auto"/>
              <w:left w:val="single" w:sz="8" w:space="0" w:color="auto"/>
              <w:bottom w:val="single" w:sz="4" w:space="0" w:color="auto"/>
              <w:right w:val="single" w:sz="8" w:space="0" w:color="auto"/>
            </w:tcBorders>
          </w:tcPr>
          <w:p w:rsidR="002F3BF9" w:rsidRPr="000C1ECF" w:rsidRDefault="002F3BF9" w:rsidP="00322831">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2F3BF9" w:rsidRPr="00C2123A" w:rsidRDefault="009E070F" w:rsidP="00322831">
            <w:pPr>
              <w:rPr>
                <w:color w:val="FF0000"/>
              </w:rPr>
            </w:pPr>
            <w:r>
              <w:t xml:space="preserve">National Retail Federation, </w:t>
            </w:r>
            <w:r w:rsidRPr="009E070F">
              <w:t>SLTT, Fusion Center, FBI, DHS, ISAC, ISAO</w:t>
            </w:r>
          </w:p>
        </w:tc>
      </w:tr>
      <w:tr w:rsidR="002F3BF9" w:rsidRPr="000C1ECF" w:rsidTr="00322831">
        <w:trPr>
          <w:trHeight w:val="350"/>
        </w:trPr>
        <w:tc>
          <w:tcPr>
            <w:tcW w:w="1536" w:type="dxa"/>
            <w:tcBorders>
              <w:top w:val="single" w:sz="4" w:space="0" w:color="auto"/>
              <w:left w:val="single" w:sz="8" w:space="0" w:color="auto"/>
              <w:bottom w:val="single" w:sz="4" w:space="0" w:color="auto"/>
              <w:right w:val="single" w:sz="8" w:space="0" w:color="auto"/>
            </w:tcBorders>
          </w:tcPr>
          <w:p w:rsidR="002F3BF9" w:rsidRPr="00C2123A" w:rsidRDefault="002F3BF9" w:rsidP="00322831">
            <w:r w:rsidRPr="00C2123A">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2F3BF9" w:rsidRPr="009E070F" w:rsidRDefault="009E070F" w:rsidP="00322831">
            <w:r w:rsidRPr="009E070F">
              <w:t>FBI, DHS, ISAC, ISAO, Fusion Center</w:t>
            </w:r>
          </w:p>
        </w:tc>
      </w:tr>
      <w:tr w:rsidR="002F3BF9" w:rsidRPr="000C1ECF" w:rsidTr="00322831">
        <w:trPr>
          <w:trHeight w:val="350"/>
        </w:trPr>
        <w:tc>
          <w:tcPr>
            <w:tcW w:w="1536" w:type="dxa"/>
            <w:tcBorders>
              <w:top w:val="single" w:sz="4" w:space="0" w:color="auto"/>
              <w:left w:val="single" w:sz="8" w:space="0" w:color="auto"/>
              <w:bottom w:val="single" w:sz="4" w:space="0" w:color="auto"/>
              <w:right w:val="single" w:sz="8" w:space="0" w:color="auto"/>
            </w:tcBorders>
          </w:tcPr>
          <w:p w:rsidR="002F3BF9" w:rsidRPr="00C2123A" w:rsidRDefault="002F3BF9" w:rsidP="00322831">
            <w:r w:rsidRPr="00C2123A">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2F3BF9" w:rsidRPr="009E070F" w:rsidRDefault="009E070F" w:rsidP="00322831">
            <w:r w:rsidRPr="009E070F">
              <w:t>National Retail Federation, SLTT, Fusion Center, FBI, DHS, ISAC, ISAO</w:t>
            </w:r>
          </w:p>
        </w:tc>
      </w:tr>
      <w:tr w:rsidR="002F3BF9" w:rsidRPr="000C1ECF" w:rsidTr="00322831">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2F3BF9" w:rsidRPr="00C2123A" w:rsidRDefault="002F3BF9" w:rsidP="00322831">
            <w:pPr>
              <w:jc w:val="center"/>
              <w:rPr>
                <w:color w:val="FFFFFF" w:themeColor="background1"/>
              </w:rPr>
            </w:pPr>
            <w:r>
              <w:rPr>
                <w:color w:val="FFFFFF" w:themeColor="background1"/>
              </w:rPr>
              <w:t>Scenario</w:t>
            </w:r>
            <w:r w:rsidRPr="00C2123A">
              <w:rPr>
                <w:color w:val="FFFFFF" w:themeColor="background1"/>
              </w:rPr>
              <w:t xml:space="preserve"> Details</w:t>
            </w:r>
          </w:p>
        </w:tc>
      </w:tr>
      <w:tr w:rsidR="002F3BF9" w:rsidRPr="000C1ECF" w:rsidTr="00322831">
        <w:trPr>
          <w:trHeight w:val="60"/>
        </w:trPr>
        <w:tc>
          <w:tcPr>
            <w:tcW w:w="1536" w:type="dxa"/>
            <w:tcBorders>
              <w:top w:val="single" w:sz="4" w:space="0" w:color="auto"/>
              <w:left w:val="single" w:sz="8" w:space="0" w:color="auto"/>
              <w:bottom w:val="single" w:sz="4" w:space="0" w:color="auto"/>
              <w:right w:val="single" w:sz="8" w:space="0" w:color="auto"/>
            </w:tcBorders>
            <w:hideMark/>
          </w:tcPr>
          <w:p w:rsidR="002F3BF9" w:rsidRPr="00C2123A" w:rsidRDefault="002F3BF9" w:rsidP="00322831">
            <w:r w:rsidRPr="00C2123A">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2F3BF9" w:rsidRPr="000C1ECF" w:rsidRDefault="00FC4BA5" w:rsidP="0013687B">
            <w:r>
              <w:t xml:space="preserve">Proprietary IT monitoring system (e.g., IDS), </w:t>
            </w:r>
            <w:r w:rsidR="0013687B">
              <w:t xml:space="preserve">Information Transformation of </w:t>
            </w:r>
            <w:r w:rsidR="009E070F" w:rsidRPr="009E070F">
              <w:t>STIX</w:t>
            </w:r>
            <w:r w:rsidR="0013687B">
              <w:t xml:space="preserve"> to NIEM</w:t>
            </w:r>
          </w:p>
        </w:tc>
      </w:tr>
      <w:tr w:rsidR="002F3BF9" w:rsidRPr="000C1ECF" w:rsidTr="00322831">
        <w:trPr>
          <w:trHeight w:val="530"/>
        </w:trPr>
        <w:tc>
          <w:tcPr>
            <w:tcW w:w="1536" w:type="dxa"/>
            <w:tcBorders>
              <w:top w:val="single" w:sz="4" w:space="0" w:color="auto"/>
              <w:left w:val="single" w:sz="8" w:space="0" w:color="auto"/>
              <w:bottom w:val="single" w:sz="8" w:space="0" w:color="auto"/>
              <w:right w:val="single" w:sz="8" w:space="0" w:color="auto"/>
            </w:tcBorders>
            <w:hideMark/>
          </w:tcPr>
          <w:p w:rsidR="002F3BF9" w:rsidRPr="00C2123A" w:rsidRDefault="002F3BF9" w:rsidP="00322831">
            <w:r w:rsidRPr="00C2123A">
              <w:t>Exchange Scenario</w:t>
            </w:r>
          </w:p>
        </w:tc>
        <w:tc>
          <w:tcPr>
            <w:tcW w:w="7905" w:type="dxa"/>
            <w:gridSpan w:val="2"/>
            <w:tcBorders>
              <w:top w:val="single" w:sz="4" w:space="0" w:color="auto"/>
              <w:left w:val="nil"/>
              <w:bottom w:val="single" w:sz="8" w:space="0" w:color="000000"/>
              <w:right w:val="single" w:sz="8" w:space="0" w:color="000000"/>
            </w:tcBorders>
          </w:tcPr>
          <w:p w:rsidR="002F3BF9" w:rsidRPr="00D67C6C" w:rsidRDefault="00FC4BA5" w:rsidP="00322831">
            <w:r w:rsidRPr="00FC4BA5">
              <w:t>A local hotel’s private branch exchange (PBX), a telephone switching system, was compromised.  The PBX ran an old version of SSH (secure shell) and was compromised using a well-known exploit and was launched from a foreign adversary.  Once compromised the PBX was reprogrammed to continuously dial 911.  The result of this compromise was a telephony denial of service (TDoS) against the local 911 call center that ran for approximately 12 hours.</w:t>
            </w:r>
          </w:p>
        </w:tc>
      </w:tr>
      <w:tr w:rsidR="002F3BF9" w:rsidRPr="000C1ECF" w:rsidTr="00322831">
        <w:trPr>
          <w:trHeight w:val="115"/>
        </w:trPr>
        <w:tc>
          <w:tcPr>
            <w:tcW w:w="1536" w:type="dxa"/>
            <w:tcBorders>
              <w:top w:val="single" w:sz="4" w:space="0" w:color="auto"/>
              <w:left w:val="single" w:sz="8" w:space="0" w:color="auto"/>
              <w:bottom w:val="single" w:sz="4" w:space="0" w:color="auto"/>
              <w:right w:val="single" w:sz="8" w:space="0" w:color="auto"/>
            </w:tcBorders>
            <w:hideMark/>
          </w:tcPr>
          <w:p w:rsidR="002F3BF9" w:rsidRPr="00C2123A" w:rsidRDefault="002F3BF9" w:rsidP="00322831">
            <w:r w:rsidRPr="00C2123A">
              <w:t>Business Rules</w:t>
            </w:r>
          </w:p>
        </w:tc>
        <w:tc>
          <w:tcPr>
            <w:tcW w:w="7905" w:type="dxa"/>
            <w:gridSpan w:val="2"/>
            <w:tcBorders>
              <w:top w:val="single" w:sz="4" w:space="0" w:color="auto"/>
              <w:left w:val="nil"/>
              <w:bottom w:val="single" w:sz="4" w:space="0" w:color="auto"/>
              <w:right w:val="single" w:sz="8" w:space="0" w:color="000000"/>
            </w:tcBorders>
          </w:tcPr>
          <w:p w:rsidR="002F3BF9" w:rsidRPr="000C1ECF" w:rsidRDefault="00FC4BA5" w:rsidP="00322831">
            <w:r>
              <w:t>TBD by Stakeholders</w:t>
            </w:r>
          </w:p>
        </w:tc>
      </w:tr>
      <w:tr w:rsidR="002F3BF9" w:rsidRPr="000C1ECF" w:rsidTr="00322831">
        <w:trPr>
          <w:trHeight w:val="115"/>
        </w:trPr>
        <w:tc>
          <w:tcPr>
            <w:tcW w:w="1536" w:type="dxa"/>
            <w:tcBorders>
              <w:top w:val="single" w:sz="4" w:space="0" w:color="auto"/>
              <w:left w:val="single" w:sz="8" w:space="0" w:color="auto"/>
              <w:bottom w:val="single" w:sz="4" w:space="0" w:color="auto"/>
              <w:right w:val="single" w:sz="8" w:space="0" w:color="auto"/>
            </w:tcBorders>
          </w:tcPr>
          <w:p w:rsidR="002F3BF9" w:rsidRPr="000C1ECF" w:rsidRDefault="002F3BF9" w:rsidP="00322831">
            <w:r>
              <w:t>Mapping to ESSA’s Enduring Functional Exchanges</w:t>
            </w:r>
            <w:r w:rsidR="00AA4498">
              <w:t xml:space="preserve"> (EFE)</w:t>
            </w:r>
          </w:p>
        </w:tc>
        <w:tc>
          <w:tcPr>
            <w:tcW w:w="7905" w:type="dxa"/>
            <w:gridSpan w:val="2"/>
            <w:tcBorders>
              <w:top w:val="single" w:sz="4" w:space="0" w:color="auto"/>
              <w:left w:val="nil"/>
              <w:bottom w:val="single" w:sz="4" w:space="0" w:color="auto"/>
              <w:right w:val="single" w:sz="8" w:space="0" w:color="000000"/>
            </w:tcBorders>
          </w:tcPr>
          <w:p w:rsidR="002F3BF9" w:rsidRPr="000C1ECF" w:rsidRDefault="00FC4BA5" w:rsidP="00FC4BA5">
            <w:r w:rsidRPr="00FC4BA5">
              <w:t>(</w:t>
            </w:r>
            <w:r w:rsidR="002F3BF9" w:rsidRPr="00FC4BA5">
              <w:t xml:space="preserve">1) Configuration/Anomaly Reporting; (2) Knowledge of Threat Actors; (3) Incident Awareness; (4) Indicators and Warnings; (5) Vulnerability Knowledge; (6) Mitigation Strategies; (7) Mitigation Actions &amp; Responses </w:t>
            </w:r>
          </w:p>
        </w:tc>
      </w:tr>
      <w:tr w:rsidR="002F3BF9" w:rsidRPr="000C1ECF" w:rsidTr="00322831">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2F3BF9" w:rsidRPr="00C2123A" w:rsidRDefault="002F3BF9" w:rsidP="00322831">
            <w:pPr>
              <w:jc w:val="center"/>
              <w:rPr>
                <w:color w:val="FFFFFF" w:themeColor="background1"/>
              </w:rPr>
            </w:pPr>
            <w:r w:rsidRPr="00C2123A">
              <w:rPr>
                <w:color w:val="FFFFFF" w:themeColor="background1"/>
              </w:rPr>
              <w:t>Data Elements</w:t>
            </w:r>
          </w:p>
        </w:tc>
      </w:tr>
      <w:tr w:rsidR="002F3BF9" w:rsidRPr="000C1ECF" w:rsidTr="00322831">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2F3BF9" w:rsidRPr="00C2123A" w:rsidRDefault="002F3BF9" w:rsidP="00322831">
            <w:pPr>
              <w:jc w:val="center"/>
              <w:rPr>
                <w:color w:val="FFFFFF" w:themeColor="background1"/>
              </w:rPr>
            </w:pPr>
            <w:r w:rsidRPr="00C2123A">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2F3BF9" w:rsidRPr="00C2123A" w:rsidRDefault="002F3BF9" w:rsidP="00322831">
            <w:pPr>
              <w:jc w:val="center"/>
              <w:rPr>
                <w:color w:val="FFFFFF" w:themeColor="background1"/>
              </w:rPr>
            </w:pPr>
            <w:r w:rsidRPr="00C2123A">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2F3BF9" w:rsidRPr="00C2123A" w:rsidRDefault="002F3BF9" w:rsidP="00322831">
            <w:pPr>
              <w:jc w:val="center"/>
              <w:rPr>
                <w:color w:val="FFFFFF" w:themeColor="background1"/>
              </w:rPr>
            </w:pPr>
            <w:r w:rsidRPr="00C2123A">
              <w:rPr>
                <w:color w:val="FFFFFF" w:themeColor="background1"/>
              </w:rPr>
              <w:t>Definitions</w:t>
            </w:r>
          </w:p>
        </w:tc>
      </w:tr>
      <w:tr w:rsidR="002F3BF9" w:rsidRPr="000C1ECF" w:rsidTr="00322831">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2F3BF9" w:rsidRPr="00C2123A" w:rsidRDefault="002F3BF9" w:rsidP="00322831">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2F3BF9" w:rsidRPr="00C2123A" w:rsidRDefault="002F3BF9" w:rsidP="00322831">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2F3BF9" w:rsidRPr="00C2123A" w:rsidRDefault="002F3BF9" w:rsidP="00322831">
            <w:pPr>
              <w:jc w:val="center"/>
              <w:rPr>
                <w:color w:val="FFFFFF" w:themeColor="background1"/>
              </w:rPr>
            </w:pPr>
          </w:p>
        </w:tc>
      </w:tr>
      <w:tr w:rsidR="002F3BF9" w:rsidRPr="000C1ECF" w:rsidTr="00322831">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F3BF9" w:rsidRPr="000C1ECF" w:rsidRDefault="002F3BF9" w:rsidP="00322831">
            <w:r>
              <w:t xml:space="preserve">Additional Information: </w:t>
            </w:r>
          </w:p>
        </w:tc>
      </w:tr>
    </w:tbl>
    <w:p w:rsidR="00C17CD4" w:rsidRDefault="00C17CD4">
      <w:pPr>
        <w:rPr>
          <w:sz w:val="22"/>
          <w:szCs w:val="22"/>
        </w:rPr>
      </w:pPr>
    </w:p>
    <w:p w:rsidR="00322831" w:rsidRDefault="00E400F4">
      <w:pPr>
        <w:rPr>
          <w:sz w:val="22"/>
          <w:szCs w:val="22"/>
        </w:rPr>
      </w:pPr>
      <w:r>
        <w:rPr>
          <w:sz w:val="22"/>
          <w:szCs w:val="22"/>
        </w:rPr>
        <w:br w:type="page"/>
      </w:r>
    </w:p>
    <w:p w:rsidR="00C17CD4" w:rsidRDefault="001B04CD" w:rsidP="00C17CD4">
      <w:pPr>
        <w:pStyle w:val="Heading2"/>
      </w:pPr>
      <w:r>
        <w:t>Scenario</w:t>
      </w:r>
      <w:r w:rsidR="00C17CD4">
        <w:t xml:space="preserve"> Story #8</w:t>
      </w:r>
    </w:p>
    <w:p w:rsidR="001618A3" w:rsidRDefault="001618A3" w:rsidP="00C17CD4">
      <w:pPr>
        <w:rPr>
          <w:sz w:val="22"/>
          <w:highlight w:val="yellow"/>
        </w:rPr>
      </w:pPr>
    </w:p>
    <w:p w:rsidR="00C17CD4" w:rsidRPr="001618A3" w:rsidRDefault="00C17CD4" w:rsidP="00C17CD4">
      <w:pPr>
        <w:rPr>
          <w:sz w:val="22"/>
        </w:rPr>
      </w:pPr>
      <w:r w:rsidRPr="001618A3">
        <w:rPr>
          <w:sz w:val="22"/>
          <w:highlight w:val="yellow"/>
        </w:rPr>
        <w:t>Narrative</w:t>
      </w:r>
    </w:p>
    <w:p w:rsidR="00C17CD4" w:rsidRPr="00C17CD4" w:rsidRDefault="00C17CD4" w:rsidP="00C17CD4"/>
    <w:tbl>
      <w:tblPr>
        <w:tblW w:w="9441" w:type="dxa"/>
        <w:tblInd w:w="93" w:type="dxa"/>
        <w:tblLook w:val="04A0" w:firstRow="1" w:lastRow="0" w:firstColumn="1" w:lastColumn="0" w:noHBand="0" w:noVBand="1"/>
      </w:tblPr>
      <w:tblGrid>
        <w:gridCol w:w="1536"/>
        <w:gridCol w:w="3815"/>
        <w:gridCol w:w="4090"/>
      </w:tblGrid>
      <w:tr w:rsidR="00322831" w:rsidRPr="000C1ECF" w:rsidTr="00322831">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322831" w:rsidRPr="00C2123A" w:rsidRDefault="00322831" w:rsidP="00322831">
            <w:pPr>
              <w:jc w:val="center"/>
              <w:rPr>
                <w:color w:val="FFFFFF" w:themeColor="background1"/>
              </w:rPr>
            </w:pPr>
            <w:r w:rsidRPr="00C2123A">
              <w:rPr>
                <w:color w:val="FFFFFF" w:themeColor="background1"/>
              </w:rPr>
              <w:t>Use Case</w:t>
            </w:r>
            <w:r>
              <w:rPr>
                <w:color w:val="FFFFFF" w:themeColor="background1"/>
              </w:rPr>
              <w:t xml:space="preserve"> #8</w:t>
            </w:r>
          </w:p>
        </w:tc>
      </w:tr>
      <w:tr w:rsidR="00322831" w:rsidRPr="000C1ECF" w:rsidTr="00322831">
        <w:trPr>
          <w:trHeight w:val="88"/>
        </w:trPr>
        <w:tc>
          <w:tcPr>
            <w:tcW w:w="1536" w:type="dxa"/>
            <w:tcBorders>
              <w:top w:val="single" w:sz="8" w:space="0" w:color="auto"/>
              <w:left w:val="single" w:sz="8" w:space="0" w:color="auto"/>
              <w:bottom w:val="single" w:sz="4" w:space="0" w:color="auto"/>
              <w:right w:val="single" w:sz="8" w:space="0" w:color="auto"/>
            </w:tcBorders>
          </w:tcPr>
          <w:p w:rsidR="00322831" w:rsidRPr="00C2123A" w:rsidRDefault="00322831" w:rsidP="00322831">
            <w:r w:rsidRPr="00C2123A">
              <w:t>Title</w:t>
            </w:r>
          </w:p>
        </w:tc>
        <w:tc>
          <w:tcPr>
            <w:tcW w:w="7905" w:type="dxa"/>
            <w:gridSpan w:val="2"/>
            <w:tcBorders>
              <w:top w:val="single" w:sz="4" w:space="0" w:color="auto"/>
              <w:left w:val="nil"/>
              <w:bottom w:val="single" w:sz="4" w:space="0" w:color="auto"/>
              <w:right w:val="single" w:sz="8" w:space="0" w:color="000000"/>
            </w:tcBorders>
          </w:tcPr>
          <w:p w:rsidR="00322831" w:rsidRPr="00C2123A" w:rsidRDefault="00663506" w:rsidP="00322831">
            <w:r w:rsidRPr="00F5451B">
              <w:t>DoD Information Sharing Portal</w:t>
            </w:r>
          </w:p>
        </w:tc>
      </w:tr>
      <w:tr w:rsidR="00322831" w:rsidRPr="000C1ECF" w:rsidTr="00322831">
        <w:trPr>
          <w:trHeight w:val="50"/>
        </w:trPr>
        <w:tc>
          <w:tcPr>
            <w:tcW w:w="1536" w:type="dxa"/>
            <w:tcBorders>
              <w:top w:val="single" w:sz="8" w:space="0" w:color="auto"/>
              <w:left w:val="single" w:sz="8" w:space="0" w:color="auto"/>
              <w:bottom w:val="single" w:sz="4" w:space="0" w:color="auto"/>
              <w:right w:val="single" w:sz="8" w:space="0" w:color="auto"/>
            </w:tcBorders>
          </w:tcPr>
          <w:p w:rsidR="00322831" w:rsidRPr="00C2123A" w:rsidRDefault="00322831" w:rsidP="00322831">
            <w:r w:rsidRPr="00C2123A">
              <w:t>Category</w:t>
            </w:r>
          </w:p>
        </w:tc>
        <w:tc>
          <w:tcPr>
            <w:tcW w:w="7905" w:type="dxa"/>
            <w:gridSpan w:val="2"/>
            <w:tcBorders>
              <w:top w:val="single" w:sz="4" w:space="0" w:color="auto"/>
              <w:left w:val="nil"/>
              <w:bottom w:val="single" w:sz="4" w:space="0" w:color="auto"/>
              <w:right w:val="single" w:sz="8" w:space="0" w:color="000000"/>
            </w:tcBorders>
          </w:tcPr>
          <w:p w:rsidR="00322831" w:rsidRPr="000C1ECF" w:rsidRDefault="00322831" w:rsidP="00322831">
            <w:r>
              <w:t>Mission Assurance and Critical Infrastructure Cascading Dependencies</w:t>
            </w:r>
          </w:p>
        </w:tc>
      </w:tr>
      <w:tr w:rsidR="00322831" w:rsidRPr="000C1ECF" w:rsidTr="00322831">
        <w:trPr>
          <w:trHeight w:val="50"/>
        </w:trPr>
        <w:tc>
          <w:tcPr>
            <w:tcW w:w="1536" w:type="dxa"/>
            <w:tcBorders>
              <w:top w:val="single" w:sz="8" w:space="0" w:color="auto"/>
              <w:left w:val="single" w:sz="8" w:space="0" w:color="auto"/>
              <w:bottom w:val="single" w:sz="4" w:space="0" w:color="auto"/>
              <w:right w:val="single" w:sz="8" w:space="0" w:color="auto"/>
            </w:tcBorders>
          </w:tcPr>
          <w:p w:rsidR="00322831" w:rsidRPr="00C2123A" w:rsidRDefault="00322831" w:rsidP="00322831">
            <w:r w:rsidRPr="00C2123A">
              <w:t>Domain</w:t>
            </w:r>
          </w:p>
        </w:tc>
        <w:tc>
          <w:tcPr>
            <w:tcW w:w="7905" w:type="dxa"/>
            <w:gridSpan w:val="2"/>
            <w:tcBorders>
              <w:top w:val="single" w:sz="4" w:space="0" w:color="auto"/>
              <w:left w:val="nil"/>
              <w:bottom w:val="single" w:sz="4" w:space="0" w:color="auto"/>
              <w:right w:val="single" w:sz="8" w:space="0" w:color="000000"/>
            </w:tcBorders>
          </w:tcPr>
          <w:p w:rsidR="00322831" w:rsidRDefault="00322831" w:rsidP="00322831">
            <w:pPr>
              <w:pStyle w:val="ListParagraph"/>
              <w:numPr>
                <w:ilvl w:val="0"/>
                <w:numId w:val="18"/>
              </w:numPr>
              <w:rPr>
                <w:rFonts w:ascii="Times New Roman" w:hAnsi="Times New Roman"/>
                <w:sz w:val="20"/>
                <w:szCs w:val="20"/>
              </w:rPr>
            </w:pPr>
            <w:r>
              <w:rPr>
                <w:rFonts w:ascii="Times New Roman" w:hAnsi="Times New Roman"/>
                <w:sz w:val="20"/>
                <w:szCs w:val="20"/>
              </w:rPr>
              <w:t>Critical</w:t>
            </w:r>
            <w:r w:rsidRPr="00C2123A">
              <w:rPr>
                <w:rFonts w:ascii="Times New Roman" w:hAnsi="Times New Roman"/>
                <w:sz w:val="20"/>
                <w:szCs w:val="20"/>
              </w:rPr>
              <w:t xml:space="preserve"> Infrastructure </w:t>
            </w:r>
            <w:r>
              <w:rPr>
                <w:rFonts w:ascii="Times New Roman" w:hAnsi="Times New Roman"/>
                <w:sz w:val="20"/>
                <w:szCs w:val="20"/>
              </w:rPr>
              <w:t>(CONUS)</w:t>
            </w:r>
          </w:p>
          <w:p w:rsidR="00322831" w:rsidRPr="00C2123A" w:rsidRDefault="00322831" w:rsidP="00322831">
            <w:pPr>
              <w:pStyle w:val="ListParagraph"/>
              <w:numPr>
                <w:ilvl w:val="0"/>
                <w:numId w:val="18"/>
              </w:numPr>
              <w:rPr>
                <w:rFonts w:ascii="Times New Roman" w:hAnsi="Times New Roman"/>
                <w:sz w:val="20"/>
                <w:szCs w:val="20"/>
              </w:rPr>
            </w:pPr>
            <w:r>
              <w:rPr>
                <w:rFonts w:ascii="Times New Roman" w:hAnsi="Times New Roman"/>
                <w:sz w:val="20"/>
                <w:szCs w:val="20"/>
              </w:rPr>
              <w:t>Cybersecurity (particularly, Military Installations and Fusion Centers)</w:t>
            </w:r>
          </w:p>
        </w:tc>
      </w:tr>
      <w:tr w:rsidR="00322831" w:rsidRPr="000C1ECF" w:rsidTr="00322831">
        <w:trPr>
          <w:trHeight w:val="50"/>
        </w:trPr>
        <w:tc>
          <w:tcPr>
            <w:tcW w:w="1536" w:type="dxa"/>
            <w:tcBorders>
              <w:top w:val="single" w:sz="8" w:space="0" w:color="auto"/>
              <w:left w:val="single" w:sz="8" w:space="0" w:color="auto"/>
              <w:bottom w:val="single" w:sz="4" w:space="0" w:color="auto"/>
              <w:right w:val="single" w:sz="8" w:space="0" w:color="auto"/>
            </w:tcBorders>
          </w:tcPr>
          <w:p w:rsidR="00322831" w:rsidRPr="00C2123A" w:rsidRDefault="00322831" w:rsidP="00322831">
            <w:r w:rsidRPr="00C2123A">
              <w:t xml:space="preserve">Security </w:t>
            </w:r>
            <w:r>
              <w:t>Fabric</w:t>
            </w:r>
          </w:p>
          <w:p w:rsidR="00322831" w:rsidRPr="00C2123A" w:rsidRDefault="00322831" w:rsidP="00322831">
            <w:r w:rsidRPr="00C2123A">
              <w:t>(e.g., U, LES, S, TS)</w:t>
            </w:r>
          </w:p>
        </w:tc>
        <w:tc>
          <w:tcPr>
            <w:tcW w:w="7905" w:type="dxa"/>
            <w:gridSpan w:val="2"/>
            <w:tcBorders>
              <w:top w:val="single" w:sz="4" w:space="0" w:color="auto"/>
              <w:left w:val="nil"/>
              <w:bottom w:val="single" w:sz="4" w:space="0" w:color="auto"/>
              <w:right w:val="single" w:sz="8" w:space="0" w:color="000000"/>
            </w:tcBorders>
          </w:tcPr>
          <w:p w:rsidR="00322831" w:rsidRPr="00C2123A" w:rsidRDefault="00663506" w:rsidP="00322831">
            <w:r w:rsidRPr="00F5451B">
              <w:t>S, TS</w:t>
            </w:r>
          </w:p>
        </w:tc>
      </w:tr>
      <w:tr w:rsidR="00322831" w:rsidRPr="000C1ECF" w:rsidTr="00322831">
        <w:trPr>
          <w:trHeight w:val="493"/>
        </w:trPr>
        <w:tc>
          <w:tcPr>
            <w:tcW w:w="1536" w:type="dxa"/>
            <w:tcBorders>
              <w:top w:val="single" w:sz="8" w:space="0" w:color="auto"/>
              <w:left w:val="single" w:sz="8" w:space="0" w:color="auto"/>
              <w:bottom w:val="single" w:sz="4" w:space="0" w:color="auto"/>
              <w:right w:val="single" w:sz="8" w:space="0" w:color="auto"/>
            </w:tcBorders>
            <w:hideMark/>
          </w:tcPr>
          <w:p w:rsidR="00322831" w:rsidRPr="00C2123A" w:rsidRDefault="00322831" w:rsidP="00322831">
            <w:r w:rsidRPr="00C2123A">
              <w:t>Scenario Description</w:t>
            </w:r>
          </w:p>
        </w:tc>
        <w:tc>
          <w:tcPr>
            <w:tcW w:w="7905" w:type="dxa"/>
            <w:gridSpan w:val="2"/>
            <w:tcBorders>
              <w:top w:val="single" w:sz="4" w:space="0" w:color="auto"/>
              <w:left w:val="nil"/>
              <w:bottom w:val="single" w:sz="4" w:space="0" w:color="auto"/>
              <w:right w:val="single" w:sz="8" w:space="0" w:color="000000"/>
            </w:tcBorders>
          </w:tcPr>
          <w:p w:rsidR="00322831" w:rsidRPr="00C2123A" w:rsidRDefault="00663506" w:rsidP="00322831">
            <w:r w:rsidRPr="003D4EBE">
              <w:t xml:space="preserve">Defense Critical Infrastructure Intelligence Network (DCIIN) </w:t>
            </w:r>
            <w:r w:rsidRPr="00907774">
              <w:t>DoD portal that provides information and intelligence related to DoD critical infrastructure assets</w:t>
            </w:r>
            <w:r>
              <w:t xml:space="preserve"> for use by SLTTs, USG, and the IC</w:t>
            </w:r>
            <w:r w:rsidRPr="00907774">
              <w:t xml:space="preserve">.  </w:t>
            </w:r>
            <w:r>
              <w:t>T</w:t>
            </w:r>
            <w:r w:rsidRPr="00907774">
              <w:t>he need for timely cross domain dissemination between JWICS SharePoint instances (which it currently exists) to other systems and servers on other classification domains is an important step for improved information sharing, accessibility and direct</w:t>
            </w:r>
            <w:r>
              <w:t xml:space="preserve"> support</w:t>
            </w:r>
            <w:r w:rsidRPr="00907774">
              <w:t>.</w:t>
            </w:r>
          </w:p>
        </w:tc>
      </w:tr>
      <w:tr w:rsidR="00322831" w:rsidRPr="000C1ECF" w:rsidTr="00322831">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322831" w:rsidRPr="00C2123A" w:rsidRDefault="00322831" w:rsidP="00322831">
            <w:r w:rsidRPr="00C2123A">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915B55" w:rsidRPr="00F5451B" w:rsidRDefault="00915B55" w:rsidP="00915B55">
            <w:pPr>
              <w:pStyle w:val="ListParagraph"/>
              <w:numPr>
                <w:ilvl w:val="0"/>
                <w:numId w:val="19"/>
              </w:numPr>
              <w:rPr>
                <w:rFonts w:ascii="Times New Roman" w:hAnsi="Times New Roman"/>
                <w:sz w:val="20"/>
                <w:szCs w:val="20"/>
              </w:rPr>
            </w:pPr>
            <w:r w:rsidRPr="00F5451B">
              <w:rPr>
                <w:rFonts w:ascii="Times New Roman" w:hAnsi="Times New Roman"/>
                <w:sz w:val="20"/>
                <w:szCs w:val="20"/>
              </w:rPr>
              <w:t>Fed</w:t>
            </w:r>
            <w:r w:rsidR="009179FB">
              <w:rPr>
                <w:rFonts w:ascii="Times New Roman" w:hAnsi="Times New Roman"/>
                <w:sz w:val="20"/>
                <w:szCs w:val="20"/>
              </w:rPr>
              <w:t>eral</w:t>
            </w:r>
            <w:r w:rsidRPr="00F5451B">
              <w:rPr>
                <w:rFonts w:ascii="Times New Roman" w:hAnsi="Times New Roman"/>
                <w:sz w:val="20"/>
                <w:szCs w:val="20"/>
              </w:rPr>
              <w:t>↔Fed</w:t>
            </w:r>
            <w:r w:rsidR="009179FB">
              <w:rPr>
                <w:rFonts w:ascii="Times New Roman" w:hAnsi="Times New Roman"/>
                <w:sz w:val="20"/>
                <w:szCs w:val="20"/>
              </w:rPr>
              <w:t>eral</w:t>
            </w:r>
          </w:p>
          <w:p w:rsidR="00322831" w:rsidRPr="00F5451B" w:rsidRDefault="00915B55" w:rsidP="00915B55">
            <w:pPr>
              <w:pStyle w:val="ListParagraph"/>
              <w:numPr>
                <w:ilvl w:val="0"/>
                <w:numId w:val="19"/>
              </w:numPr>
              <w:rPr>
                <w:rFonts w:ascii="Times New Roman" w:hAnsi="Times New Roman"/>
                <w:sz w:val="20"/>
                <w:szCs w:val="20"/>
              </w:rPr>
            </w:pPr>
            <w:r w:rsidRPr="00F5451B">
              <w:rPr>
                <w:rFonts w:ascii="Times New Roman" w:hAnsi="Times New Roman"/>
                <w:sz w:val="20"/>
                <w:szCs w:val="20"/>
              </w:rPr>
              <w:t>Fed</w:t>
            </w:r>
            <w:r w:rsidR="009179FB">
              <w:rPr>
                <w:rFonts w:ascii="Times New Roman" w:hAnsi="Times New Roman"/>
                <w:sz w:val="20"/>
                <w:szCs w:val="20"/>
              </w:rPr>
              <w:t>eral</w:t>
            </w:r>
            <w:r w:rsidRPr="00F5451B">
              <w:rPr>
                <w:rFonts w:ascii="Times New Roman" w:hAnsi="Times New Roman"/>
                <w:sz w:val="20"/>
                <w:szCs w:val="20"/>
              </w:rPr>
              <w:t>↔State</w:t>
            </w:r>
          </w:p>
        </w:tc>
      </w:tr>
      <w:tr w:rsidR="00322831" w:rsidRPr="000C1ECF" w:rsidTr="00322831">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322831" w:rsidRPr="00F5451B" w:rsidRDefault="00322831" w:rsidP="00322831">
            <w:pPr>
              <w:jc w:val="center"/>
            </w:pPr>
            <w:r w:rsidRPr="00F5451B">
              <w:t>Key Stakeholders</w:t>
            </w:r>
          </w:p>
        </w:tc>
      </w:tr>
      <w:tr w:rsidR="00322831" w:rsidRPr="000C1ECF" w:rsidTr="00105C39">
        <w:trPr>
          <w:trHeight w:val="1988"/>
        </w:trPr>
        <w:tc>
          <w:tcPr>
            <w:tcW w:w="1536" w:type="dxa"/>
            <w:tcBorders>
              <w:top w:val="single" w:sz="4" w:space="0" w:color="auto"/>
              <w:left w:val="single" w:sz="8" w:space="0" w:color="auto"/>
              <w:bottom w:val="single" w:sz="4" w:space="0" w:color="auto"/>
              <w:right w:val="single" w:sz="8" w:space="0" w:color="auto"/>
            </w:tcBorders>
          </w:tcPr>
          <w:p w:rsidR="00322831" w:rsidRPr="000C1ECF" w:rsidRDefault="00322831" w:rsidP="00322831">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105C39" w:rsidRPr="00105C39" w:rsidRDefault="00105C39" w:rsidP="00105C39">
            <w:pPr>
              <w:pStyle w:val="ListParagraph"/>
              <w:numPr>
                <w:ilvl w:val="0"/>
                <w:numId w:val="32"/>
              </w:numPr>
            </w:pPr>
            <w:r>
              <w:rPr>
                <w:rFonts w:ascii="Times New Roman" w:hAnsi="Times New Roman"/>
                <w:sz w:val="20"/>
                <w:szCs w:val="20"/>
              </w:rPr>
              <w:t>Department of Defense</w:t>
            </w:r>
          </w:p>
          <w:p w:rsidR="000F0FAF" w:rsidRPr="00105C39" w:rsidRDefault="000F0FAF" w:rsidP="00105C39">
            <w:pPr>
              <w:pStyle w:val="ListParagraph"/>
              <w:numPr>
                <w:ilvl w:val="0"/>
                <w:numId w:val="32"/>
              </w:numPr>
            </w:pPr>
            <w:r w:rsidRPr="00105C39">
              <w:rPr>
                <w:rFonts w:ascii="Times New Roman" w:hAnsi="Times New Roman"/>
                <w:sz w:val="20"/>
                <w:szCs w:val="20"/>
              </w:rPr>
              <w:t>Homeland Security</w:t>
            </w:r>
          </w:p>
          <w:p w:rsidR="000F0FAF" w:rsidRPr="00105C39" w:rsidRDefault="000F0FAF" w:rsidP="00105C39">
            <w:pPr>
              <w:pStyle w:val="ListParagraph"/>
              <w:numPr>
                <w:ilvl w:val="0"/>
                <w:numId w:val="32"/>
              </w:numPr>
            </w:pPr>
            <w:r w:rsidRPr="00105C39">
              <w:rPr>
                <w:rFonts w:ascii="Times New Roman" w:hAnsi="Times New Roman"/>
                <w:sz w:val="20"/>
                <w:szCs w:val="20"/>
              </w:rPr>
              <w:t>Intelligence</w:t>
            </w:r>
          </w:p>
          <w:p w:rsidR="000F0FAF" w:rsidRPr="00105C39" w:rsidRDefault="000F0FAF" w:rsidP="00105C39">
            <w:pPr>
              <w:pStyle w:val="ListParagraph"/>
              <w:numPr>
                <w:ilvl w:val="0"/>
                <w:numId w:val="32"/>
              </w:numPr>
            </w:pPr>
            <w:r w:rsidRPr="00105C39">
              <w:rPr>
                <w:rFonts w:ascii="Times New Roman" w:hAnsi="Times New Roman"/>
                <w:sz w:val="20"/>
                <w:szCs w:val="20"/>
              </w:rPr>
              <w:t>Critical Infrastructure</w:t>
            </w:r>
          </w:p>
          <w:p w:rsidR="000F0FAF" w:rsidRPr="00105C39" w:rsidRDefault="000F0FAF" w:rsidP="00105C39">
            <w:pPr>
              <w:pStyle w:val="ListParagraph"/>
              <w:numPr>
                <w:ilvl w:val="0"/>
                <w:numId w:val="32"/>
              </w:numPr>
            </w:pPr>
            <w:r w:rsidRPr="00105C39">
              <w:rPr>
                <w:rFonts w:ascii="Times New Roman" w:hAnsi="Times New Roman"/>
                <w:sz w:val="20"/>
                <w:szCs w:val="20"/>
              </w:rPr>
              <w:t>Fusion Centers</w:t>
            </w:r>
          </w:p>
          <w:p w:rsidR="00105C39" w:rsidRPr="00105C39" w:rsidRDefault="000F0FAF" w:rsidP="00105C39">
            <w:pPr>
              <w:pStyle w:val="ListParagraph"/>
              <w:ind w:left="360"/>
            </w:pPr>
            <w:r w:rsidRPr="00105C39">
              <w:rPr>
                <w:rFonts w:ascii="Times New Roman" w:hAnsi="Times New Roman"/>
                <w:sz w:val="20"/>
                <w:szCs w:val="20"/>
              </w:rPr>
              <w:t>Local Law Enforcement</w:t>
            </w:r>
            <w:r w:rsidR="00105C39">
              <w:rPr>
                <w:rFonts w:ascii="Times New Roman" w:hAnsi="Times New Roman"/>
                <w:sz w:val="20"/>
                <w:szCs w:val="20"/>
              </w:rPr>
              <w:t xml:space="preserve"> </w:t>
            </w:r>
          </w:p>
          <w:p w:rsidR="000F0FAF" w:rsidRPr="00F5451B" w:rsidRDefault="000F0FAF" w:rsidP="00105C39">
            <w:pPr>
              <w:pStyle w:val="ListParagraph"/>
              <w:numPr>
                <w:ilvl w:val="0"/>
                <w:numId w:val="32"/>
              </w:numPr>
            </w:pPr>
            <w:r w:rsidRPr="00105C39">
              <w:rPr>
                <w:rFonts w:ascii="Times New Roman" w:hAnsi="Times New Roman"/>
                <w:sz w:val="20"/>
                <w:szCs w:val="20"/>
              </w:rPr>
              <w:t>Emergency Management</w:t>
            </w:r>
          </w:p>
        </w:tc>
      </w:tr>
      <w:tr w:rsidR="00322831" w:rsidRPr="000C1ECF" w:rsidTr="00322831">
        <w:trPr>
          <w:trHeight w:val="350"/>
        </w:trPr>
        <w:tc>
          <w:tcPr>
            <w:tcW w:w="1536" w:type="dxa"/>
            <w:tcBorders>
              <w:top w:val="single" w:sz="4" w:space="0" w:color="auto"/>
              <w:left w:val="single" w:sz="8" w:space="0" w:color="auto"/>
              <w:bottom w:val="single" w:sz="4" w:space="0" w:color="auto"/>
              <w:right w:val="single" w:sz="8" w:space="0" w:color="auto"/>
            </w:tcBorders>
          </w:tcPr>
          <w:p w:rsidR="00322831" w:rsidRPr="00C2123A" w:rsidRDefault="00322831" w:rsidP="00322831">
            <w:r w:rsidRPr="00C2123A">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322831" w:rsidRPr="00F5451B" w:rsidRDefault="00663506" w:rsidP="00322831">
            <w:r w:rsidRPr="00F5451B">
              <w:t>DoD</w:t>
            </w:r>
          </w:p>
        </w:tc>
      </w:tr>
      <w:tr w:rsidR="00322831" w:rsidRPr="000C1ECF" w:rsidTr="00322831">
        <w:trPr>
          <w:trHeight w:val="350"/>
        </w:trPr>
        <w:tc>
          <w:tcPr>
            <w:tcW w:w="1536" w:type="dxa"/>
            <w:tcBorders>
              <w:top w:val="single" w:sz="4" w:space="0" w:color="auto"/>
              <w:left w:val="single" w:sz="8" w:space="0" w:color="auto"/>
              <w:bottom w:val="single" w:sz="4" w:space="0" w:color="auto"/>
              <w:right w:val="single" w:sz="8" w:space="0" w:color="auto"/>
            </w:tcBorders>
          </w:tcPr>
          <w:p w:rsidR="00322831" w:rsidRPr="00C2123A" w:rsidRDefault="00322831" w:rsidP="00322831">
            <w:r w:rsidRPr="00C2123A">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322831" w:rsidRPr="00F5451B" w:rsidRDefault="00663506" w:rsidP="00322831">
            <w:r w:rsidRPr="00F5451B">
              <w:t>SLTT, Fusion Centers, USG/IC</w:t>
            </w:r>
          </w:p>
        </w:tc>
      </w:tr>
      <w:tr w:rsidR="00322831" w:rsidRPr="000C1ECF" w:rsidTr="00322831">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322831" w:rsidRPr="00C2123A" w:rsidRDefault="00322831" w:rsidP="00322831">
            <w:pPr>
              <w:jc w:val="center"/>
              <w:rPr>
                <w:color w:val="FFFFFF" w:themeColor="background1"/>
              </w:rPr>
            </w:pPr>
            <w:r>
              <w:rPr>
                <w:color w:val="FFFFFF" w:themeColor="background1"/>
              </w:rPr>
              <w:t>Scenario</w:t>
            </w:r>
            <w:r w:rsidRPr="00C2123A">
              <w:rPr>
                <w:color w:val="FFFFFF" w:themeColor="background1"/>
              </w:rPr>
              <w:t xml:space="preserve"> Details</w:t>
            </w:r>
          </w:p>
        </w:tc>
      </w:tr>
      <w:tr w:rsidR="00322831" w:rsidRPr="000C1ECF" w:rsidTr="00221E3D">
        <w:trPr>
          <w:trHeight w:val="323"/>
        </w:trPr>
        <w:tc>
          <w:tcPr>
            <w:tcW w:w="1536" w:type="dxa"/>
            <w:tcBorders>
              <w:top w:val="single" w:sz="4" w:space="0" w:color="auto"/>
              <w:left w:val="single" w:sz="8" w:space="0" w:color="auto"/>
              <w:bottom w:val="single" w:sz="4" w:space="0" w:color="auto"/>
              <w:right w:val="single" w:sz="8" w:space="0" w:color="auto"/>
            </w:tcBorders>
            <w:hideMark/>
          </w:tcPr>
          <w:p w:rsidR="00322831" w:rsidRPr="00C2123A" w:rsidRDefault="00322831" w:rsidP="00322831">
            <w:r w:rsidRPr="00C2123A">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322831" w:rsidRPr="000C1ECF" w:rsidRDefault="00221E3D" w:rsidP="00221E3D">
            <w:r>
              <w:t xml:space="preserve">Information Transformation </w:t>
            </w:r>
            <w:r w:rsidR="005A468E" w:rsidRPr="005A468E">
              <w:t xml:space="preserve"> of STIX</w:t>
            </w:r>
            <w:r>
              <w:t xml:space="preserve"> to NIEM and other Proprietary schemas and languages.</w:t>
            </w:r>
          </w:p>
        </w:tc>
      </w:tr>
      <w:tr w:rsidR="00322831" w:rsidRPr="000C1ECF" w:rsidTr="00322831">
        <w:trPr>
          <w:trHeight w:val="530"/>
        </w:trPr>
        <w:tc>
          <w:tcPr>
            <w:tcW w:w="1536" w:type="dxa"/>
            <w:tcBorders>
              <w:top w:val="single" w:sz="4" w:space="0" w:color="auto"/>
              <w:left w:val="single" w:sz="8" w:space="0" w:color="auto"/>
              <w:bottom w:val="single" w:sz="8" w:space="0" w:color="auto"/>
              <w:right w:val="single" w:sz="8" w:space="0" w:color="auto"/>
            </w:tcBorders>
            <w:hideMark/>
          </w:tcPr>
          <w:p w:rsidR="00322831" w:rsidRPr="00C2123A" w:rsidRDefault="00322831" w:rsidP="00322831">
            <w:r w:rsidRPr="00C2123A">
              <w:t>Exchange Scenario</w:t>
            </w:r>
          </w:p>
        </w:tc>
        <w:tc>
          <w:tcPr>
            <w:tcW w:w="7905" w:type="dxa"/>
            <w:gridSpan w:val="2"/>
            <w:tcBorders>
              <w:top w:val="single" w:sz="4" w:space="0" w:color="auto"/>
              <w:left w:val="nil"/>
              <w:bottom w:val="single" w:sz="8" w:space="0" w:color="000000"/>
              <w:right w:val="single" w:sz="8" w:space="0" w:color="000000"/>
            </w:tcBorders>
          </w:tcPr>
          <w:p w:rsidR="00915B55" w:rsidRPr="00D67C6C" w:rsidRDefault="00915B55" w:rsidP="00105C39">
            <w:r w:rsidRPr="00F5451B">
              <w:t>DCIIN includes ArcGIS mapping, intelligence reporting, and key workspaces for daily Defense Critical Infrastructure staff functions.  As the user set for this data expands, the need for timely cross domain dissemination between JWICS SharePoint instances (which it currently exists) to other systems and servers on other classification domains is an important step for improved information sharing, accessibility and direct support to Services, Combatant Commands and the war fighter.  Currently, this information is not assessable to those who need it most - those serving at CONUS installations and state fusion centers.</w:t>
            </w:r>
            <w:r w:rsidRPr="00915B55">
              <w:t xml:space="preserve">  </w:t>
            </w:r>
          </w:p>
        </w:tc>
      </w:tr>
      <w:tr w:rsidR="00322831" w:rsidRPr="000C1ECF" w:rsidTr="00322831">
        <w:trPr>
          <w:trHeight w:val="115"/>
        </w:trPr>
        <w:tc>
          <w:tcPr>
            <w:tcW w:w="1536" w:type="dxa"/>
            <w:tcBorders>
              <w:top w:val="single" w:sz="4" w:space="0" w:color="auto"/>
              <w:left w:val="single" w:sz="8" w:space="0" w:color="auto"/>
              <w:bottom w:val="single" w:sz="4" w:space="0" w:color="auto"/>
              <w:right w:val="single" w:sz="8" w:space="0" w:color="auto"/>
            </w:tcBorders>
            <w:hideMark/>
          </w:tcPr>
          <w:p w:rsidR="00322831" w:rsidRPr="00C2123A" w:rsidRDefault="00322831" w:rsidP="00322831">
            <w:r w:rsidRPr="00C2123A">
              <w:t>Business Rules</w:t>
            </w:r>
          </w:p>
        </w:tc>
        <w:tc>
          <w:tcPr>
            <w:tcW w:w="7905" w:type="dxa"/>
            <w:gridSpan w:val="2"/>
            <w:tcBorders>
              <w:top w:val="single" w:sz="4" w:space="0" w:color="auto"/>
              <w:left w:val="nil"/>
              <w:bottom w:val="single" w:sz="4" w:space="0" w:color="auto"/>
              <w:right w:val="single" w:sz="8" w:space="0" w:color="000000"/>
            </w:tcBorders>
          </w:tcPr>
          <w:p w:rsidR="00322831" w:rsidRPr="000C1ECF" w:rsidRDefault="005A468E" w:rsidP="00322831">
            <w:r>
              <w:t>TBD by stakeholders</w:t>
            </w:r>
          </w:p>
        </w:tc>
      </w:tr>
      <w:tr w:rsidR="00322831" w:rsidRPr="000C1ECF" w:rsidTr="00322831">
        <w:trPr>
          <w:trHeight w:val="115"/>
        </w:trPr>
        <w:tc>
          <w:tcPr>
            <w:tcW w:w="1536" w:type="dxa"/>
            <w:tcBorders>
              <w:top w:val="single" w:sz="4" w:space="0" w:color="auto"/>
              <w:left w:val="single" w:sz="8" w:space="0" w:color="auto"/>
              <w:bottom w:val="single" w:sz="4" w:space="0" w:color="auto"/>
              <w:right w:val="single" w:sz="8" w:space="0" w:color="auto"/>
            </w:tcBorders>
          </w:tcPr>
          <w:p w:rsidR="00322831" w:rsidRPr="000C1ECF" w:rsidRDefault="00322831" w:rsidP="00322831">
            <w:r>
              <w:t>Mapping to ESSA’s Enduring Functional Exchanges</w:t>
            </w:r>
            <w:r w:rsidR="00AA4498">
              <w:t xml:space="preserve"> (EFE) </w:t>
            </w:r>
          </w:p>
        </w:tc>
        <w:tc>
          <w:tcPr>
            <w:tcW w:w="7905" w:type="dxa"/>
            <w:gridSpan w:val="2"/>
            <w:tcBorders>
              <w:top w:val="single" w:sz="4" w:space="0" w:color="auto"/>
              <w:left w:val="nil"/>
              <w:bottom w:val="single" w:sz="4" w:space="0" w:color="auto"/>
              <w:right w:val="single" w:sz="8" w:space="0" w:color="000000"/>
            </w:tcBorders>
          </w:tcPr>
          <w:p w:rsidR="00322831" w:rsidRPr="000C1ECF" w:rsidRDefault="005A468E" w:rsidP="005A468E">
            <w:r w:rsidRPr="005A468E">
              <w:t>(</w:t>
            </w:r>
            <w:r w:rsidR="00322831" w:rsidRPr="005A468E">
              <w:t xml:space="preserve">1) Configuration/Anomaly Reporting; (2) Knowledge of Threat Actors; (3) Incident Awareness; (4) Indicators and Warnings; (5) Vulnerability Knowledge; (6) Mitigation Strategies; (7) Mitigation Actions &amp; Responses </w:t>
            </w:r>
          </w:p>
        </w:tc>
      </w:tr>
      <w:tr w:rsidR="00322831" w:rsidRPr="000C1ECF" w:rsidTr="00322831">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322831" w:rsidRPr="00C2123A" w:rsidRDefault="00322831" w:rsidP="00322831">
            <w:pPr>
              <w:jc w:val="center"/>
              <w:rPr>
                <w:color w:val="FFFFFF" w:themeColor="background1"/>
              </w:rPr>
            </w:pPr>
            <w:r w:rsidRPr="00C2123A">
              <w:rPr>
                <w:color w:val="FFFFFF" w:themeColor="background1"/>
              </w:rPr>
              <w:t>Data Elements</w:t>
            </w:r>
          </w:p>
        </w:tc>
      </w:tr>
      <w:tr w:rsidR="00322831" w:rsidRPr="000C1ECF" w:rsidTr="00322831">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322831" w:rsidRPr="00C2123A" w:rsidRDefault="00322831" w:rsidP="00322831">
            <w:pPr>
              <w:jc w:val="center"/>
              <w:rPr>
                <w:color w:val="FFFFFF" w:themeColor="background1"/>
              </w:rPr>
            </w:pPr>
            <w:r w:rsidRPr="00C2123A">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322831" w:rsidRPr="00C2123A" w:rsidRDefault="00322831" w:rsidP="00322831">
            <w:pPr>
              <w:jc w:val="center"/>
              <w:rPr>
                <w:color w:val="FFFFFF" w:themeColor="background1"/>
              </w:rPr>
            </w:pPr>
            <w:r w:rsidRPr="00C2123A">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322831" w:rsidRPr="00C2123A" w:rsidRDefault="00322831" w:rsidP="00322831">
            <w:pPr>
              <w:jc w:val="center"/>
              <w:rPr>
                <w:color w:val="FFFFFF" w:themeColor="background1"/>
              </w:rPr>
            </w:pPr>
            <w:r w:rsidRPr="00C2123A">
              <w:rPr>
                <w:color w:val="FFFFFF" w:themeColor="background1"/>
              </w:rPr>
              <w:t>Definitions</w:t>
            </w:r>
          </w:p>
        </w:tc>
      </w:tr>
      <w:tr w:rsidR="00322831" w:rsidRPr="000C1ECF" w:rsidTr="00322831">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322831" w:rsidRPr="00C2123A" w:rsidRDefault="00322831" w:rsidP="00322831">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322831" w:rsidRPr="00C2123A" w:rsidRDefault="00322831" w:rsidP="00322831">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322831" w:rsidRPr="00C2123A" w:rsidRDefault="00322831" w:rsidP="00322831">
            <w:pPr>
              <w:jc w:val="center"/>
              <w:rPr>
                <w:color w:val="FFFFFF" w:themeColor="background1"/>
              </w:rPr>
            </w:pPr>
          </w:p>
        </w:tc>
      </w:tr>
      <w:tr w:rsidR="00322831" w:rsidRPr="000C1ECF" w:rsidTr="00322831">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322831" w:rsidRPr="000C1ECF" w:rsidRDefault="00322831" w:rsidP="00322831">
            <w:r>
              <w:t xml:space="preserve">Additional Information: </w:t>
            </w:r>
          </w:p>
        </w:tc>
      </w:tr>
    </w:tbl>
    <w:p w:rsidR="00E400F4" w:rsidRDefault="00E400F4">
      <w:pPr>
        <w:rPr>
          <w:sz w:val="22"/>
          <w:szCs w:val="22"/>
        </w:rPr>
      </w:pPr>
      <w:r>
        <w:rPr>
          <w:sz w:val="22"/>
          <w:szCs w:val="22"/>
        </w:rPr>
        <w:br w:type="page"/>
      </w:r>
    </w:p>
    <w:p w:rsidR="00663506" w:rsidRDefault="001B04CD" w:rsidP="00C17CD4">
      <w:pPr>
        <w:pStyle w:val="Heading2"/>
      </w:pPr>
      <w:r>
        <w:t>Scenario</w:t>
      </w:r>
      <w:r w:rsidR="00C17CD4">
        <w:t xml:space="preserve"> Story #9</w:t>
      </w:r>
    </w:p>
    <w:p w:rsidR="00C17CD4" w:rsidRDefault="00C17CD4">
      <w:pPr>
        <w:rPr>
          <w:sz w:val="22"/>
          <w:szCs w:val="22"/>
        </w:rPr>
      </w:pPr>
    </w:p>
    <w:p w:rsidR="00526F5B" w:rsidRPr="001618A3" w:rsidRDefault="00526F5B" w:rsidP="00526F5B">
      <w:pPr>
        <w:rPr>
          <w:sz w:val="22"/>
          <w:szCs w:val="22"/>
        </w:rPr>
      </w:pPr>
      <w:r w:rsidRPr="001618A3">
        <w:rPr>
          <w:sz w:val="22"/>
          <w:szCs w:val="22"/>
        </w:rPr>
        <w:t>Due to the classified and sensitive nature of a potential insider threat to a DOD facility or infrastructure, the follow compelling cross-domain scenario is for illustrative purposes only:</w:t>
      </w:r>
      <w:r w:rsidRPr="001618A3">
        <w:t xml:space="preserve"> </w:t>
      </w:r>
      <w:r w:rsidRPr="001618A3">
        <w:rPr>
          <w:sz w:val="22"/>
          <w:szCs w:val="22"/>
        </w:rPr>
        <w:t>On March 18, 2014 IRS, Pennsylvania reported that a former employee took home a computer thumb drive that contained personal information on 20,000 current and former employees and contractors. The information included Social Security numbers, names and addresses. The thumb drive was plugged into the employee’s unsecured network, which could have left the information vulnerable.</w:t>
      </w:r>
    </w:p>
    <w:p w:rsidR="00526F5B" w:rsidRPr="001618A3" w:rsidRDefault="00526F5B" w:rsidP="00526F5B">
      <w:pPr>
        <w:rPr>
          <w:sz w:val="22"/>
          <w:szCs w:val="22"/>
        </w:rPr>
      </w:pPr>
    </w:p>
    <w:p w:rsidR="00526F5B" w:rsidRPr="001618A3" w:rsidRDefault="00526F5B" w:rsidP="00526F5B">
      <w:pPr>
        <w:rPr>
          <w:sz w:val="22"/>
          <w:szCs w:val="22"/>
        </w:rPr>
      </w:pPr>
      <w:r w:rsidRPr="001618A3">
        <w:rPr>
          <w:sz w:val="22"/>
          <w:szCs w:val="22"/>
        </w:rPr>
        <w:t xml:space="preserve">According to the US DHS – CERT, an insider threat is generally defined as a current or former employee, contractor, or other business partner who has or had authorized access to an organization's network, system, or data and intentionally misused that access to negatively affect the confidentiality, integrity, or availability of the organization's information or information systems.   Other US government organizations like Defense Security Services have very similar definitions.  The key message is the ability for a trusted resource to intentionally (or unintentionally) take actions (but are not limited to, espionage, unauthorized disclosure of information, etc.) that are detrimental to an organizations’ operational viability.  This type of threat is not limited to government only, and is pervasive across all types of organizations.  What leads to Insider Threat incidents:  Some reasons include: Need or desire for money; Conflicting ideologies or disaffected political sympathies; and Psychological factors (e.g., exaggerated desire for adventure/excitement, ego gratification, misplaced anger, etc.). </w:t>
      </w:r>
    </w:p>
    <w:p w:rsidR="00526F5B" w:rsidRPr="001618A3" w:rsidRDefault="00526F5B" w:rsidP="00526F5B">
      <w:pPr>
        <w:rPr>
          <w:sz w:val="22"/>
          <w:szCs w:val="22"/>
        </w:rPr>
      </w:pPr>
    </w:p>
    <w:p w:rsidR="00526F5B" w:rsidRPr="001618A3" w:rsidRDefault="00526F5B" w:rsidP="00526F5B">
      <w:pPr>
        <w:rPr>
          <w:sz w:val="22"/>
          <w:szCs w:val="22"/>
        </w:rPr>
      </w:pPr>
      <w:r w:rsidRPr="001618A3">
        <w:rPr>
          <w:sz w:val="22"/>
          <w:szCs w:val="22"/>
        </w:rPr>
        <w:t>Key Indicators:  Not every person who exhibits one or more of these indicators is involved with illicit behavior, but most of the persons who have been involved with espionage were later found to have displayed one or more of these indicators.</w:t>
      </w:r>
    </w:p>
    <w:p w:rsidR="00526F5B" w:rsidRPr="001618A3" w:rsidRDefault="00526F5B" w:rsidP="00526F5B">
      <w:pPr>
        <w:rPr>
          <w:sz w:val="22"/>
          <w:szCs w:val="22"/>
        </w:rPr>
      </w:pPr>
      <w:r w:rsidRPr="001618A3">
        <w:rPr>
          <w:sz w:val="22"/>
          <w:szCs w:val="22"/>
        </w:rPr>
        <w:t>•</w:t>
      </w:r>
      <w:r w:rsidRPr="001618A3">
        <w:rPr>
          <w:sz w:val="22"/>
          <w:szCs w:val="22"/>
        </w:rPr>
        <w:tab/>
        <w:t>Failure to report overseas travel or contact with foreign nationals</w:t>
      </w:r>
    </w:p>
    <w:p w:rsidR="00526F5B" w:rsidRPr="001618A3" w:rsidRDefault="00526F5B" w:rsidP="00526F5B">
      <w:pPr>
        <w:rPr>
          <w:sz w:val="22"/>
          <w:szCs w:val="22"/>
        </w:rPr>
      </w:pPr>
      <w:r w:rsidRPr="001618A3">
        <w:rPr>
          <w:sz w:val="22"/>
          <w:szCs w:val="22"/>
        </w:rPr>
        <w:t>•</w:t>
      </w:r>
      <w:r w:rsidRPr="001618A3">
        <w:rPr>
          <w:sz w:val="22"/>
          <w:szCs w:val="22"/>
        </w:rPr>
        <w:tab/>
        <w:t>Seeking to gain higher clearance or expand access outside the job scope</w:t>
      </w:r>
    </w:p>
    <w:p w:rsidR="00526F5B" w:rsidRPr="001618A3" w:rsidRDefault="00526F5B" w:rsidP="00526F5B">
      <w:pPr>
        <w:rPr>
          <w:sz w:val="22"/>
          <w:szCs w:val="22"/>
        </w:rPr>
      </w:pPr>
      <w:r w:rsidRPr="001618A3">
        <w:rPr>
          <w:sz w:val="22"/>
          <w:szCs w:val="22"/>
        </w:rPr>
        <w:t>•</w:t>
      </w:r>
      <w:r w:rsidRPr="001618A3">
        <w:rPr>
          <w:sz w:val="22"/>
          <w:szCs w:val="22"/>
        </w:rPr>
        <w:tab/>
        <w:t>Engaging in classified conversations without a need to know</w:t>
      </w:r>
    </w:p>
    <w:p w:rsidR="00526F5B" w:rsidRPr="001618A3" w:rsidRDefault="00526F5B" w:rsidP="00526F5B">
      <w:pPr>
        <w:rPr>
          <w:sz w:val="22"/>
          <w:szCs w:val="22"/>
        </w:rPr>
      </w:pPr>
      <w:r w:rsidRPr="001618A3">
        <w:rPr>
          <w:sz w:val="22"/>
          <w:szCs w:val="22"/>
        </w:rPr>
        <w:t>•</w:t>
      </w:r>
      <w:r w:rsidRPr="001618A3">
        <w:rPr>
          <w:sz w:val="22"/>
          <w:szCs w:val="22"/>
        </w:rPr>
        <w:tab/>
        <w:t>Working hours inconsistent with job assignment or insistence on working in private</w:t>
      </w:r>
    </w:p>
    <w:p w:rsidR="00526F5B" w:rsidRPr="001618A3" w:rsidRDefault="00526F5B" w:rsidP="00526F5B">
      <w:pPr>
        <w:rPr>
          <w:sz w:val="22"/>
          <w:szCs w:val="22"/>
        </w:rPr>
      </w:pPr>
      <w:r w:rsidRPr="001618A3">
        <w:rPr>
          <w:sz w:val="22"/>
          <w:szCs w:val="22"/>
        </w:rPr>
        <w:t>•</w:t>
      </w:r>
      <w:r w:rsidRPr="001618A3">
        <w:rPr>
          <w:sz w:val="22"/>
          <w:szCs w:val="22"/>
        </w:rPr>
        <w:tab/>
        <w:t xml:space="preserve">Exploitable behavior traits </w:t>
      </w:r>
    </w:p>
    <w:p w:rsidR="00526F5B" w:rsidRPr="001618A3" w:rsidRDefault="00526F5B" w:rsidP="00526F5B">
      <w:pPr>
        <w:rPr>
          <w:sz w:val="22"/>
          <w:szCs w:val="22"/>
        </w:rPr>
      </w:pPr>
      <w:r w:rsidRPr="001618A3">
        <w:rPr>
          <w:sz w:val="22"/>
          <w:szCs w:val="22"/>
        </w:rPr>
        <w:t>•</w:t>
      </w:r>
      <w:r w:rsidRPr="001618A3">
        <w:rPr>
          <w:sz w:val="22"/>
          <w:szCs w:val="22"/>
        </w:rPr>
        <w:tab/>
        <w:t>Repeated security violations</w:t>
      </w:r>
    </w:p>
    <w:p w:rsidR="00C17CD4" w:rsidRPr="001618A3" w:rsidRDefault="00526F5B" w:rsidP="00526F5B">
      <w:pPr>
        <w:rPr>
          <w:sz w:val="22"/>
        </w:rPr>
      </w:pPr>
      <w:r w:rsidRPr="001618A3">
        <w:rPr>
          <w:sz w:val="22"/>
          <w:szCs w:val="22"/>
        </w:rPr>
        <w:t>•</w:t>
      </w:r>
      <w:r w:rsidRPr="001618A3">
        <w:rPr>
          <w:sz w:val="22"/>
          <w:szCs w:val="22"/>
        </w:rPr>
        <w:tab/>
        <w:t>Attempting to enter areas not granted access to</w:t>
      </w:r>
    </w:p>
    <w:p w:rsidR="00C17CD4" w:rsidRDefault="00C17CD4">
      <w:pPr>
        <w:rPr>
          <w:sz w:val="22"/>
          <w:szCs w:val="22"/>
        </w:rPr>
      </w:pPr>
    </w:p>
    <w:tbl>
      <w:tblPr>
        <w:tblW w:w="9441" w:type="dxa"/>
        <w:tblInd w:w="93" w:type="dxa"/>
        <w:tblLook w:val="04A0" w:firstRow="1" w:lastRow="0" w:firstColumn="1" w:lastColumn="0" w:noHBand="0" w:noVBand="1"/>
      </w:tblPr>
      <w:tblGrid>
        <w:gridCol w:w="1536"/>
        <w:gridCol w:w="3815"/>
        <w:gridCol w:w="4090"/>
      </w:tblGrid>
      <w:tr w:rsidR="00663506" w:rsidRPr="000C1ECF" w:rsidTr="006F77C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63506" w:rsidRPr="00C2123A" w:rsidRDefault="00663506" w:rsidP="006F77CF">
            <w:pPr>
              <w:jc w:val="center"/>
              <w:rPr>
                <w:color w:val="FFFFFF" w:themeColor="background1"/>
              </w:rPr>
            </w:pPr>
            <w:r w:rsidRPr="00C2123A">
              <w:rPr>
                <w:color w:val="FFFFFF" w:themeColor="background1"/>
              </w:rPr>
              <w:t>Use Case</w:t>
            </w:r>
            <w:r>
              <w:rPr>
                <w:color w:val="FFFFFF" w:themeColor="background1"/>
              </w:rPr>
              <w:t xml:space="preserve"> #9</w:t>
            </w:r>
          </w:p>
        </w:tc>
      </w:tr>
      <w:tr w:rsidR="00663506" w:rsidRPr="000C1ECF" w:rsidTr="006F77CF">
        <w:trPr>
          <w:trHeight w:val="88"/>
        </w:trPr>
        <w:tc>
          <w:tcPr>
            <w:tcW w:w="1536" w:type="dxa"/>
            <w:tcBorders>
              <w:top w:val="single" w:sz="8" w:space="0" w:color="auto"/>
              <w:left w:val="single" w:sz="8" w:space="0" w:color="auto"/>
              <w:bottom w:val="single" w:sz="4" w:space="0" w:color="auto"/>
              <w:right w:val="single" w:sz="8" w:space="0" w:color="auto"/>
            </w:tcBorders>
          </w:tcPr>
          <w:p w:rsidR="00663506" w:rsidRPr="00C2123A" w:rsidRDefault="00663506" w:rsidP="006F77CF">
            <w:r w:rsidRPr="00C2123A">
              <w:t>Title</w:t>
            </w:r>
          </w:p>
        </w:tc>
        <w:tc>
          <w:tcPr>
            <w:tcW w:w="7905" w:type="dxa"/>
            <w:gridSpan w:val="2"/>
            <w:tcBorders>
              <w:top w:val="single" w:sz="4" w:space="0" w:color="auto"/>
              <w:left w:val="nil"/>
              <w:bottom w:val="single" w:sz="4" w:space="0" w:color="auto"/>
              <w:right w:val="single" w:sz="8" w:space="0" w:color="000000"/>
            </w:tcBorders>
          </w:tcPr>
          <w:p w:rsidR="00663506" w:rsidRPr="00C2123A" w:rsidRDefault="00663506" w:rsidP="006F77CF">
            <w:r w:rsidRPr="00F5451B">
              <w:t>DoD Information Sharing Portal</w:t>
            </w:r>
          </w:p>
        </w:tc>
      </w:tr>
      <w:tr w:rsidR="00663506" w:rsidRPr="000C1ECF" w:rsidTr="006F77CF">
        <w:trPr>
          <w:trHeight w:val="50"/>
        </w:trPr>
        <w:tc>
          <w:tcPr>
            <w:tcW w:w="1536" w:type="dxa"/>
            <w:tcBorders>
              <w:top w:val="single" w:sz="8" w:space="0" w:color="auto"/>
              <w:left w:val="single" w:sz="8" w:space="0" w:color="auto"/>
              <w:bottom w:val="single" w:sz="4" w:space="0" w:color="auto"/>
              <w:right w:val="single" w:sz="8" w:space="0" w:color="auto"/>
            </w:tcBorders>
          </w:tcPr>
          <w:p w:rsidR="00663506" w:rsidRPr="00C2123A" w:rsidRDefault="00663506" w:rsidP="006F77CF">
            <w:r w:rsidRPr="00C2123A">
              <w:t>Category</w:t>
            </w:r>
          </w:p>
        </w:tc>
        <w:tc>
          <w:tcPr>
            <w:tcW w:w="7905" w:type="dxa"/>
            <w:gridSpan w:val="2"/>
            <w:tcBorders>
              <w:top w:val="single" w:sz="4" w:space="0" w:color="auto"/>
              <w:left w:val="nil"/>
              <w:bottom w:val="single" w:sz="4" w:space="0" w:color="auto"/>
              <w:right w:val="single" w:sz="8" w:space="0" w:color="000000"/>
            </w:tcBorders>
          </w:tcPr>
          <w:p w:rsidR="00663506" w:rsidRPr="000C1ECF" w:rsidRDefault="00663506" w:rsidP="006F77CF">
            <w:r>
              <w:t>Integrated Risk Assessment for the Defense Industrial Base (DIB)</w:t>
            </w:r>
          </w:p>
        </w:tc>
      </w:tr>
      <w:tr w:rsidR="00663506" w:rsidRPr="000C1ECF" w:rsidTr="006F77CF">
        <w:trPr>
          <w:trHeight w:val="50"/>
        </w:trPr>
        <w:tc>
          <w:tcPr>
            <w:tcW w:w="1536" w:type="dxa"/>
            <w:tcBorders>
              <w:top w:val="single" w:sz="8" w:space="0" w:color="auto"/>
              <w:left w:val="single" w:sz="8" w:space="0" w:color="auto"/>
              <w:bottom w:val="single" w:sz="4" w:space="0" w:color="auto"/>
              <w:right w:val="single" w:sz="8" w:space="0" w:color="auto"/>
            </w:tcBorders>
          </w:tcPr>
          <w:p w:rsidR="00663506" w:rsidRPr="00C2123A" w:rsidRDefault="00663506" w:rsidP="006F77CF">
            <w:r w:rsidRPr="00C2123A">
              <w:t>Domain</w:t>
            </w:r>
          </w:p>
        </w:tc>
        <w:tc>
          <w:tcPr>
            <w:tcW w:w="7905" w:type="dxa"/>
            <w:gridSpan w:val="2"/>
            <w:tcBorders>
              <w:top w:val="single" w:sz="4" w:space="0" w:color="auto"/>
              <w:left w:val="nil"/>
              <w:bottom w:val="single" w:sz="4" w:space="0" w:color="auto"/>
              <w:right w:val="single" w:sz="8" w:space="0" w:color="000000"/>
            </w:tcBorders>
          </w:tcPr>
          <w:p w:rsidR="00663506" w:rsidRDefault="00663506" w:rsidP="006F77CF">
            <w:pPr>
              <w:pStyle w:val="ListParagraph"/>
              <w:numPr>
                <w:ilvl w:val="0"/>
                <w:numId w:val="18"/>
              </w:numPr>
              <w:rPr>
                <w:rFonts w:ascii="Times New Roman" w:hAnsi="Times New Roman"/>
                <w:sz w:val="20"/>
                <w:szCs w:val="20"/>
              </w:rPr>
            </w:pPr>
            <w:r>
              <w:rPr>
                <w:rFonts w:ascii="Times New Roman" w:hAnsi="Times New Roman"/>
                <w:sz w:val="20"/>
                <w:szCs w:val="20"/>
              </w:rPr>
              <w:t>Critical</w:t>
            </w:r>
            <w:r w:rsidRPr="00C2123A">
              <w:rPr>
                <w:rFonts w:ascii="Times New Roman" w:hAnsi="Times New Roman"/>
                <w:sz w:val="20"/>
                <w:szCs w:val="20"/>
              </w:rPr>
              <w:t xml:space="preserve"> Infrastructure </w:t>
            </w:r>
            <w:r>
              <w:rPr>
                <w:rFonts w:ascii="Times New Roman" w:hAnsi="Times New Roman"/>
                <w:sz w:val="20"/>
                <w:szCs w:val="20"/>
              </w:rPr>
              <w:t>(</w:t>
            </w:r>
            <w:r w:rsidR="00320946">
              <w:rPr>
                <w:rFonts w:ascii="Times New Roman" w:hAnsi="Times New Roman"/>
                <w:sz w:val="20"/>
                <w:szCs w:val="20"/>
              </w:rPr>
              <w:t>Defense Manufacturing Sector; R&amp;D Facilities</w:t>
            </w:r>
            <w:r>
              <w:rPr>
                <w:rFonts w:ascii="Times New Roman" w:hAnsi="Times New Roman"/>
                <w:sz w:val="20"/>
                <w:szCs w:val="20"/>
              </w:rPr>
              <w:t>)</w:t>
            </w:r>
          </w:p>
          <w:p w:rsidR="00663506" w:rsidRPr="00C2123A" w:rsidRDefault="00663506" w:rsidP="00320946">
            <w:pPr>
              <w:pStyle w:val="ListParagraph"/>
              <w:numPr>
                <w:ilvl w:val="0"/>
                <w:numId w:val="18"/>
              </w:numPr>
              <w:rPr>
                <w:rFonts w:ascii="Times New Roman" w:hAnsi="Times New Roman"/>
                <w:sz w:val="20"/>
                <w:szCs w:val="20"/>
              </w:rPr>
            </w:pPr>
            <w:r>
              <w:rPr>
                <w:rFonts w:ascii="Times New Roman" w:hAnsi="Times New Roman"/>
                <w:sz w:val="20"/>
                <w:szCs w:val="20"/>
              </w:rPr>
              <w:t>Cybersecurity (</w:t>
            </w:r>
            <w:r w:rsidR="00320946">
              <w:rPr>
                <w:rFonts w:ascii="Times New Roman" w:hAnsi="Times New Roman"/>
                <w:sz w:val="20"/>
                <w:szCs w:val="20"/>
              </w:rPr>
              <w:t>Insider Threat, Espionage, Sabotage</w:t>
            </w:r>
            <w:r>
              <w:rPr>
                <w:rFonts w:ascii="Times New Roman" w:hAnsi="Times New Roman"/>
                <w:sz w:val="20"/>
                <w:szCs w:val="20"/>
              </w:rPr>
              <w:t>)</w:t>
            </w:r>
          </w:p>
        </w:tc>
      </w:tr>
      <w:tr w:rsidR="00663506" w:rsidRPr="000C1ECF" w:rsidTr="006F77CF">
        <w:trPr>
          <w:trHeight w:val="50"/>
        </w:trPr>
        <w:tc>
          <w:tcPr>
            <w:tcW w:w="1536" w:type="dxa"/>
            <w:tcBorders>
              <w:top w:val="single" w:sz="8" w:space="0" w:color="auto"/>
              <w:left w:val="single" w:sz="8" w:space="0" w:color="auto"/>
              <w:bottom w:val="single" w:sz="4" w:space="0" w:color="auto"/>
              <w:right w:val="single" w:sz="8" w:space="0" w:color="auto"/>
            </w:tcBorders>
          </w:tcPr>
          <w:p w:rsidR="00663506" w:rsidRPr="00C2123A" w:rsidRDefault="00663506" w:rsidP="006F77CF">
            <w:r w:rsidRPr="00C2123A">
              <w:t xml:space="preserve">Security </w:t>
            </w:r>
            <w:r>
              <w:t>Fabric</w:t>
            </w:r>
          </w:p>
          <w:p w:rsidR="00663506" w:rsidRPr="00C2123A" w:rsidRDefault="00663506" w:rsidP="006F77CF">
            <w:r w:rsidRPr="00C2123A">
              <w:t>(e.g., U, LES, S, TS)</w:t>
            </w:r>
          </w:p>
        </w:tc>
        <w:tc>
          <w:tcPr>
            <w:tcW w:w="7905" w:type="dxa"/>
            <w:gridSpan w:val="2"/>
            <w:tcBorders>
              <w:top w:val="single" w:sz="4" w:space="0" w:color="auto"/>
              <w:left w:val="nil"/>
              <w:bottom w:val="single" w:sz="4" w:space="0" w:color="auto"/>
              <w:right w:val="single" w:sz="8" w:space="0" w:color="000000"/>
            </w:tcBorders>
          </w:tcPr>
          <w:p w:rsidR="00663506" w:rsidRPr="00C2123A" w:rsidRDefault="00663506" w:rsidP="006F77CF">
            <w:r w:rsidRPr="00F5451B">
              <w:t>S, TS</w:t>
            </w:r>
          </w:p>
        </w:tc>
      </w:tr>
      <w:tr w:rsidR="00663506" w:rsidRPr="000C1ECF" w:rsidTr="006F77CF">
        <w:trPr>
          <w:trHeight w:val="493"/>
        </w:trPr>
        <w:tc>
          <w:tcPr>
            <w:tcW w:w="1536" w:type="dxa"/>
            <w:tcBorders>
              <w:top w:val="single" w:sz="8" w:space="0" w:color="auto"/>
              <w:left w:val="single" w:sz="8" w:space="0" w:color="auto"/>
              <w:bottom w:val="single" w:sz="4" w:space="0" w:color="auto"/>
              <w:right w:val="single" w:sz="8" w:space="0" w:color="auto"/>
            </w:tcBorders>
            <w:hideMark/>
          </w:tcPr>
          <w:p w:rsidR="00663506" w:rsidRPr="00C2123A" w:rsidRDefault="00663506" w:rsidP="006F77CF">
            <w:r w:rsidRPr="00C2123A">
              <w:t>Scenario Description</w:t>
            </w:r>
          </w:p>
        </w:tc>
        <w:tc>
          <w:tcPr>
            <w:tcW w:w="7905" w:type="dxa"/>
            <w:gridSpan w:val="2"/>
            <w:tcBorders>
              <w:top w:val="single" w:sz="4" w:space="0" w:color="auto"/>
              <w:left w:val="nil"/>
              <w:bottom w:val="single" w:sz="4" w:space="0" w:color="auto"/>
              <w:right w:val="single" w:sz="8" w:space="0" w:color="000000"/>
            </w:tcBorders>
          </w:tcPr>
          <w:p w:rsidR="00663506" w:rsidRPr="00C2123A" w:rsidRDefault="00320946" w:rsidP="006F77CF">
            <w:r>
              <w:t xml:space="preserve">Defense Security Services (DSS) interest in using the </w:t>
            </w:r>
            <w:r w:rsidRPr="00571537">
              <w:t>Threat and Risk Model to automate machine-to-machine information sharing along with the establishment of a normalized language/date dictionary, automated system for ing</w:t>
            </w:r>
            <w:r>
              <w:t>est of 34,000+ incident reports. Model and ontology</w:t>
            </w:r>
            <w:r w:rsidRPr="00571537">
              <w:t xml:space="preserve"> will allow for an increase of time spent on analysis and the ability to streamline information sharing of potential physical and cyber threats to national security with other DoD and DSS stakeholders.  </w:t>
            </w:r>
          </w:p>
        </w:tc>
      </w:tr>
      <w:tr w:rsidR="00663506" w:rsidRPr="000C1ECF" w:rsidTr="006F77CF">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663506" w:rsidRPr="00C2123A" w:rsidRDefault="00663506" w:rsidP="006F77CF">
            <w:r w:rsidRPr="00C2123A">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BC0660" w:rsidRPr="00F5451B" w:rsidRDefault="00BC0660" w:rsidP="00BC0660">
            <w:pPr>
              <w:pStyle w:val="ListParagraph"/>
              <w:numPr>
                <w:ilvl w:val="0"/>
                <w:numId w:val="19"/>
              </w:numPr>
            </w:pPr>
            <w:r w:rsidRPr="00F5451B">
              <w:rPr>
                <w:rFonts w:ascii="Times New Roman" w:hAnsi="Times New Roman"/>
                <w:sz w:val="20"/>
                <w:szCs w:val="20"/>
              </w:rPr>
              <w:t>Fed</w:t>
            </w:r>
            <w:r w:rsidR="009179FB">
              <w:rPr>
                <w:rFonts w:ascii="Times New Roman" w:hAnsi="Times New Roman"/>
                <w:sz w:val="20"/>
                <w:szCs w:val="20"/>
              </w:rPr>
              <w:t>eral</w:t>
            </w:r>
            <w:r w:rsidRPr="00F5451B">
              <w:rPr>
                <w:rFonts w:ascii="Times New Roman" w:hAnsi="Times New Roman"/>
                <w:sz w:val="20"/>
                <w:szCs w:val="20"/>
              </w:rPr>
              <w:t>↔Fed</w:t>
            </w:r>
            <w:r w:rsidR="009179FB">
              <w:rPr>
                <w:rFonts w:ascii="Times New Roman" w:hAnsi="Times New Roman"/>
                <w:sz w:val="20"/>
                <w:szCs w:val="20"/>
              </w:rPr>
              <w:t>eral</w:t>
            </w:r>
          </w:p>
          <w:p w:rsidR="00BC0660" w:rsidRPr="00F5451B" w:rsidRDefault="00BC0660" w:rsidP="00BC0660">
            <w:pPr>
              <w:pStyle w:val="ListParagraph"/>
              <w:numPr>
                <w:ilvl w:val="0"/>
                <w:numId w:val="19"/>
              </w:numPr>
            </w:pPr>
            <w:r w:rsidRPr="00F5451B">
              <w:rPr>
                <w:rFonts w:ascii="Times New Roman" w:hAnsi="Times New Roman"/>
                <w:sz w:val="20"/>
                <w:szCs w:val="20"/>
              </w:rPr>
              <w:t>Fed</w:t>
            </w:r>
            <w:r w:rsidR="009179FB">
              <w:rPr>
                <w:rFonts w:ascii="Times New Roman" w:hAnsi="Times New Roman"/>
                <w:sz w:val="20"/>
                <w:szCs w:val="20"/>
              </w:rPr>
              <w:t>eral</w:t>
            </w:r>
            <w:r w:rsidRPr="00F5451B">
              <w:rPr>
                <w:rFonts w:ascii="Times New Roman" w:hAnsi="Times New Roman"/>
                <w:sz w:val="20"/>
                <w:szCs w:val="20"/>
              </w:rPr>
              <w:t>↔State</w:t>
            </w:r>
          </w:p>
          <w:p w:rsidR="00BC0660" w:rsidRPr="00F5451B" w:rsidRDefault="009179FB" w:rsidP="00BC0660">
            <w:pPr>
              <w:pStyle w:val="ListParagraph"/>
              <w:numPr>
                <w:ilvl w:val="0"/>
                <w:numId w:val="19"/>
              </w:numPr>
            </w:pPr>
            <w:r>
              <w:rPr>
                <w:rFonts w:ascii="Times New Roman" w:hAnsi="Times New Roman"/>
                <w:sz w:val="20"/>
                <w:szCs w:val="20"/>
              </w:rPr>
              <w:t>Federal↔Private</w:t>
            </w:r>
          </w:p>
          <w:p w:rsidR="00663506" w:rsidRPr="000C1ECF" w:rsidRDefault="00BC0660" w:rsidP="006F77CF">
            <w:pPr>
              <w:pStyle w:val="ListParagraph"/>
              <w:numPr>
                <w:ilvl w:val="0"/>
                <w:numId w:val="19"/>
              </w:numPr>
            </w:pPr>
            <w:r w:rsidRPr="00F5451B">
              <w:rPr>
                <w:rFonts w:ascii="Times New Roman" w:hAnsi="Times New Roman"/>
                <w:sz w:val="20"/>
                <w:szCs w:val="20"/>
              </w:rPr>
              <w:t>Fed</w:t>
            </w:r>
            <w:r w:rsidR="009179FB">
              <w:rPr>
                <w:rFonts w:ascii="Times New Roman" w:hAnsi="Times New Roman"/>
                <w:sz w:val="20"/>
                <w:szCs w:val="20"/>
              </w:rPr>
              <w:t>eral</w:t>
            </w:r>
            <w:r w:rsidRPr="00F5451B">
              <w:rPr>
                <w:rFonts w:ascii="Times New Roman" w:hAnsi="Times New Roman"/>
                <w:sz w:val="20"/>
                <w:szCs w:val="20"/>
              </w:rPr>
              <w:t>↔Citizen</w:t>
            </w:r>
          </w:p>
        </w:tc>
      </w:tr>
      <w:tr w:rsidR="00663506" w:rsidRPr="000C1ECF" w:rsidTr="006F77C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63506" w:rsidRPr="00C2123A" w:rsidRDefault="00663506" w:rsidP="006F77CF">
            <w:pPr>
              <w:jc w:val="center"/>
              <w:rPr>
                <w:color w:val="FFFFFF" w:themeColor="background1"/>
              </w:rPr>
            </w:pPr>
            <w:r w:rsidRPr="00C2123A">
              <w:rPr>
                <w:color w:val="FFFFFF" w:themeColor="background1"/>
              </w:rPr>
              <w:t>Key Stakeholders</w:t>
            </w:r>
          </w:p>
        </w:tc>
      </w:tr>
      <w:tr w:rsidR="00663506" w:rsidRPr="000C1ECF" w:rsidTr="006F77CF">
        <w:trPr>
          <w:trHeight w:val="350"/>
        </w:trPr>
        <w:tc>
          <w:tcPr>
            <w:tcW w:w="1536" w:type="dxa"/>
            <w:tcBorders>
              <w:top w:val="single" w:sz="4" w:space="0" w:color="auto"/>
              <w:left w:val="single" w:sz="8" w:space="0" w:color="auto"/>
              <w:bottom w:val="single" w:sz="4" w:space="0" w:color="auto"/>
              <w:right w:val="single" w:sz="8" w:space="0" w:color="auto"/>
            </w:tcBorders>
          </w:tcPr>
          <w:p w:rsidR="00663506" w:rsidRPr="000C1ECF" w:rsidRDefault="00663506" w:rsidP="006F77CF">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320946" w:rsidRPr="00F5451B" w:rsidRDefault="00320946" w:rsidP="00F5451B">
            <w:pPr>
              <w:pStyle w:val="ListParagraph"/>
              <w:numPr>
                <w:ilvl w:val="0"/>
                <w:numId w:val="21"/>
              </w:numPr>
              <w:spacing w:after="160" w:line="259" w:lineRule="auto"/>
              <w:rPr>
                <w:rFonts w:ascii="Times New Roman" w:hAnsi="Times New Roman"/>
                <w:sz w:val="20"/>
                <w:szCs w:val="20"/>
              </w:rPr>
            </w:pPr>
            <w:r w:rsidRPr="00F5451B">
              <w:rPr>
                <w:rFonts w:ascii="Times New Roman" w:hAnsi="Times New Roman"/>
                <w:sz w:val="20"/>
                <w:szCs w:val="20"/>
              </w:rPr>
              <w:t>DSS</w:t>
            </w:r>
          </w:p>
          <w:p w:rsidR="00320946" w:rsidRPr="00F5451B" w:rsidRDefault="00320946" w:rsidP="00F5451B">
            <w:pPr>
              <w:pStyle w:val="ListParagraph"/>
              <w:numPr>
                <w:ilvl w:val="0"/>
                <w:numId w:val="21"/>
              </w:numPr>
              <w:spacing w:after="160" w:line="259" w:lineRule="auto"/>
              <w:rPr>
                <w:rFonts w:ascii="Times New Roman" w:hAnsi="Times New Roman"/>
                <w:sz w:val="20"/>
                <w:szCs w:val="20"/>
              </w:rPr>
            </w:pPr>
            <w:r w:rsidRPr="00F5451B">
              <w:rPr>
                <w:rFonts w:ascii="Times New Roman" w:hAnsi="Times New Roman"/>
                <w:sz w:val="20"/>
                <w:szCs w:val="20"/>
              </w:rPr>
              <w:t>Object Management Group (OMG)</w:t>
            </w:r>
          </w:p>
          <w:p w:rsidR="00320946" w:rsidRPr="00F5451B" w:rsidRDefault="00320946" w:rsidP="00F5451B">
            <w:pPr>
              <w:pStyle w:val="ListParagraph"/>
              <w:numPr>
                <w:ilvl w:val="0"/>
                <w:numId w:val="21"/>
              </w:numPr>
              <w:spacing w:after="160" w:line="259" w:lineRule="auto"/>
              <w:rPr>
                <w:rFonts w:ascii="Times New Roman" w:hAnsi="Times New Roman"/>
                <w:sz w:val="20"/>
                <w:szCs w:val="20"/>
              </w:rPr>
            </w:pPr>
            <w:r w:rsidRPr="00F5451B">
              <w:rPr>
                <w:rFonts w:ascii="Times New Roman" w:hAnsi="Times New Roman"/>
                <w:sz w:val="20"/>
                <w:szCs w:val="20"/>
              </w:rPr>
              <w:t>40+ DoD Components</w:t>
            </w:r>
          </w:p>
          <w:p w:rsidR="00320946" w:rsidRPr="00F5451B" w:rsidRDefault="00320946" w:rsidP="00F5451B">
            <w:pPr>
              <w:pStyle w:val="ListParagraph"/>
              <w:numPr>
                <w:ilvl w:val="0"/>
                <w:numId w:val="21"/>
              </w:numPr>
              <w:spacing w:after="160" w:line="259" w:lineRule="auto"/>
              <w:rPr>
                <w:rFonts w:ascii="Times New Roman" w:hAnsi="Times New Roman"/>
                <w:sz w:val="20"/>
                <w:szCs w:val="20"/>
              </w:rPr>
            </w:pPr>
            <w:r w:rsidRPr="00F5451B">
              <w:rPr>
                <w:rFonts w:ascii="Times New Roman" w:hAnsi="Times New Roman"/>
                <w:sz w:val="20"/>
                <w:szCs w:val="20"/>
              </w:rPr>
              <w:t>28 Federal D/As</w:t>
            </w:r>
          </w:p>
          <w:p w:rsidR="00124408" w:rsidRDefault="00320946" w:rsidP="00124408">
            <w:pPr>
              <w:pStyle w:val="ListParagraph"/>
              <w:numPr>
                <w:ilvl w:val="0"/>
                <w:numId w:val="21"/>
              </w:numPr>
              <w:spacing w:after="160" w:line="259" w:lineRule="auto"/>
              <w:rPr>
                <w:rFonts w:ascii="Times New Roman" w:hAnsi="Times New Roman"/>
                <w:sz w:val="20"/>
                <w:szCs w:val="20"/>
              </w:rPr>
            </w:pPr>
            <w:r w:rsidRPr="00124408">
              <w:rPr>
                <w:rFonts w:ascii="Times New Roman" w:hAnsi="Times New Roman"/>
                <w:sz w:val="20"/>
                <w:szCs w:val="20"/>
              </w:rPr>
              <w:t>LE and Counterintelligence (CI) Agencies</w:t>
            </w:r>
          </w:p>
          <w:p w:rsidR="00663506" w:rsidRPr="00124408" w:rsidRDefault="00320946" w:rsidP="00124408">
            <w:pPr>
              <w:pStyle w:val="ListParagraph"/>
              <w:numPr>
                <w:ilvl w:val="0"/>
                <w:numId w:val="21"/>
              </w:numPr>
              <w:spacing w:after="160" w:line="259" w:lineRule="auto"/>
              <w:rPr>
                <w:rFonts w:ascii="Times New Roman" w:hAnsi="Times New Roman"/>
                <w:sz w:val="20"/>
                <w:szCs w:val="20"/>
              </w:rPr>
            </w:pPr>
            <w:r w:rsidRPr="00124408">
              <w:rPr>
                <w:rFonts w:ascii="Times New Roman" w:hAnsi="Times New Roman"/>
                <w:sz w:val="20"/>
                <w:szCs w:val="20"/>
              </w:rPr>
              <w:t>Cleared Industrial Contractors</w:t>
            </w:r>
          </w:p>
        </w:tc>
      </w:tr>
      <w:tr w:rsidR="00663506" w:rsidRPr="000C1ECF" w:rsidTr="006F77CF">
        <w:trPr>
          <w:trHeight w:val="350"/>
        </w:trPr>
        <w:tc>
          <w:tcPr>
            <w:tcW w:w="1536" w:type="dxa"/>
            <w:tcBorders>
              <w:top w:val="single" w:sz="4" w:space="0" w:color="auto"/>
              <w:left w:val="single" w:sz="8" w:space="0" w:color="auto"/>
              <w:bottom w:val="single" w:sz="4" w:space="0" w:color="auto"/>
              <w:right w:val="single" w:sz="8" w:space="0" w:color="auto"/>
            </w:tcBorders>
          </w:tcPr>
          <w:p w:rsidR="00663506" w:rsidRPr="00C2123A" w:rsidRDefault="00663506" w:rsidP="006F77CF">
            <w:r w:rsidRPr="00C2123A">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63506" w:rsidRPr="00C2123A" w:rsidRDefault="00663506" w:rsidP="006F77CF">
            <w:pPr>
              <w:rPr>
                <w:color w:val="FF0000"/>
              </w:rPr>
            </w:pPr>
            <w:r w:rsidRPr="00F5451B">
              <w:t>DoD</w:t>
            </w:r>
          </w:p>
        </w:tc>
      </w:tr>
      <w:tr w:rsidR="00663506" w:rsidRPr="000C1ECF" w:rsidTr="006F77CF">
        <w:trPr>
          <w:trHeight w:val="350"/>
        </w:trPr>
        <w:tc>
          <w:tcPr>
            <w:tcW w:w="1536" w:type="dxa"/>
            <w:tcBorders>
              <w:top w:val="single" w:sz="4" w:space="0" w:color="auto"/>
              <w:left w:val="single" w:sz="8" w:space="0" w:color="auto"/>
              <w:bottom w:val="single" w:sz="4" w:space="0" w:color="auto"/>
              <w:right w:val="single" w:sz="8" w:space="0" w:color="auto"/>
            </w:tcBorders>
          </w:tcPr>
          <w:p w:rsidR="00663506" w:rsidRPr="00C2123A" w:rsidRDefault="00663506" w:rsidP="006F77CF">
            <w:r w:rsidRPr="00C2123A">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63506" w:rsidRPr="00C2123A" w:rsidRDefault="00794578" w:rsidP="006F77CF">
            <w:pPr>
              <w:rPr>
                <w:color w:val="FF0000"/>
              </w:rPr>
            </w:pPr>
            <w:r w:rsidRPr="00F5451B">
              <w:t xml:space="preserve">USG, SLTTs, CIKR owners and operators </w:t>
            </w:r>
          </w:p>
        </w:tc>
      </w:tr>
      <w:tr w:rsidR="00663506" w:rsidRPr="000C1ECF" w:rsidTr="006F77C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63506" w:rsidRPr="00C2123A" w:rsidRDefault="00663506" w:rsidP="006F77CF">
            <w:pPr>
              <w:jc w:val="center"/>
              <w:rPr>
                <w:color w:val="FFFFFF" w:themeColor="background1"/>
              </w:rPr>
            </w:pPr>
            <w:r>
              <w:rPr>
                <w:color w:val="FFFFFF" w:themeColor="background1"/>
              </w:rPr>
              <w:t>Scenario</w:t>
            </w:r>
            <w:r w:rsidRPr="00C2123A">
              <w:rPr>
                <w:color w:val="FFFFFF" w:themeColor="background1"/>
              </w:rPr>
              <w:t xml:space="preserve"> Details</w:t>
            </w:r>
          </w:p>
        </w:tc>
      </w:tr>
      <w:tr w:rsidR="00663506" w:rsidRPr="000C1ECF" w:rsidTr="006F77CF">
        <w:trPr>
          <w:trHeight w:val="60"/>
        </w:trPr>
        <w:tc>
          <w:tcPr>
            <w:tcW w:w="1536" w:type="dxa"/>
            <w:tcBorders>
              <w:top w:val="single" w:sz="4" w:space="0" w:color="auto"/>
              <w:left w:val="single" w:sz="8" w:space="0" w:color="auto"/>
              <w:bottom w:val="single" w:sz="4" w:space="0" w:color="auto"/>
              <w:right w:val="single" w:sz="8" w:space="0" w:color="auto"/>
            </w:tcBorders>
            <w:hideMark/>
          </w:tcPr>
          <w:p w:rsidR="00663506" w:rsidRPr="00C2123A" w:rsidRDefault="00663506" w:rsidP="006F77CF">
            <w:r w:rsidRPr="00C2123A">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663506" w:rsidRPr="000C1ECF" w:rsidRDefault="00FA5051" w:rsidP="006F77CF">
            <w:r w:rsidRPr="00FA5051">
              <w:t>Use of NIEM, use of STIX</w:t>
            </w:r>
          </w:p>
        </w:tc>
      </w:tr>
      <w:tr w:rsidR="00663506" w:rsidRPr="000C1ECF" w:rsidTr="006F77CF">
        <w:trPr>
          <w:trHeight w:val="530"/>
        </w:trPr>
        <w:tc>
          <w:tcPr>
            <w:tcW w:w="1536" w:type="dxa"/>
            <w:tcBorders>
              <w:top w:val="single" w:sz="4" w:space="0" w:color="auto"/>
              <w:left w:val="single" w:sz="8" w:space="0" w:color="auto"/>
              <w:bottom w:val="single" w:sz="8" w:space="0" w:color="auto"/>
              <w:right w:val="single" w:sz="8" w:space="0" w:color="auto"/>
            </w:tcBorders>
            <w:hideMark/>
          </w:tcPr>
          <w:p w:rsidR="00663506" w:rsidRPr="00C2123A" w:rsidRDefault="00663506" w:rsidP="006F77CF">
            <w:r w:rsidRPr="00C2123A">
              <w:t>Exchange Scenario</w:t>
            </w:r>
          </w:p>
        </w:tc>
        <w:tc>
          <w:tcPr>
            <w:tcW w:w="7905" w:type="dxa"/>
            <w:gridSpan w:val="2"/>
            <w:tcBorders>
              <w:top w:val="single" w:sz="4" w:space="0" w:color="auto"/>
              <w:left w:val="nil"/>
              <w:bottom w:val="single" w:sz="8" w:space="0" w:color="000000"/>
              <w:right w:val="single" w:sz="8" w:space="0" w:color="000000"/>
            </w:tcBorders>
          </w:tcPr>
          <w:p w:rsidR="00663506" w:rsidRPr="00F5451B" w:rsidRDefault="00E70F69" w:rsidP="00F5451B">
            <w:pPr>
              <w:pStyle w:val="ListParagraph"/>
              <w:numPr>
                <w:ilvl w:val="0"/>
                <w:numId w:val="25"/>
              </w:numPr>
              <w:rPr>
                <w:rFonts w:ascii="Times New Roman" w:hAnsi="Times New Roman"/>
                <w:sz w:val="20"/>
              </w:rPr>
            </w:pPr>
            <w:r w:rsidRPr="00F5451B">
              <w:rPr>
                <w:rFonts w:ascii="Times New Roman" w:hAnsi="Times New Roman"/>
                <w:sz w:val="20"/>
              </w:rPr>
              <w:t>Company A reports a security violation where removable media was introduced in a SCIF computer</w:t>
            </w:r>
          </w:p>
          <w:p w:rsidR="00E70F69" w:rsidRPr="00F5451B" w:rsidRDefault="00E70F69" w:rsidP="00F5451B">
            <w:pPr>
              <w:pStyle w:val="ListParagraph"/>
              <w:numPr>
                <w:ilvl w:val="0"/>
                <w:numId w:val="25"/>
              </w:numPr>
              <w:rPr>
                <w:rFonts w:ascii="Times New Roman" w:hAnsi="Times New Roman"/>
                <w:sz w:val="20"/>
              </w:rPr>
            </w:pPr>
            <w:r w:rsidRPr="00F5451B">
              <w:rPr>
                <w:rFonts w:ascii="Times New Roman" w:hAnsi="Times New Roman"/>
                <w:sz w:val="20"/>
              </w:rPr>
              <w:t>5000+ documents were copied onto this removable media</w:t>
            </w:r>
          </w:p>
          <w:p w:rsidR="00526F5B" w:rsidRPr="00D67C6C" w:rsidRDefault="00E70F69" w:rsidP="00526F5B">
            <w:pPr>
              <w:pStyle w:val="ListParagraph"/>
              <w:numPr>
                <w:ilvl w:val="0"/>
                <w:numId w:val="25"/>
              </w:numPr>
            </w:pPr>
            <w:r w:rsidRPr="00F5451B">
              <w:rPr>
                <w:rFonts w:ascii="Times New Roman" w:hAnsi="Times New Roman"/>
                <w:sz w:val="20"/>
              </w:rPr>
              <w:t>Information included classified plans for NATO troop deployments in Easter Europe</w:t>
            </w:r>
          </w:p>
        </w:tc>
      </w:tr>
      <w:tr w:rsidR="00663506" w:rsidRPr="000C1ECF" w:rsidTr="006F77CF">
        <w:trPr>
          <w:trHeight w:val="115"/>
        </w:trPr>
        <w:tc>
          <w:tcPr>
            <w:tcW w:w="1536" w:type="dxa"/>
            <w:tcBorders>
              <w:top w:val="single" w:sz="4" w:space="0" w:color="auto"/>
              <w:left w:val="single" w:sz="8" w:space="0" w:color="auto"/>
              <w:bottom w:val="single" w:sz="4" w:space="0" w:color="auto"/>
              <w:right w:val="single" w:sz="8" w:space="0" w:color="auto"/>
            </w:tcBorders>
            <w:hideMark/>
          </w:tcPr>
          <w:p w:rsidR="00663506" w:rsidRPr="00C2123A" w:rsidRDefault="00663506" w:rsidP="006F77CF">
            <w:r w:rsidRPr="00C2123A">
              <w:t>Business Rules</w:t>
            </w:r>
          </w:p>
        </w:tc>
        <w:tc>
          <w:tcPr>
            <w:tcW w:w="7905" w:type="dxa"/>
            <w:gridSpan w:val="2"/>
            <w:tcBorders>
              <w:top w:val="single" w:sz="4" w:space="0" w:color="auto"/>
              <w:left w:val="nil"/>
              <w:bottom w:val="single" w:sz="4" w:space="0" w:color="auto"/>
              <w:right w:val="single" w:sz="8" w:space="0" w:color="000000"/>
            </w:tcBorders>
          </w:tcPr>
          <w:p w:rsidR="00663506" w:rsidRPr="000C1ECF" w:rsidRDefault="00663506" w:rsidP="006F77CF"/>
        </w:tc>
      </w:tr>
      <w:tr w:rsidR="00663506" w:rsidRPr="000C1ECF" w:rsidTr="006F77CF">
        <w:trPr>
          <w:trHeight w:val="115"/>
        </w:trPr>
        <w:tc>
          <w:tcPr>
            <w:tcW w:w="1536" w:type="dxa"/>
            <w:tcBorders>
              <w:top w:val="single" w:sz="4" w:space="0" w:color="auto"/>
              <w:left w:val="single" w:sz="8" w:space="0" w:color="auto"/>
              <w:bottom w:val="single" w:sz="4" w:space="0" w:color="auto"/>
              <w:right w:val="single" w:sz="8" w:space="0" w:color="auto"/>
            </w:tcBorders>
          </w:tcPr>
          <w:p w:rsidR="00663506" w:rsidRPr="000C1ECF" w:rsidRDefault="00663506" w:rsidP="006F77CF">
            <w:r>
              <w:t>Mapping to ESSA’s Enduring Functional Exchanges</w:t>
            </w:r>
            <w:r w:rsidR="00AA4498">
              <w:t xml:space="preserve"> (EFE)</w:t>
            </w:r>
          </w:p>
        </w:tc>
        <w:tc>
          <w:tcPr>
            <w:tcW w:w="7905" w:type="dxa"/>
            <w:gridSpan w:val="2"/>
            <w:tcBorders>
              <w:top w:val="single" w:sz="4" w:space="0" w:color="auto"/>
              <w:left w:val="nil"/>
              <w:bottom w:val="single" w:sz="4" w:space="0" w:color="auto"/>
              <w:right w:val="single" w:sz="8" w:space="0" w:color="000000"/>
            </w:tcBorders>
          </w:tcPr>
          <w:p w:rsidR="00663506" w:rsidRPr="000C1ECF" w:rsidRDefault="00663506" w:rsidP="00FA5051">
            <w:r w:rsidRPr="00FA5051">
              <w:t xml:space="preserve">1) Configuration/Anomaly Reporting; (2) Knowledge of Threat Actors; (3) Incident Awareness; (4) Indicators and Warnings; (5) Vulnerability Knowledge; (6) Mitigation Strategies; (7) Mitigation Actions &amp; Responses </w:t>
            </w:r>
          </w:p>
        </w:tc>
      </w:tr>
      <w:tr w:rsidR="00663506" w:rsidRPr="000C1ECF" w:rsidTr="006F77CF">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663506" w:rsidRPr="00C2123A" w:rsidRDefault="00663506" w:rsidP="006F77CF">
            <w:pPr>
              <w:jc w:val="center"/>
              <w:rPr>
                <w:color w:val="FFFFFF" w:themeColor="background1"/>
              </w:rPr>
            </w:pPr>
            <w:r w:rsidRPr="00C2123A">
              <w:rPr>
                <w:color w:val="FFFFFF" w:themeColor="background1"/>
              </w:rPr>
              <w:t>Data Elements</w:t>
            </w:r>
          </w:p>
        </w:tc>
      </w:tr>
      <w:tr w:rsidR="00663506" w:rsidRPr="000C1ECF" w:rsidTr="006F77CF">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663506" w:rsidRPr="00C2123A" w:rsidRDefault="00663506" w:rsidP="006F77CF">
            <w:pPr>
              <w:jc w:val="center"/>
              <w:rPr>
                <w:color w:val="FFFFFF" w:themeColor="background1"/>
              </w:rPr>
            </w:pPr>
            <w:r w:rsidRPr="00C2123A">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663506" w:rsidRPr="00C2123A" w:rsidRDefault="00663506" w:rsidP="006F77CF">
            <w:pPr>
              <w:jc w:val="center"/>
              <w:rPr>
                <w:color w:val="FFFFFF" w:themeColor="background1"/>
              </w:rPr>
            </w:pPr>
            <w:r w:rsidRPr="00C2123A">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663506" w:rsidRPr="00C2123A" w:rsidRDefault="00663506" w:rsidP="006F77CF">
            <w:pPr>
              <w:jc w:val="center"/>
              <w:rPr>
                <w:color w:val="FFFFFF" w:themeColor="background1"/>
              </w:rPr>
            </w:pPr>
            <w:r w:rsidRPr="00C2123A">
              <w:rPr>
                <w:color w:val="FFFFFF" w:themeColor="background1"/>
              </w:rPr>
              <w:t>Definitions</w:t>
            </w:r>
          </w:p>
        </w:tc>
      </w:tr>
      <w:tr w:rsidR="00663506" w:rsidRPr="000C1ECF" w:rsidTr="006F77CF">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663506" w:rsidRPr="00C2123A" w:rsidRDefault="00663506" w:rsidP="006F77CF">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663506" w:rsidRPr="00C2123A" w:rsidRDefault="00663506" w:rsidP="006F77CF">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663506" w:rsidRPr="00C2123A" w:rsidRDefault="00663506" w:rsidP="006F77CF">
            <w:pPr>
              <w:jc w:val="center"/>
              <w:rPr>
                <w:color w:val="FFFFFF" w:themeColor="background1"/>
              </w:rPr>
            </w:pPr>
          </w:p>
        </w:tc>
      </w:tr>
      <w:tr w:rsidR="00663506" w:rsidRPr="000C1ECF" w:rsidTr="006F77CF">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63506" w:rsidRPr="000C1ECF" w:rsidRDefault="00663506" w:rsidP="006F77CF">
            <w:r>
              <w:t xml:space="preserve">Additional Information: </w:t>
            </w:r>
          </w:p>
        </w:tc>
      </w:tr>
    </w:tbl>
    <w:p w:rsidR="00E400F4" w:rsidRDefault="00E400F4">
      <w:pPr>
        <w:rPr>
          <w:sz w:val="22"/>
          <w:szCs w:val="22"/>
        </w:rPr>
      </w:pPr>
      <w:r>
        <w:rPr>
          <w:sz w:val="22"/>
          <w:szCs w:val="22"/>
        </w:rPr>
        <w:br w:type="page"/>
      </w:r>
    </w:p>
    <w:p w:rsidR="006F77CF" w:rsidRDefault="001B04CD" w:rsidP="00C17CD4">
      <w:pPr>
        <w:pStyle w:val="Heading2"/>
      </w:pPr>
      <w:r>
        <w:t>Scenario</w:t>
      </w:r>
      <w:r w:rsidR="00C17CD4">
        <w:t xml:space="preserve"> Story #10</w:t>
      </w:r>
    </w:p>
    <w:p w:rsidR="00C17CD4" w:rsidRDefault="00C17CD4">
      <w:pPr>
        <w:rPr>
          <w:sz w:val="22"/>
          <w:szCs w:val="22"/>
        </w:rPr>
      </w:pPr>
    </w:p>
    <w:p w:rsidR="0070727D" w:rsidRPr="001618A3" w:rsidRDefault="0070727D" w:rsidP="0070727D">
      <w:pPr>
        <w:autoSpaceDE w:val="0"/>
        <w:autoSpaceDN w:val="0"/>
        <w:adjustRightInd w:val="0"/>
        <w:rPr>
          <w:color w:val="000000"/>
          <w:sz w:val="22"/>
        </w:rPr>
      </w:pPr>
      <w:r w:rsidRPr="001618A3">
        <w:rPr>
          <w:color w:val="000000"/>
          <w:sz w:val="22"/>
        </w:rPr>
        <w:t xml:space="preserve">Realtor Compromise: </w:t>
      </w:r>
    </w:p>
    <w:p w:rsidR="00C17CD4" w:rsidRPr="001618A3" w:rsidRDefault="0070727D" w:rsidP="009179FB">
      <w:pPr>
        <w:autoSpaceDE w:val="0"/>
        <w:autoSpaceDN w:val="0"/>
        <w:adjustRightInd w:val="0"/>
        <w:spacing w:after="68"/>
        <w:rPr>
          <w:color w:val="000000"/>
          <w:sz w:val="22"/>
        </w:rPr>
      </w:pPr>
      <w:r w:rsidRPr="001618A3">
        <w:rPr>
          <w:color w:val="000000"/>
          <w:sz w:val="22"/>
        </w:rPr>
        <w:t xml:space="preserve">A local realtor’s database of clients and upcoming sales was compromised through a spear phishing attack. On the day of several closings, emails were sent to the realtors representing the buying parties that appeared to coming from the seller’s realtor. These emails stated that the seller would prefer all the proceeds be wired to a specific account instead of using a cashier’s check. On several occasions, realtors wired the proceeds and lost several hundred thousand dollars. </w:t>
      </w:r>
    </w:p>
    <w:p w:rsidR="00C17CD4" w:rsidRDefault="00C17CD4">
      <w:pPr>
        <w:rPr>
          <w:sz w:val="22"/>
          <w:szCs w:val="22"/>
        </w:rPr>
      </w:pPr>
    </w:p>
    <w:tbl>
      <w:tblPr>
        <w:tblW w:w="9441" w:type="dxa"/>
        <w:tblInd w:w="93" w:type="dxa"/>
        <w:tblLook w:val="04A0" w:firstRow="1" w:lastRow="0" w:firstColumn="1" w:lastColumn="0" w:noHBand="0" w:noVBand="1"/>
      </w:tblPr>
      <w:tblGrid>
        <w:gridCol w:w="1536"/>
        <w:gridCol w:w="3815"/>
        <w:gridCol w:w="4090"/>
      </w:tblGrid>
      <w:tr w:rsidR="006F77CF" w:rsidRPr="000C1ECF" w:rsidTr="006F77C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F77CF" w:rsidRPr="00C2123A" w:rsidRDefault="006F77CF" w:rsidP="006F77CF">
            <w:pPr>
              <w:jc w:val="center"/>
              <w:rPr>
                <w:color w:val="FFFFFF" w:themeColor="background1"/>
              </w:rPr>
            </w:pPr>
            <w:r w:rsidRPr="00C2123A">
              <w:rPr>
                <w:color w:val="FFFFFF" w:themeColor="background1"/>
              </w:rPr>
              <w:t>Use Case</w:t>
            </w:r>
            <w:r>
              <w:rPr>
                <w:color w:val="FFFFFF" w:themeColor="background1"/>
              </w:rPr>
              <w:t xml:space="preserve"> #10</w:t>
            </w:r>
          </w:p>
        </w:tc>
      </w:tr>
      <w:tr w:rsidR="006F77CF" w:rsidRPr="000C1ECF" w:rsidTr="006F77CF">
        <w:trPr>
          <w:trHeight w:val="88"/>
        </w:trPr>
        <w:tc>
          <w:tcPr>
            <w:tcW w:w="1536" w:type="dxa"/>
            <w:tcBorders>
              <w:top w:val="single" w:sz="8" w:space="0" w:color="auto"/>
              <w:left w:val="single" w:sz="8" w:space="0" w:color="auto"/>
              <w:bottom w:val="single" w:sz="4" w:space="0" w:color="auto"/>
              <w:right w:val="single" w:sz="8" w:space="0" w:color="auto"/>
            </w:tcBorders>
          </w:tcPr>
          <w:p w:rsidR="006F77CF" w:rsidRPr="00C2123A" w:rsidRDefault="006F77CF" w:rsidP="006F77CF">
            <w:r w:rsidRPr="00C2123A">
              <w:t>Title</w:t>
            </w:r>
          </w:p>
        </w:tc>
        <w:tc>
          <w:tcPr>
            <w:tcW w:w="7905" w:type="dxa"/>
            <w:gridSpan w:val="2"/>
            <w:tcBorders>
              <w:top w:val="single" w:sz="4" w:space="0" w:color="auto"/>
              <w:left w:val="nil"/>
              <w:bottom w:val="single" w:sz="4" w:space="0" w:color="auto"/>
              <w:right w:val="single" w:sz="8" w:space="0" w:color="000000"/>
            </w:tcBorders>
          </w:tcPr>
          <w:p w:rsidR="006F77CF" w:rsidRPr="00F5451B" w:rsidRDefault="000B6465" w:rsidP="006F77CF">
            <w:r w:rsidRPr="00F5451B">
              <w:t>Victim involved in Cyber Crime</w:t>
            </w:r>
          </w:p>
        </w:tc>
      </w:tr>
      <w:tr w:rsidR="006F77CF" w:rsidRPr="000C1ECF" w:rsidTr="006F77CF">
        <w:trPr>
          <w:trHeight w:val="50"/>
        </w:trPr>
        <w:tc>
          <w:tcPr>
            <w:tcW w:w="1536" w:type="dxa"/>
            <w:tcBorders>
              <w:top w:val="single" w:sz="8" w:space="0" w:color="auto"/>
              <w:left w:val="single" w:sz="8" w:space="0" w:color="auto"/>
              <w:bottom w:val="single" w:sz="4" w:space="0" w:color="auto"/>
              <w:right w:val="single" w:sz="8" w:space="0" w:color="auto"/>
            </w:tcBorders>
          </w:tcPr>
          <w:p w:rsidR="006F77CF" w:rsidRPr="00C2123A" w:rsidRDefault="006F77CF" w:rsidP="006F77CF">
            <w:r w:rsidRPr="00C2123A">
              <w:t>Category</w:t>
            </w:r>
          </w:p>
        </w:tc>
        <w:tc>
          <w:tcPr>
            <w:tcW w:w="7905" w:type="dxa"/>
            <w:gridSpan w:val="2"/>
            <w:tcBorders>
              <w:top w:val="single" w:sz="4" w:space="0" w:color="auto"/>
              <w:left w:val="nil"/>
              <w:bottom w:val="single" w:sz="4" w:space="0" w:color="auto"/>
              <w:right w:val="single" w:sz="8" w:space="0" w:color="000000"/>
            </w:tcBorders>
          </w:tcPr>
          <w:p w:rsidR="006F77CF" w:rsidRPr="00F5451B" w:rsidRDefault="000B6465" w:rsidP="006F77CF">
            <w:r w:rsidRPr="00F5451B">
              <w:t>Victim Notification</w:t>
            </w:r>
          </w:p>
        </w:tc>
      </w:tr>
      <w:tr w:rsidR="006F77CF" w:rsidRPr="000C1ECF" w:rsidTr="006F77CF">
        <w:trPr>
          <w:trHeight w:val="50"/>
        </w:trPr>
        <w:tc>
          <w:tcPr>
            <w:tcW w:w="1536" w:type="dxa"/>
            <w:tcBorders>
              <w:top w:val="single" w:sz="8" w:space="0" w:color="auto"/>
              <w:left w:val="single" w:sz="8" w:space="0" w:color="auto"/>
              <w:bottom w:val="single" w:sz="4" w:space="0" w:color="auto"/>
              <w:right w:val="single" w:sz="8" w:space="0" w:color="auto"/>
            </w:tcBorders>
          </w:tcPr>
          <w:p w:rsidR="006F77CF" w:rsidRPr="00C2123A" w:rsidRDefault="006F77CF" w:rsidP="006F77CF">
            <w:r w:rsidRPr="00C2123A">
              <w:t>Domain</w:t>
            </w:r>
          </w:p>
        </w:tc>
        <w:tc>
          <w:tcPr>
            <w:tcW w:w="7905" w:type="dxa"/>
            <w:gridSpan w:val="2"/>
            <w:tcBorders>
              <w:top w:val="single" w:sz="4" w:space="0" w:color="auto"/>
              <w:left w:val="nil"/>
              <w:bottom w:val="single" w:sz="4" w:space="0" w:color="auto"/>
              <w:right w:val="single" w:sz="8" w:space="0" w:color="000000"/>
            </w:tcBorders>
          </w:tcPr>
          <w:p w:rsidR="006F77CF" w:rsidRPr="00F5451B" w:rsidRDefault="006F77CF" w:rsidP="000B6465">
            <w:pPr>
              <w:pStyle w:val="ListParagraph"/>
              <w:numPr>
                <w:ilvl w:val="0"/>
                <w:numId w:val="18"/>
              </w:numPr>
              <w:rPr>
                <w:rFonts w:ascii="Times New Roman" w:hAnsi="Times New Roman"/>
                <w:sz w:val="20"/>
                <w:szCs w:val="20"/>
              </w:rPr>
            </w:pPr>
            <w:r w:rsidRPr="00F5451B">
              <w:rPr>
                <w:rFonts w:ascii="Times New Roman" w:hAnsi="Times New Roman"/>
                <w:sz w:val="20"/>
                <w:szCs w:val="20"/>
              </w:rPr>
              <w:t xml:space="preserve">Cybersecurity </w:t>
            </w:r>
          </w:p>
          <w:p w:rsidR="000B6465" w:rsidRPr="00F5451B" w:rsidRDefault="000B6465" w:rsidP="000B6465">
            <w:pPr>
              <w:pStyle w:val="ListParagraph"/>
              <w:numPr>
                <w:ilvl w:val="0"/>
                <w:numId w:val="18"/>
              </w:numPr>
              <w:rPr>
                <w:rFonts w:ascii="Times New Roman" w:hAnsi="Times New Roman"/>
                <w:sz w:val="20"/>
                <w:szCs w:val="20"/>
              </w:rPr>
            </w:pPr>
            <w:r w:rsidRPr="00F5451B">
              <w:rPr>
                <w:rFonts w:ascii="Times New Roman" w:hAnsi="Times New Roman"/>
                <w:sz w:val="20"/>
                <w:szCs w:val="20"/>
              </w:rPr>
              <w:t>Law Enforcement</w:t>
            </w:r>
          </w:p>
        </w:tc>
      </w:tr>
      <w:tr w:rsidR="006F77CF" w:rsidRPr="000C1ECF" w:rsidTr="006F77CF">
        <w:trPr>
          <w:trHeight w:val="50"/>
        </w:trPr>
        <w:tc>
          <w:tcPr>
            <w:tcW w:w="1536" w:type="dxa"/>
            <w:tcBorders>
              <w:top w:val="single" w:sz="8" w:space="0" w:color="auto"/>
              <w:left w:val="single" w:sz="8" w:space="0" w:color="auto"/>
              <w:bottom w:val="single" w:sz="4" w:space="0" w:color="auto"/>
              <w:right w:val="single" w:sz="8" w:space="0" w:color="auto"/>
            </w:tcBorders>
          </w:tcPr>
          <w:p w:rsidR="006F77CF" w:rsidRPr="00C2123A" w:rsidRDefault="006F77CF" w:rsidP="006F77CF">
            <w:r w:rsidRPr="00C2123A">
              <w:t xml:space="preserve">Security </w:t>
            </w:r>
            <w:r>
              <w:t>Fabric</w:t>
            </w:r>
          </w:p>
          <w:p w:rsidR="006F77CF" w:rsidRPr="00C2123A" w:rsidRDefault="006F77CF" w:rsidP="006F77CF">
            <w:r w:rsidRPr="00C2123A">
              <w:t>(e.g., U, LES, S, TS)</w:t>
            </w:r>
          </w:p>
        </w:tc>
        <w:tc>
          <w:tcPr>
            <w:tcW w:w="7905" w:type="dxa"/>
            <w:gridSpan w:val="2"/>
            <w:tcBorders>
              <w:top w:val="single" w:sz="4" w:space="0" w:color="auto"/>
              <w:left w:val="nil"/>
              <w:bottom w:val="single" w:sz="4" w:space="0" w:color="auto"/>
              <w:right w:val="single" w:sz="8" w:space="0" w:color="000000"/>
            </w:tcBorders>
          </w:tcPr>
          <w:p w:rsidR="006F77CF" w:rsidRPr="00F5451B" w:rsidRDefault="000B6465" w:rsidP="000B6465">
            <w:r w:rsidRPr="00F5451B">
              <w:t xml:space="preserve">U, LES, </w:t>
            </w:r>
            <w:r w:rsidR="006F77CF" w:rsidRPr="00F5451B">
              <w:t>S</w:t>
            </w:r>
          </w:p>
        </w:tc>
      </w:tr>
      <w:tr w:rsidR="006F77CF" w:rsidRPr="000C1ECF" w:rsidTr="006F77CF">
        <w:trPr>
          <w:trHeight w:val="493"/>
        </w:trPr>
        <w:tc>
          <w:tcPr>
            <w:tcW w:w="1536" w:type="dxa"/>
            <w:tcBorders>
              <w:top w:val="single" w:sz="8" w:space="0" w:color="auto"/>
              <w:left w:val="single" w:sz="8" w:space="0" w:color="auto"/>
              <w:bottom w:val="single" w:sz="4" w:space="0" w:color="auto"/>
              <w:right w:val="single" w:sz="8" w:space="0" w:color="auto"/>
            </w:tcBorders>
            <w:hideMark/>
          </w:tcPr>
          <w:p w:rsidR="006F77CF" w:rsidRPr="00C2123A" w:rsidRDefault="006F77CF" w:rsidP="006F77CF">
            <w:r w:rsidRPr="00C2123A">
              <w:t>Scenario Description</w:t>
            </w:r>
          </w:p>
        </w:tc>
        <w:tc>
          <w:tcPr>
            <w:tcW w:w="7905" w:type="dxa"/>
            <w:gridSpan w:val="2"/>
            <w:tcBorders>
              <w:top w:val="single" w:sz="4" w:space="0" w:color="auto"/>
              <w:left w:val="nil"/>
              <w:bottom w:val="single" w:sz="4" w:space="0" w:color="auto"/>
              <w:right w:val="single" w:sz="8" w:space="0" w:color="000000"/>
            </w:tcBorders>
          </w:tcPr>
          <w:p w:rsidR="006F77CF" w:rsidRPr="00F5451B" w:rsidRDefault="000B6465" w:rsidP="006F77CF">
            <w:r w:rsidRPr="00F5451B">
              <w:t xml:space="preserve">Victim is directly involved in a cyber-enabled crime.  This use case describes the situation where the victim is an entity or an organization where a specific criminal activity has been committed leading to emotional, physical or financial damage.   </w:t>
            </w:r>
          </w:p>
        </w:tc>
      </w:tr>
      <w:tr w:rsidR="006F77CF" w:rsidRPr="000C1ECF" w:rsidTr="006F77CF">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6F77CF" w:rsidRPr="00C2123A" w:rsidRDefault="006F77CF" w:rsidP="006F77CF">
            <w:r w:rsidRPr="00C2123A">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6F77CF" w:rsidRPr="00F5451B" w:rsidRDefault="009F2460" w:rsidP="006F77CF">
            <w:pPr>
              <w:pStyle w:val="ListParagraph"/>
              <w:numPr>
                <w:ilvl w:val="0"/>
                <w:numId w:val="19"/>
              </w:numPr>
            </w:pPr>
            <w:r w:rsidRPr="00F5451B">
              <w:rPr>
                <w:rFonts w:ascii="Times New Roman" w:hAnsi="Times New Roman"/>
                <w:sz w:val="20"/>
                <w:szCs w:val="20"/>
              </w:rPr>
              <w:t>Fed</w:t>
            </w:r>
            <w:r w:rsidR="009179FB">
              <w:rPr>
                <w:rFonts w:ascii="Times New Roman" w:hAnsi="Times New Roman"/>
                <w:sz w:val="20"/>
                <w:szCs w:val="20"/>
              </w:rPr>
              <w:t>eral</w:t>
            </w:r>
            <w:r w:rsidRPr="00F5451B">
              <w:rPr>
                <w:rFonts w:ascii="Times New Roman" w:hAnsi="Times New Roman"/>
                <w:sz w:val="20"/>
                <w:szCs w:val="20"/>
              </w:rPr>
              <w:t>↔State</w:t>
            </w:r>
          </w:p>
          <w:p w:rsidR="009F2460" w:rsidRPr="00F5451B" w:rsidRDefault="009F2460" w:rsidP="006F77CF">
            <w:pPr>
              <w:pStyle w:val="ListParagraph"/>
              <w:numPr>
                <w:ilvl w:val="0"/>
                <w:numId w:val="19"/>
              </w:numPr>
            </w:pPr>
            <w:r w:rsidRPr="00F5451B">
              <w:rPr>
                <w:rFonts w:ascii="Times New Roman" w:hAnsi="Times New Roman"/>
                <w:sz w:val="20"/>
                <w:szCs w:val="20"/>
              </w:rPr>
              <w:t>Fed</w:t>
            </w:r>
            <w:r w:rsidR="009179FB">
              <w:rPr>
                <w:rFonts w:ascii="Times New Roman" w:hAnsi="Times New Roman"/>
                <w:sz w:val="20"/>
                <w:szCs w:val="20"/>
              </w:rPr>
              <w:t>eral</w:t>
            </w:r>
            <w:r w:rsidRPr="00F5451B">
              <w:rPr>
                <w:rFonts w:ascii="Times New Roman" w:hAnsi="Times New Roman"/>
                <w:sz w:val="20"/>
                <w:szCs w:val="20"/>
              </w:rPr>
              <w:t>↔Citizen</w:t>
            </w:r>
          </w:p>
          <w:p w:rsidR="009F2460" w:rsidRPr="00F5451B" w:rsidRDefault="009179FB" w:rsidP="006F77CF">
            <w:pPr>
              <w:pStyle w:val="ListParagraph"/>
              <w:numPr>
                <w:ilvl w:val="0"/>
                <w:numId w:val="19"/>
              </w:numPr>
            </w:pPr>
            <w:r>
              <w:rPr>
                <w:rFonts w:ascii="Times New Roman" w:hAnsi="Times New Roman"/>
                <w:sz w:val="20"/>
                <w:szCs w:val="20"/>
              </w:rPr>
              <w:t>Private</w:t>
            </w:r>
            <w:r w:rsidR="009F2460" w:rsidRPr="00F5451B">
              <w:rPr>
                <w:rFonts w:ascii="Times New Roman" w:hAnsi="Times New Roman"/>
                <w:sz w:val="20"/>
                <w:szCs w:val="20"/>
              </w:rPr>
              <w:t>↔Citizen</w:t>
            </w:r>
          </w:p>
          <w:p w:rsidR="009F2460" w:rsidRPr="00F5451B" w:rsidRDefault="009F2460" w:rsidP="006F77CF">
            <w:pPr>
              <w:pStyle w:val="ListParagraph"/>
              <w:numPr>
                <w:ilvl w:val="0"/>
                <w:numId w:val="19"/>
              </w:numPr>
            </w:pPr>
            <w:r w:rsidRPr="00F5451B">
              <w:rPr>
                <w:rFonts w:ascii="Times New Roman" w:hAnsi="Times New Roman"/>
                <w:sz w:val="20"/>
                <w:szCs w:val="20"/>
              </w:rPr>
              <w:t>State↔Citizen</w:t>
            </w:r>
          </w:p>
          <w:p w:rsidR="009F2460" w:rsidRPr="00F5451B" w:rsidRDefault="009F2460" w:rsidP="006F77CF">
            <w:pPr>
              <w:pStyle w:val="ListParagraph"/>
              <w:numPr>
                <w:ilvl w:val="0"/>
                <w:numId w:val="19"/>
              </w:numPr>
            </w:pPr>
            <w:r w:rsidRPr="00F5451B">
              <w:rPr>
                <w:rFonts w:ascii="Times New Roman" w:hAnsi="Times New Roman"/>
                <w:sz w:val="20"/>
                <w:szCs w:val="20"/>
              </w:rPr>
              <w:t>Citizen↔Citizen</w:t>
            </w:r>
          </w:p>
        </w:tc>
      </w:tr>
      <w:tr w:rsidR="006F77CF" w:rsidRPr="000C1ECF" w:rsidTr="006F77C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F77CF" w:rsidRPr="00C2123A" w:rsidRDefault="006F77CF" w:rsidP="006F77CF">
            <w:pPr>
              <w:jc w:val="center"/>
              <w:rPr>
                <w:color w:val="FFFFFF" w:themeColor="background1"/>
              </w:rPr>
            </w:pPr>
            <w:r w:rsidRPr="00C2123A">
              <w:rPr>
                <w:color w:val="FFFFFF" w:themeColor="background1"/>
              </w:rPr>
              <w:t>Key Stakeholders</w:t>
            </w:r>
          </w:p>
        </w:tc>
      </w:tr>
      <w:tr w:rsidR="006F77CF" w:rsidRPr="000C1ECF" w:rsidTr="006F77CF">
        <w:trPr>
          <w:trHeight w:val="350"/>
        </w:trPr>
        <w:tc>
          <w:tcPr>
            <w:tcW w:w="1536" w:type="dxa"/>
            <w:tcBorders>
              <w:top w:val="single" w:sz="4" w:space="0" w:color="auto"/>
              <w:left w:val="single" w:sz="8" w:space="0" w:color="auto"/>
              <w:bottom w:val="single" w:sz="4" w:space="0" w:color="auto"/>
              <w:right w:val="single" w:sz="8" w:space="0" w:color="auto"/>
            </w:tcBorders>
          </w:tcPr>
          <w:p w:rsidR="006F77CF" w:rsidRPr="000C1ECF" w:rsidRDefault="006F77CF" w:rsidP="006F77CF">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F77CF" w:rsidRPr="00A728DE" w:rsidRDefault="000B6465" w:rsidP="009179FB">
            <w:pPr>
              <w:spacing w:after="160" w:line="259" w:lineRule="auto"/>
            </w:pPr>
            <w:r w:rsidRPr="009179FB">
              <w:t>SLTT Fusion Centers</w:t>
            </w:r>
            <w:r w:rsidR="009179FB" w:rsidRPr="009179FB">
              <w:t xml:space="preserve">, </w:t>
            </w:r>
            <w:r w:rsidRPr="009179FB">
              <w:t>SLTT Law Enforcement</w:t>
            </w:r>
            <w:r w:rsidR="009179FB">
              <w:t xml:space="preserve">, </w:t>
            </w:r>
            <w:r w:rsidRPr="009179FB">
              <w:t>FBI</w:t>
            </w:r>
            <w:r w:rsidR="009179FB">
              <w:t xml:space="preserve">, </w:t>
            </w:r>
            <w:r w:rsidRPr="009179FB">
              <w:t>CIKR/Private Sector</w:t>
            </w:r>
          </w:p>
        </w:tc>
      </w:tr>
      <w:tr w:rsidR="006F77CF" w:rsidRPr="000C1ECF" w:rsidTr="006F77CF">
        <w:trPr>
          <w:trHeight w:val="350"/>
        </w:trPr>
        <w:tc>
          <w:tcPr>
            <w:tcW w:w="1536" w:type="dxa"/>
            <w:tcBorders>
              <w:top w:val="single" w:sz="4" w:space="0" w:color="auto"/>
              <w:left w:val="single" w:sz="8" w:space="0" w:color="auto"/>
              <w:bottom w:val="single" w:sz="4" w:space="0" w:color="auto"/>
              <w:right w:val="single" w:sz="8" w:space="0" w:color="auto"/>
            </w:tcBorders>
          </w:tcPr>
          <w:p w:rsidR="006F77CF" w:rsidRPr="00C2123A" w:rsidRDefault="006F77CF" w:rsidP="006F77CF">
            <w:r w:rsidRPr="00C2123A">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F77CF" w:rsidRPr="00C2123A" w:rsidRDefault="009179FB" w:rsidP="009179FB">
            <w:pPr>
              <w:rPr>
                <w:color w:val="FF0000"/>
              </w:rPr>
            </w:pPr>
            <w:r w:rsidRPr="009179FB">
              <w:t>SLTT Fusion Centers, SLTT Law Enforcement, FBI, CIKR/Private Sector</w:t>
            </w:r>
          </w:p>
        </w:tc>
      </w:tr>
      <w:tr w:rsidR="006F77CF" w:rsidRPr="000C1ECF" w:rsidTr="006F77CF">
        <w:trPr>
          <w:trHeight w:val="350"/>
        </w:trPr>
        <w:tc>
          <w:tcPr>
            <w:tcW w:w="1536" w:type="dxa"/>
            <w:tcBorders>
              <w:top w:val="single" w:sz="4" w:space="0" w:color="auto"/>
              <w:left w:val="single" w:sz="8" w:space="0" w:color="auto"/>
              <w:bottom w:val="single" w:sz="4" w:space="0" w:color="auto"/>
              <w:right w:val="single" w:sz="8" w:space="0" w:color="auto"/>
            </w:tcBorders>
          </w:tcPr>
          <w:p w:rsidR="006F77CF" w:rsidRPr="00C2123A" w:rsidRDefault="006F77CF" w:rsidP="006F77CF">
            <w:r w:rsidRPr="00C2123A">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6F77CF" w:rsidRPr="00C2123A" w:rsidRDefault="009179FB" w:rsidP="006F77CF">
            <w:pPr>
              <w:rPr>
                <w:color w:val="FF0000"/>
              </w:rPr>
            </w:pPr>
            <w:r w:rsidRPr="009179FB">
              <w:t>SLTT Fusion Centers, SLTT Law Enforcement, FBI, CIKR/Private Sector</w:t>
            </w:r>
          </w:p>
        </w:tc>
      </w:tr>
      <w:tr w:rsidR="006F77CF" w:rsidRPr="000C1ECF" w:rsidTr="006F77CF">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6F77CF" w:rsidRPr="00C2123A" w:rsidRDefault="006F77CF" w:rsidP="006F77CF">
            <w:pPr>
              <w:jc w:val="center"/>
              <w:rPr>
                <w:color w:val="FFFFFF" w:themeColor="background1"/>
              </w:rPr>
            </w:pPr>
            <w:r>
              <w:rPr>
                <w:color w:val="FFFFFF" w:themeColor="background1"/>
              </w:rPr>
              <w:t>Scenario</w:t>
            </w:r>
            <w:r w:rsidRPr="00C2123A">
              <w:rPr>
                <w:color w:val="FFFFFF" w:themeColor="background1"/>
              </w:rPr>
              <w:t xml:space="preserve"> Details</w:t>
            </w:r>
          </w:p>
        </w:tc>
      </w:tr>
      <w:tr w:rsidR="006F77CF" w:rsidRPr="000C1ECF" w:rsidTr="006F77CF">
        <w:trPr>
          <w:trHeight w:val="60"/>
        </w:trPr>
        <w:tc>
          <w:tcPr>
            <w:tcW w:w="1536" w:type="dxa"/>
            <w:tcBorders>
              <w:top w:val="single" w:sz="4" w:space="0" w:color="auto"/>
              <w:left w:val="single" w:sz="8" w:space="0" w:color="auto"/>
              <w:bottom w:val="single" w:sz="4" w:space="0" w:color="auto"/>
              <w:right w:val="single" w:sz="8" w:space="0" w:color="auto"/>
            </w:tcBorders>
            <w:hideMark/>
          </w:tcPr>
          <w:p w:rsidR="006F77CF" w:rsidRPr="00C2123A" w:rsidRDefault="006F77CF" w:rsidP="006F77CF">
            <w:r w:rsidRPr="00C2123A">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6F77CF" w:rsidRPr="000C1ECF" w:rsidRDefault="009179FB" w:rsidP="006F77CF">
            <w:r>
              <w:t>Use of NIEM, use of STIX</w:t>
            </w:r>
          </w:p>
        </w:tc>
      </w:tr>
      <w:tr w:rsidR="006F77CF" w:rsidRPr="000C1ECF" w:rsidTr="006F77CF">
        <w:trPr>
          <w:trHeight w:val="530"/>
        </w:trPr>
        <w:tc>
          <w:tcPr>
            <w:tcW w:w="1536" w:type="dxa"/>
            <w:tcBorders>
              <w:top w:val="single" w:sz="4" w:space="0" w:color="auto"/>
              <w:left w:val="single" w:sz="8" w:space="0" w:color="auto"/>
              <w:bottom w:val="single" w:sz="8" w:space="0" w:color="auto"/>
              <w:right w:val="single" w:sz="8" w:space="0" w:color="auto"/>
            </w:tcBorders>
            <w:hideMark/>
          </w:tcPr>
          <w:p w:rsidR="006F77CF" w:rsidRPr="00C2123A" w:rsidRDefault="006F77CF" w:rsidP="006F77CF">
            <w:r w:rsidRPr="00C2123A">
              <w:t>Exchange Scenario</w:t>
            </w:r>
          </w:p>
        </w:tc>
        <w:tc>
          <w:tcPr>
            <w:tcW w:w="7905" w:type="dxa"/>
            <w:gridSpan w:val="2"/>
            <w:tcBorders>
              <w:top w:val="single" w:sz="4" w:space="0" w:color="auto"/>
              <w:left w:val="nil"/>
              <w:bottom w:val="single" w:sz="8" w:space="0" w:color="000000"/>
              <w:right w:val="single" w:sz="8" w:space="0" w:color="000000"/>
            </w:tcBorders>
          </w:tcPr>
          <w:p w:rsidR="00BC0660" w:rsidRPr="00F5451B" w:rsidRDefault="00BC0660" w:rsidP="00F5451B">
            <w:pPr>
              <w:pStyle w:val="ListParagraph"/>
              <w:numPr>
                <w:ilvl w:val="0"/>
                <w:numId w:val="24"/>
              </w:numPr>
              <w:rPr>
                <w:rFonts w:ascii="Times New Roman" w:hAnsi="Times New Roman"/>
                <w:sz w:val="20"/>
                <w:szCs w:val="20"/>
              </w:rPr>
            </w:pPr>
            <w:r w:rsidRPr="00F5451B">
              <w:rPr>
                <w:rFonts w:ascii="Times New Roman" w:hAnsi="Times New Roman"/>
                <w:sz w:val="20"/>
                <w:szCs w:val="20"/>
              </w:rPr>
              <w:t xml:space="preserve">ABC bank reported an intrusion of their IT infrastructure where $X were directly stolen from specific bank accounts and transferred into a numbered account.  </w:t>
            </w:r>
          </w:p>
          <w:p w:rsidR="00BC0660" w:rsidRPr="00F5451B" w:rsidRDefault="00BC0660" w:rsidP="00F5451B">
            <w:pPr>
              <w:pStyle w:val="ListParagraph"/>
              <w:numPr>
                <w:ilvl w:val="0"/>
                <w:numId w:val="24"/>
              </w:numPr>
              <w:rPr>
                <w:rFonts w:ascii="Times New Roman" w:hAnsi="Times New Roman"/>
                <w:sz w:val="20"/>
                <w:szCs w:val="20"/>
              </w:rPr>
            </w:pPr>
            <w:r w:rsidRPr="00F5451B">
              <w:rPr>
                <w:rFonts w:ascii="Times New Roman" w:hAnsi="Times New Roman"/>
                <w:sz w:val="20"/>
                <w:szCs w:val="20"/>
              </w:rPr>
              <w:t xml:space="preserve">These funds were further redirected to other off-shore accounts, and cannot be traced anymore.  </w:t>
            </w:r>
          </w:p>
          <w:p w:rsidR="006F77CF" w:rsidRPr="00D67C6C" w:rsidRDefault="00BC0660" w:rsidP="00F5451B">
            <w:pPr>
              <w:pStyle w:val="ListParagraph"/>
              <w:numPr>
                <w:ilvl w:val="0"/>
                <w:numId w:val="24"/>
              </w:numPr>
            </w:pPr>
            <w:r w:rsidRPr="00F5451B">
              <w:rPr>
                <w:rFonts w:ascii="Times New Roman" w:hAnsi="Times New Roman"/>
                <w:sz w:val="20"/>
                <w:szCs w:val="20"/>
              </w:rPr>
              <w:t>This is an example where a Victim is directly involved in a crime, and needs to be notified</w:t>
            </w:r>
          </w:p>
        </w:tc>
      </w:tr>
      <w:tr w:rsidR="006F77CF" w:rsidRPr="000C1ECF" w:rsidTr="006F77CF">
        <w:trPr>
          <w:trHeight w:val="115"/>
        </w:trPr>
        <w:tc>
          <w:tcPr>
            <w:tcW w:w="1536" w:type="dxa"/>
            <w:tcBorders>
              <w:top w:val="single" w:sz="4" w:space="0" w:color="auto"/>
              <w:left w:val="single" w:sz="8" w:space="0" w:color="auto"/>
              <w:bottom w:val="single" w:sz="4" w:space="0" w:color="auto"/>
              <w:right w:val="single" w:sz="8" w:space="0" w:color="auto"/>
            </w:tcBorders>
            <w:hideMark/>
          </w:tcPr>
          <w:p w:rsidR="006F77CF" w:rsidRPr="00C2123A" w:rsidRDefault="006F77CF" w:rsidP="006F77CF">
            <w:r w:rsidRPr="00C2123A">
              <w:t>Business Rules</w:t>
            </w:r>
          </w:p>
        </w:tc>
        <w:tc>
          <w:tcPr>
            <w:tcW w:w="7905" w:type="dxa"/>
            <w:gridSpan w:val="2"/>
            <w:tcBorders>
              <w:top w:val="single" w:sz="4" w:space="0" w:color="auto"/>
              <w:left w:val="nil"/>
              <w:bottom w:val="single" w:sz="4" w:space="0" w:color="auto"/>
              <w:right w:val="single" w:sz="8" w:space="0" w:color="000000"/>
            </w:tcBorders>
          </w:tcPr>
          <w:p w:rsidR="006F77CF" w:rsidRPr="000C1ECF" w:rsidRDefault="009179FB" w:rsidP="006F77CF">
            <w:r>
              <w:t>TBD by stakeholders</w:t>
            </w:r>
          </w:p>
        </w:tc>
      </w:tr>
      <w:tr w:rsidR="006F77CF" w:rsidRPr="000C1ECF" w:rsidTr="006F77CF">
        <w:trPr>
          <w:trHeight w:val="115"/>
        </w:trPr>
        <w:tc>
          <w:tcPr>
            <w:tcW w:w="1536" w:type="dxa"/>
            <w:tcBorders>
              <w:top w:val="single" w:sz="4" w:space="0" w:color="auto"/>
              <w:left w:val="single" w:sz="8" w:space="0" w:color="auto"/>
              <w:bottom w:val="single" w:sz="4" w:space="0" w:color="auto"/>
              <w:right w:val="single" w:sz="8" w:space="0" w:color="auto"/>
            </w:tcBorders>
          </w:tcPr>
          <w:p w:rsidR="006F77CF" w:rsidRPr="000C1ECF" w:rsidRDefault="006F77CF" w:rsidP="006F77CF">
            <w:r>
              <w:t>Mapping to ESSA’s Enduring Functional Exchanges</w:t>
            </w:r>
            <w:r w:rsidR="00AA4498">
              <w:t xml:space="preserve"> (EFE)</w:t>
            </w:r>
          </w:p>
        </w:tc>
        <w:tc>
          <w:tcPr>
            <w:tcW w:w="7905" w:type="dxa"/>
            <w:gridSpan w:val="2"/>
            <w:tcBorders>
              <w:top w:val="single" w:sz="4" w:space="0" w:color="auto"/>
              <w:left w:val="nil"/>
              <w:bottom w:val="single" w:sz="4" w:space="0" w:color="auto"/>
              <w:right w:val="single" w:sz="8" w:space="0" w:color="000000"/>
            </w:tcBorders>
          </w:tcPr>
          <w:p w:rsidR="006F77CF" w:rsidRPr="000C1ECF" w:rsidRDefault="009179FB" w:rsidP="009179FB">
            <w:r w:rsidRPr="009179FB">
              <w:t>(</w:t>
            </w:r>
            <w:r w:rsidR="006F77CF" w:rsidRPr="009179FB">
              <w:t>1) Configuration/Anomaly Reporting; (2) Knowledge of Threat Actors; (3) Incident Awareness; (4) Indicators and Warnings; (5) Vulnerability Knowledge; (6) Mitigation Strategies; (7)</w:t>
            </w:r>
            <w:r w:rsidRPr="009179FB">
              <w:t xml:space="preserve"> Mitigation Actions &amp; Responses</w:t>
            </w:r>
            <w:r w:rsidR="006F77CF" w:rsidRPr="009179FB">
              <w:t xml:space="preserve">. </w:t>
            </w:r>
          </w:p>
        </w:tc>
      </w:tr>
      <w:tr w:rsidR="006F77CF" w:rsidRPr="000C1ECF" w:rsidTr="006F77CF">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6F77CF" w:rsidRPr="00C2123A" w:rsidRDefault="006F77CF" w:rsidP="006F77CF">
            <w:pPr>
              <w:jc w:val="center"/>
              <w:rPr>
                <w:color w:val="FFFFFF" w:themeColor="background1"/>
              </w:rPr>
            </w:pPr>
            <w:r w:rsidRPr="00C2123A">
              <w:rPr>
                <w:color w:val="FFFFFF" w:themeColor="background1"/>
              </w:rPr>
              <w:t>Data Elements</w:t>
            </w:r>
          </w:p>
        </w:tc>
      </w:tr>
      <w:tr w:rsidR="006F77CF" w:rsidRPr="000C1ECF" w:rsidTr="006F77CF">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6F77CF" w:rsidRPr="00C2123A" w:rsidRDefault="006F77CF" w:rsidP="006F77CF">
            <w:pPr>
              <w:jc w:val="center"/>
              <w:rPr>
                <w:color w:val="FFFFFF" w:themeColor="background1"/>
              </w:rPr>
            </w:pPr>
            <w:r w:rsidRPr="00C2123A">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6F77CF" w:rsidRPr="00C2123A" w:rsidRDefault="006F77CF" w:rsidP="006F77CF">
            <w:pPr>
              <w:jc w:val="center"/>
              <w:rPr>
                <w:color w:val="FFFFFF" w:themeColor="background1"/>
              </w:rPr>
            </w:pPr>
            <w:r w:rsidRPr="00C2123A">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6F77CF" w:rsidRPr="00C2123A" w:rsidRDefault="006F77CF" w:rsidP="006F77CF">
            <w:pPr>
              <w:jc w:val="center"/>
              <w:rPr>
                <w:color w:val="FFFFFF" w:themeColor="background1"/>
              </w:rPr>
            </w:pPr>
            <w:r w:rsidRPr="00C2123A">
              <w:rPr>
                <w:color w:val="FFFFFF" w:themeColor="background1"/>
              </w:rPr>
              <w:t>Definitions</w:t>
            </w:r>
          </w:p>
        </w:tc>
      </w:tr>
      <w:tr w:rsidR="006F77CF" w:rsidRPr="000C1ECF" w:rsidTr="006F77CF">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6F77CF" w:rsidRPr="00C2123A" w:rsidRDefault="006F77CF" w:rsidP="006F77CF">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6F77CF" w:rsidRPr="00C2123A" w:rsidRDefault="006F77CF" w:rsidP="006F77CF">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6F77CF" w:rsidRPr="00C2123A" w:rsidRDefault="006F77CF" w:rsidP="006F77CF">
            <w:pPr>
              <w:jc w:val="center"/>
              <w:rPr>
                <w:color w:val="FFFFFF" w:themeColor="background1"/>
              </w:rPr>
            </w:pPr>
          </w:p>
        </w:tc>
      </w:tr>
      <w:tr w:rsidR="006F77CF" w:rsidRPr="000C1ECF" w:rsidTr="006F77CF">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F77CF" w:rsidRPr="000C1ECF" w:rsidRDefault="006F77CF" w:rsidP="006F77CF">
            <w:r>
              <w:t xml:space="preserve">Additional Information: </w:t>
            </w:r>
          </w:p>
        </w:tc>
      </w:tr>
    </w:tbl>
    <w:p w:rsidR="00E400F4" w:rsidRDefault="00E400F4">
      <w:pPr>
        <w:rPr>
          <w:sz w:val="22"/>
          <w:szCs w:val="22"/>
        </w:rPr>
      </w:pPr>
      <w:r>
        <w:rPr>
          <w:sz w:val="22"/>
          <w:szCs w:val="22"/>
        </w:rPr>
        <w:br w:type="page"/>
      </w:r>
    </w:p>
    <w:p w:rsidR="001C58EC" w:rsidRDefault="001B04CD" w:rsidP="00C17CD4">
      <w:pPr>
        <w:pStyle w:val="Heading2"/>
      </w:pPr>
      <w:r>
        <w:t>Scenario</w:t>
      </w:r>
      <w:r w:rsidR="00C17CD4">
        <w:t xml:space="preserve"> Story #11</w:t>
      </w:r>
    </w:p>
    <w:p w:rsidR="00C17CD4" w:rsidRPr="00C17CD4" w:rsidRDefault="00C17CD4" w:rsidP="00C17CD4"/>
    <w:p w:rsidR="00C17CD4" w:rsidRPr="00C17CD4" w:rsidRDefault="00C17CD4" w:rsidP="00C17CD4">
      <w:pPr>
        <w:rPr>
          <w:sz w:val="22"/>
        </w:rPr>
      </w:pPr>
      <w:r w:rsidRPr="00C17CD4">
        <w:rPr>
          <w:sz w:val="22"/>
          <w:highlight w:val="yellow"/>
        </w:rPr>
        <w:t>Narrative</w:t>
      </w:r>
      <w:r w:rsidR="001618A3">
        <w:rPr>
          <w:sz w:val="22"/>
        </w:rPr>
        <w:t xml:space="preserve"> </w:t>
      </w:r>
    </w:p>
    <w:p w:rsidR="00C17CD4" w:rsidRDefault="00C17CD4">
      <w:pPr>
        <w:rPr>
          <w:sz w:val="22"/>
          <w:szCs w:val="22"/>
        </w:rPr>
      </w:pPr>
    </w:p>
    <w:p w:rsidR="00C17CD4" w:rsidRDefault="00C17CD4">
      <w:pPr>
        <w:rPr>
          <w:sz w:val="22"/>
          <w:szCs w:val="22"/>
        </w:rPr>
      </w:pPr>
    </w:p>
    <w:tbl>
      <w:tblPr>
        <w:tblW w:w="9441" w:type="dxa"/>
        <w:tblInd w:w="93" w:type="dxa"/>
        <w:tblLook w:val="04A0" w:firstRow="1" w:lastRow="0" w:firstColumn="1" w:lastColumn="0" w:noHBand="0" w:noVBand="1"/>
      </w:tblPr>
      <w:tblGrid>
        <w:gridCol w:w="1536"/>
        <w:gridCol w:w="3815"/>
        <w:gridCol w:w="4090"/>
      </w:tblGrid>
      <w:tr w:rsidR="001C58EC" w:rsidRPr="000C1ECF" w:rsidTr="001C58EC">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1C58EC" w:rsidRPr="00C2123A" w:rsidRDefault="001C58EC" w:rsidP="001C58EC">
            <w:pPr>
              <w:jc w:val="center"/>
              <w:rPr>
                <w:color w:val="FFFFFF" w:themeColor="background1"/>
              </w:rPr>
            </w:pPr>
            <w:r w:rsidRPr="00C2123A">
              <w:rPr>
                <w:color w:val="FFFFFF" w:themeColor="background1"/>
              </w:rPr>
              <w:t>Use Case</w:t>
            </w:r>
            <w:r>
              <w:rPr>
                <w:color w:val="FFFFFF" w:themeColor="background1"/>
              </w:rPr>
              <w:t xml:space="preserve"> #11</w:t>
            </w:r>
          </w:p>
        </w:tc>
      </w:tr>
      <w:tr w:rsidR="001C58EC" w:rsidRPr="000C1ECF" w:rsidTr="001C58EC">
        <w:trPr>
          <w:trHeight w:val="88"/>
        </w:trPr>
        <w:tc>
          <w:tcPr>
            <w:tcW w:w="1536" w:type="dxa"/>
            <w:tcBorders>
              <w:top w:val="single" w:sz="8" w:space="0" w:color="auto"/>
              <w:left w:val="single" w:sz="8" w:space="0" w:color="auto"/>
              <w:bottom w:val="single" w:sz="4" w:space="0" w:color="auto"/>
              <w:right w:val="single" w:sz="8" w:space="0" w:color="auto"/>
            </w:tcBorders>
          </w:tcPr>
          <w:p w:rsidR="001C58EC" w:rsidRPr="00C2123A" w:rsidRDefault="001C58EC" w:rsidP="001C58EC">
            <w:r w:rsidRPr="00C2123A">
              <w:t>Title</w:t>
            </w:r>
          </w:p>
        </w:tc>
        <w:tc>
          <w:tcPr>
            <w:tcW w:w="7905" w:type="dxa"/>
            <w:gridSpan w:val="2"/>
            <w:tcBorders>
              <w:top w:val="single" w:sz="4" w:space="0" w:color="auto"/>
              <w:left w:val="nil"/>
              <w:bottom w:val="single" w:sz="4" w:space="0" w:color="auto"/>
              <w:right w:val="single" w:sz="8" w:space="0" w:color="000000"/>
            </w:tcBorders>
          </w:tcPr>
          <w:p w:rsidR="001C58EC" w:rsidRPr="00F5451B" w:rsidRDefault="001C58EC" w:rsidP="00020E1C">
            <w:r w:rsidRPr="00F5451B">
              <w:t xml:space="preserve">Victim </w:t>
            </w:r>
            <w:r w:rsidR="00020E1C" w:rsidRPr="00F5451B">
              <w:t>Information Compromised</w:t>
            </w:r>
          </w:p>
        </w:tc>
      </w:tr>
      <w:tr w:rsidR="001C58EC" w:rsidRPr="000C1ECF" w:rsidTr="001C58EC">
        <w:trPr>
          <w:trHeight w:val="50"/>
        </w:trPr>
        <w:tc>
          <w:tcPr>
            <w:tcW w:w="1536" w:type="dxa"/>
            <w:tcBorders>
              <w:top w:val="single" w:sz="8" w:space="0" w:color="auto"/>
              <w:left w:val="single" w:sz="8" w:space="0" w:color="auto"/>
              <w:bottom w:val="single" w:sz="4" w:space="0" w:color="auto"/>
              <w:right w:val="single" w:sz="8" w:space="0" w:color="auto"/>
            </w:tcBorders>
          </w:tcPr>
          <w:p w:rsidR="001C58EC" w:rsidRPr="00C2123A" w:rsidRDefault="001C58EC" w:rsidP="001C58EC">
            <w:r w:rsidRPr="00C2123A">
              <w:t>Category</w:t>
            </w:r>
          </w:p>
        </w:tc>
        <w:tc>
          <w:tcPr>
            <w:tcW w:w="7905" w:type="dxa"/>
            <w:gridSpan w:val="2"/>
            <w:tcBorders>
              <w:top w:val="single" w:sz="4" w:space="0" w:color="auto"/>
              <w:left w:val="nil"/>
              <w:bottom w:val="single" w:sz="4" w:space="0" w:color="auto"/>
              <w:right w:val="single" w:sz="8" w:space="0" w:color="000000"/>
            </w:tcBorders>
          </w:tcPr>
          <w:p w:rsidR="001C58EC" w:rsidRPr="00F5451B" w:rsidRDefault="001C58EC" w:rsidP="001C58EC">
            <w:r w:rsidRPr="00F5451B">
              <w:t>Victim Notification</w:t>
            </w:r>
          </w:p>
        </w:tc>
      </w:tr>
      <w:tr w:rsidR="001C58EC" w:rsidRPr="000C1ECF" w:rsidTr="001C58EC">
        <w:trPr>
          <w:trHeight w:val="50"/>
        </w:trPr>
        <w:tc>
          <w:tcPr>
            <w:tcW w:w="1536" w:type="dxa"/>
            <w:tcBorders>
              <w:top w:val="single" w:sz="8" w:space="0" w:color="auto"/>
              <w:left w:val="single" w:sz="8" w:space="0" w:color="auto"/>
              <w:bottom w:val="single" w:sz="4" w:space="0" w:color="auto"/>
              <w:right w:val="single" w:sz="8" w:space="0" w:color="auto"/>
            </w:tcBorders>
          </w:tcPr>
          <w:p w:rsidR="001C58EC" w:rsidRPr="00C2123A" w:rsidRDefault="001C58EC" w:rsidP="001C58EC">
            <w:r w:rsidRPr="00C2123A">
              <w:t>Domain</w:t>
            </w:r>
          </w:p>
        </w:tc>
        <w:tc>
          <w:tcPr>
            <w:tcW w:w="7905" w:type="dxa"/>
            <w:gridSpan w:val="2"/>
            <w:tcBorders>
              <w:top w:val="single" w:sz="4" w:space="0" w:color="auto"/>
              <w:left w:val="nil"/>
              <w:bottom w:val="single" w:sz="4" w:space="0" w:color="auto"/>
              <w:right w:val="single" w:sz="8" w:space="0" w:color="000000"/>
            </w:tcBorders>
          </w:tcPr>
          <w:p w:rsidR="001C58EC" w:rsidRPr="00F5451B" w:rsidRDefault="001C58EC" w:rsidP="001C58EC">
            <w:pPr>
              <w:pStyle w:val="ListParagraph"/>
              <w:numPr>
                <w:ilvl w:val="0"/>
                <w:numId w:val="18"/>
              </w:numPr>
              <w:rPr>
                <w:rFonts w:ascii="Times New Roman" w:hAnsi="Times New Roman"/>
                <w:sz w:val="20"/>
                <w:szCs w:val="20"/>
              </w:rPr>
            </w:pPr>
            <w:r w:rsidRPr="00F5451B">
              <w:rPr>
                <w:rFonts w:ascii="Times New Roman" w:hAnsi="Times New Roman"/>
                <w:sz w:val="20"/>
                <w:szCs w:val="20"/>
              </w:rPr>
              <w:t xml:space="preserve">Cybersecurity </w:t>
            </w:r>
          </w:p>
          <w:p w:rsidR="001C58EC" w:rsidRPr="00F5451B" w:rsidRDefault="001C58EC" w:rsidP="001C58EC">
            <w:pPr>
              <w:pStyle w:val="ListParagraph"/>
              <w:numPr>
                <w:ilvl w:val="0"/>
                <w:numId w:val="18"/>
              </w:numPr>
              <w:rPr>
                <w:rFonts w:ascii="Times New Roman" w:hAnsi="Times New Roman"/>
                <w:sz w:val="20"/>
                <w:szCs w:val="20"/>
              </w:rPr>
            </w:pPr>
            <w:r w:rsidRPr="00F5451B">
              <w:rPr>
                <w:rFonts w:ascii="Times New Roman" w:hAnsi="Times New Roman"/>
                <w:sz w:val="20"/>
                <w:szCs w:val="20"/>
              </w:rPr>
              <w:t>Law Enforcement</w:t>
            </w:r>
          </w:p>
        </w:tc>
      </w:tr>
      <w:tr w:rsidR="001C58EC" w:rsidRPr="000C1ECF" w:rsidTr="001C58EC">
        <w:trPr>
          <w:trHeight w:val="50"/>
        </w:trPr>
        <w:tc>
          <w:tcPr>
            <w:tcW w:w="1536" w:type="dxa"/>
            <w:tcBorders>
              <w:top w:val="single" w:sz="8" w:space="0" w:color="auto"/>
              <w:left w:val="single" w:sz="8" w:space="0" w:color="auto"/>
              <w:bottom w:val="single" w:sz="4" w:space="0" w:color="auto"/>
              <w:right w:val="single" w:sz="8" w:space="0" w:color="auto"/>
            </w:tcBorders>
          </w:tcPr>
          <w:p w:rsidR="001C58EC" w:rsidRPr="00C2123A" w:rsidRDefault="001C58EC" w:rsidP="001C58EC">
            <w:r w:rsidRPr="00C2123A">
              <w:t xml:space="preserve">Security </w:t>
            </w:r>
            <w:r>
              <w:t>Fabri</w:t>
            </w:r>
            <w:r w:rsidR="00E400F4">
              <w:t>c</w:t>
            </w:r>
          </w:p>
        </w:tc>
        <w:tc>
          <w:tcPr>
            <w:tcW w:w="7905" w:type="dxa"/>
            <w:gridSpan w:val="2"/>
            <w:tcBorders>
              <w:top w:val="single" w:sz="4" w:space="0" w:color="auto"/>
              <w:left w:val="nil"/>
              <w:bottom w:val="single" w:sz="4" w:space="0" w:color="auto"/>
              <w:right w:val="single" w:sz="8" w:space="0" w:color="000000"/>
            </w:tcBorders>
          </w:tcPr>
          <w:p w:rsidR="001C58EC" w:rsidRPr="00F5451B" w:rsidRDefault="001C58EC" w:rsidP="001C58EC">
            <w:r w:rsidRPr="00F5451B">
              <w:t>U, LES, S</w:t>
            </w:r>
          </w:p>
        </w:tc>
      </w:tr>
      <w:tr w:rsidR="001C58EC" w:rsidRPr="000C1ECF" w:rsidTr="001C58EC">
        <w:trPr>
          <w:trHeight w:val="493"/>
        </w:trPr>
        <w:tc>
          <w:tcPr>
            <w:tcW w:w="1536" w:type="dxa"/>
            <w:tcBorders>
              <w:top w:val="single" w:sz="8" w:space="0" w:color="auto"/>
              <w:left w:val="single" w:sz="8" w:space="0" w:color="auto"/>
              <w:bottom w:val="single" w:sz="4" w:space="0" w:color="auto"/>
              <w:right w:val="single" w:sz="8" w:space="0" w:color="auto"/>
            </w:tcBorders>
            <w:hideMark/>
          </w:tcPr>
          <w:p w:rsidR="001C58EC" w:rsidRPr="00C2123A" w:rsidRDefault="001C58EC" w:rsidP="001C58EC">
            <w:r w:rsidRPr="00C2123A">
              <w:t>Scenario Description</w:t>
            </w:r>
          </w:p>
        </w:tc>
        <w:tc>
          <w:tcPr>
            <w:tcW w:w="7905" w:type="dxa"/>
            <w:gridSpan w:val="2"/>
            <w:tcBorders>
              <w:top w:val="single" w:sz="4" w:space="0" w:color="auto"/>
              <w:left w:val="nil"/>
              <w:bottom w:val="single" w:sz="4" w:space="0" w:color="auto"/>
              <w:right w:val="single" w:sz="8" w:space="0" w:color="000000"/>
            </w:tcBorders>
          </w:tcPr>
          <w:p w:rsidR="001C58EC" w:rsidRPr="00F5451B" w:rsidRDefault="005162C4" w:rsidP="001C58EC">
            <w:r w:rsidRPr="00F5451B">
              <w:t>Victim information compromised as part of a cyber-intrusion.  This use case describes the situation where the victim is one of a number of victims where their personal information has been compromised but no tangible damage has been inflicted (yet).</w:t>
            </w:r>
          </w:p>
        </w:tc>
      </w:tr>
      <w:tr w:rsidR="001C58EC" w:rsidRPr="000C1ECF" w:rsidTr="001C58EC">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1C58EC" w:rsidRPr="00C2123A" w:rsidRDefault="001C58EC" w:rsidP="001C58EC">
            <w:r w:rsidRPr="00C2123A">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9F2460" w:rsidRPr="00F5451B" w:rsidRDefault="009F2460" w:rsidP="009F2460">
            <w:pPr>
              <w:pStyle w:val="ListParagraph"/>
              <w:numPr>
                <w:ilvl w:val="0"/>
                <w:numId w:val="19"/>
              </w:numPr>
            </w:pPr>
            <w:r w:rsidRPr="00F5451B">
              <w:rPr>
                <w:rFonts w:ascii="Times New Roman" w:hAnsi="Times New Roman"/>
                <w:sz w:val="20"/>
                <w:szCs w:val="20"/>
              </w:rPr>
              <w:t>Fed</w:t>
            </w:r>
            <w:r w:rsidR="00DC2B01">
              <w:rPr>
                <w:rFonts w:ascii="Times New Roman" w:hAnsi="Times New Roman"/>
                <w:sz w:val="20"/>
                <w:szCs w:val="20"/>
              </w:rPr>
              <w:t>ederal</w:t>
            </w:r>
            <w:r w:rsidRPr="00F5451B">
              <w:rPr>
                <w:rFonts w:ascii="Times New Roman" w:hAnsi="Times New Roman"/>
                <w:sz w:val="20"/>
                <w:szCs w:val="20"/>
              </w:rPr>
              <w:t>↔State</w:t>
            </w:r>
          </w:p>
          <w:p w:rsidR="009F2460" w:rsidRPr="00F5451B" w:rsidRDefault="009F2460" w:rsidP="009F2460">
            <w:pPr>
              <w:pStyle w:val="ListParagraph"/>
              <w:numPr>
                <w:ilvl w:val="0"/>
                <w:numId w:val="19"/>
              </w:numPr>
            </w:pPr>
            <w:r w:rsidRPr="00F5451B">
              <w:rPr>
                <w:rFonts w:ascii="Times New Roman" w:hAnsi="Times New Roman"/>
                <w:sz w:val="20"/>
                <w:szCs w:val="20"/>
              </w:rPr>
              <w:t>Fed</w:t>
            </w:r>
            <w:r w:rsidR="00DC2B01">
              <w:rPr>
                <w:rFonts w:ascii="Times New Roman" w:hAnsi="Times New Roman"/>
                <w:sz w:val="20"/>
                <w:szCs w:val="20"/>
              </w:rPr>
              <w:t>eral</w:t>
            </w:r>
            <w:r w:rsidRPr="00F5451B">
              <w:rPr>
                <w:rFonts w:ascii="Times New Roman" w:hAnsi="Times New Roman"/>
                <w:sz w:val="20"/>
                <w:szCs w:val="20"/>
              </w:rPr>
              <w:t>↔Citizen</w:t>
            </w:r>
          </w:p>
          <w:p w:rsidR="009F2460" w:rsidRPr="00F5451B" w:rsidRDefault="009F2460" w:rsidP="009F2460">
            <w:pPr>
              <w:pStyle w:val="ListParagraph"/>
              <w:numPr>
                <w:ilvl w:val="0"/>
                <w:numId w:val="19"/>
              </w:numPr>
            </w:pPr>
            <w:r w:rsidRPr="00F5451B">
              <w:rPr>
                <w:rFonts w:ascii="Times New Roman" w:hAnsi="Times New Roman"/>
                <w:sz w:val="20"/>
                <w:szCs w:val="20"/>
              </w:rPr>
              <w:t>Private Sector↔Citizen</w:t>
            </w:r>
          </w:p>
          <w:p w:rsidR="009F2460" w:rsidRPr="00F5451B" w:rsidRDefault="009F2460" w:rsidP="009F2460">
            <w:pPr>
              <w:pStyle w:val="ListParagraph"/>
              <w:numPr>
                <w:ilvl w:val="0"/>
                <w:numId w:val="19"/>
              </w:numPr>
            </w:pPr>
            <w:r w:rsidRPr="00F5451B">
              <w:rPr>
                <w:rFonts w:ascii="Times New Roman" w:hAnsi="Times New Roman"/>
                <w:sz w:val="20"/>
                <w:szCs w:val="20"/>
              </w:rPr>
              <w:t>State↔Citizen</w:t>
            </w:r>
          </w:p>
          <w:p w:rsidR="001C58EC" w:rsidRPr="00F5451B" w:rsidRDefault="009F2460" w:rsidP="009F2460">
            <w:pPr>
              <w:pStyle w:val="ListParagraph"/>
              <w:numPr>
                <w:ilvl w:val="0"/>
                <w:numId w:val="19"/>
              </w:numPr>
            </w:pPr>
            <w:r w:rsidRPr="00F5451B">
              <w:rPr>
                <w:rFonts w:ascii="Times New Roman" w:hAnsi="Times New Roman"/>
                <w:sz w:val="20"/>
                <w:szCs w:val="20"/>
              </w:rPr>
              <w:t>Citizen↔Citizen</w:t>
            </w:r>
          </w:p>
        </w:tc>
      </w:tr>
      <w:tr w:rsidR="001C58EC" w:rsidRPr="000C1ECF" w:rsidTr="001C58EC">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1C58EC" w:rsidRPr="00C2123A" w:rsidRDefault="001C58EC" w:rsidP="001C58EC">
            <w:pPr>
              <w:jc w:val="center"/>
              <w:rPr>
                <w:color w:val="FFFFFF" w:themeColor="background1"/>
              </w:rPr>
            </w:pPr>
            <w:r w:rsidRPr="00C2123A">
              <w:rPr>
                <w:color w:val="FFFFFF" w:themeColor="background1"/>
              </w:rPr>
              <w:t>Key Stakeholders</w:t>
            </w:r>
          </w:p>
        </w:tc>
      </w:tr>
      <w:tr w:rsidR="001C58EC" w:rsidRPr="000C1ECF" w:rsidTr="001C58EC">
        <w:trPr>
          <w:trHeight w:val="350"/>
        </w:trPr>
        <w:tc>
          <w:tcPr>
            <w:tcW w:w="1536" w:type="dxa"/>
            <w:tcBorders>
              <w:top w:val="single" w:sz="4" w:space="0" w:color="auto"/>
              <w:left w:val="single" w:sz="8" w:space="0" w:color="auto"/>
              <w:bottom w:val="single" w:sz="4" w:space="0" w:color="auto"/>
              <w:right w:val="single" w:sz="8" w:space="0" w:color="auto"/>
            </w:tcBorders>
          </w:tcPr>
          <w:p w:rsidR="001C58EC" w:rsidRPr="000C1ECF" w:rsidRDefault="001C58EC" w:rsidP="001C58EC">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1C58EC" w:rsidRPr="00C2123A" w:rsidRDefault="001C58EC" w:rsidP="001C58EC">
            <w:pPr>
              <w:pStyle w:val="ListParagraph"/>
              <w:numPr>
                <w:ilvl w:val="0"/>
                <w:numId w:val="22"/>
              </w:numPr>
              <w:spacing w:after="160" w:line="259" w:lineRule="auto"/>
              <w:rPr>
                <w:rFonts w:ascii="Times New Roman" w:hAnsi="Times New Roman"/>
                <w:sz w:val="20"/>
                <w:szCs w:val="20"/>
              </w:rPr>
            </w:pPr>
            <w:r w:rsidRPr="00C2123A">
              <w:rPr>
                <w:rFonts w:ascii="Times New Roman" w:hAnsi="Times New Roman"/>
                <w:sz w:val="20"/>
                <w:szCs w:val="20"/>
              </w:rPr>
              <w:t>SLTT Fusion Centers</w:t>
            </w:r>
          </w:p>
          <w:p w:rsidR="001C58EC" w:rsidRPr="00C2123A" w:rsidRDefault="001C58EC" w:rsidP="001C58EC">
            <w:pPr>
              <w:pStyle w:val="ListParagraph"/>
              <w:numPr>
                <w:ilvl w:val="0"/>
                <w:numId w:val="22"/>
              </w:numPr>
              <w:spacing w:after="160" w:line="259" w:lineRule="auto"/>
              <w:rPr>
                <w:rFonts w:ascii="Times New Roman" w:hAnsi="Times New Roman"/>
                <w:sz w:val="20"/>
                <w:szCs w:val="20"/>
              </w:rPr>
            </w:pPr>
            <w:r w:rsidRPr="00C2123A">
              <w:rPr>
                <w:rFonts w:ascii="Times New Roman" w:hAnsi="Times New Roman"/>
                <w:sz w:val="20"/>
                <w:szCs w:val="20"/>
              </w:rPr>
              <w:t>SLTT Law Enforcement</w:t>
            </w:r>
          </w:p>
          <w:p w:rsidR="001C58EC" w:rsidRPr="00C2123A" w:rsidRDefault="001C58EC" w:rsidP="001C58EC">
            <w:pPr>
              <w:pStyle w:val="ListParagraph"/>
              <w:numPr>
                <w:ilvl w:val="0"/>
                <w:numId w:val="22"/>
              </w:numPr>
              <w:spacing w:after="160" w:line="259" w:lineRule="auto"/>
              <w:rPr>
                <w:rFonts w:ascii="Times New Roman" w:hAnsi="Times New Roman"/>
                <w:sz w:val="20"/>
                <w:szCs w:val="20"/>
              </w:rPr>
            </w:pPr>
            <w:r w:rsidRPr="00C2123A">
              <w:rPr>
                <w:rFonts w:ascii="Times New Roman" w:hAnsi="Times New Roman"/>
                <w:sz w:val="20"/>
                <w:szCs w:val="20"/>
              </w:rPr>
              <w:t>FBI</w:t>
            </w:r>
          </w:p>
          <w:p w:rsidR="001C58EC" w:rsidRPr="00A728DE" w:rsidRDefault="001C58EC" w:rsidP="001C58EC">
            <w:pPr>
              <w:pStyle w:val="ListParagraph"/>
              <w:numPr>
                <w:ilvl w:val="0"/>
                <w:numId w:val="22"/>
              </w:numPr>
              <w:spacing w:after="160" w:line="259" w:lineRule="auto"/>
            </w:pPr>
            <w:r w:rsidRPr="00C2123A">
              <w:rPr>
                <w:rFonts w:ascii="Times New Roman" w:hAnsi="Times New Roman"/>
                <w:sz w:val="20"/>
                <w:szCs w:val="20"/>
              </w:rPr>
              <w:t>CIKR/Private Sector</w:t>
            </w:r>
          </w:p>
        </w:tc>
      </w:tr>
      <w:tr w:rsidR="001C58EC" w:rsidRPr="000C1ECF" w:rsidTr="001C58EC">
        <w:trPr>
          <w:trHeight w:val="350"/>
        </w:trPr>
        <w:tc>
          <w:tcPr>
            <w:tcW w:w="1536" w:type="dxa"/>
            <w:tcBorders>
              <w:top w:val="single" w:sz="4" w:space="0" w:color="auto"/>
              <w:left w:val="single" w:sz="8" w:space="0" w:color="auto"/>
              <w:bottom w:val="single" w:sz="4" w:space="0" w:color="auto"/>
              <w:right w:val="single" w:sz="8" w:space="0" w:color="auto"/>
            </w:tcBorders>
          </w:tcPr>
          <w:p w:rsidR="001C58EC" w:rsidRPr="00C2123A" w:rsidRDefault="001C58EC" w:rsidP="001C58EC">
            <w:r w:rsidRPr="00C2123A">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1C58EC" w:rsidRPr="00C2123A" w:rsidRDefault="001C58EC" w:rsidP="001C58EC">
            <w:pPr>
              <w:rPr>
                <w:color w:val="FF0000"/>
              </w:rPr>
            </w:pPr>
          </w:p>
        </w:tc>
      </w:tr>
      <w:tr w:rsidR="001C58EC" w:rsidRPr="000C1ECF" w:rsidTr="001C58EC">
        <w:trPr>
          <w:trHeight w:val="350"/>
        </w:trPr>
        <w:tc>
          <w:tcPr>
            <w:tcW w:w="1536" w:type="dxa"/>
            <w:tcBorders>
              <w:top w:val="single" w:sz="4" w:space="0" w:color="auto"/>
              <w:left w:val="single" w:sz="8" w:space="0" w:color="auto"/>
              <w:bottom w:val="single" w:sz="4" w:space="0" w:color="auto"/>
              <w:right w:val="single" w:sz="8" w:space="0" w:color="auto"/>
            </w:tcBorders>
          </w:tcPr>
          <w:p w:rsidR="001C58EC" w:rsidRPr="00C2123A" w:rsidRDefault="001C58EC" w:rsidP="001C58EC">
            <w:r w:rsidRPr="00C2123A">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1C58EC" w:rsidRPr="00C2123A" w:rsidRDefault="001C58EC" w:rsidP="001C58EC">
            <w:pPr>
              <w:rPr>
                <w:color w:val="FF0000"/>
              </w:rPr>
            </w:pPr>
          </w:p>
        </w:tc>
      </w:tr>
      <w:tr w:rsidR="001C58EC" w:rsidRPr="000C1ECF" w:rsidTr="001C58EC">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1C58EC" w:rsidRPr="00C2123A" w:rsidRDefault="001C58EC" w:rsidP="001C58EC">
            <w:pPr>
              <w:jc w:val="center"/>
              <w:rPr>
                <w:color w:val="FFFFFF" w:themeColor="background1"/>
              </w:rPr>
            </w:pPr>
            <w:r>
              <w:rPr>
                <w:color w:val="FFFFFF" w:themeColor="background1"/>
              </w:rPr>
              <w:t>Scenario</w:t>
            </w:r>
            <w:r w:rsidRPr="00C2123A">
              <w:rPr>
                <w:color w:val="FFFFFF" w:themeColor="background1"/>
              </w:rPr>
              <w:t xml:space="preserve"> Details</w:t>
            </w:r>
          </w:p>
        </w:tc>
      </w:tr>
      <w:tr w:rsidR="001C58EC" w:rsidRPr="000C1ECF" w:rsidTr="001C58EC">
        <w:trPr>
          <w:trHeight w:val="60"/>
        </w:trPr>
        <w:tc>
          <w:tcPr>
            <w:tcW w:w="1536" w:type="dxa"/>
            <w:tcBorders>
              <w:top w:val="single" w:sz="4" w:space="0" w:color="auto"/>
              <w:left w:val="single" w:sz="8" w:space="0" w:color="auto"/>
              <w:bottom w:val="single" w:sz="4" w:space="0" w:color="auto"/>
              <w:right w:val="single" w:sz="8" w:space="0" w:color="auto"/>
            </w:tcBorders>
            <w:hideMark/>
          </w:tcPr>
          <w:p w:rsidR="001C58EC" w:rsidRPr="00C2123A" w:rsidRDefault="001C58EC" w:rsidP="001C58EC">
            <w:r w:rsidRPr="00C2123A">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1C58EC" w:rsidRPr="000C1ECF" w:rsidRDefault="001C58EC" w:rsidP="001C58EC"/>
        </w:tc>
      </w:tr>
      <w:tr w:rsidR="001C58EC" w:rsidRPr="000C1ECF" w:rsidTr="001C58EC">
        <w:trPr>
          <w:trHeight w:val="530"/>
        </w:trPr>
        <w:tc>
          <w:tcPr>
            <w:tcW w:w="1536" w:type="dxa"/>
            <w:tcBorders>
              <w:top w:val="single" w:sz="4" w:space="0" w:color="auto"/>
              <w:left w:val="single" w:sz="8" w:space="0" w:color="auto"/>
              <w:bottom w:val="single" w:sz="8" w:space="0" w:color="auto"/>
              <w:right w:val="single" w:sz="8" w:space="0" w:color="auto"/>
            </w:tcBorders>
            <w:hideMark/>
          </w:tcPr>
          <w:p w:rsidR="001C58EC" w:rsidRPr="00C2123A" w:rsidRDefault="001C58EC" w:rsidP="001C58EC">
            <w:r w:rsidRPr="00C2123A">
              <w:t>Exchange Scenario</w:t>
            </w:r>
          </w:p>
        </w:tc>
        <w:tc>
          <w:tcPr>
            <w:tcW w:w="7905" w:type="dxa"/>
            <w:gridSpan w:val="2"/>
            <w:tcBorders>
              <w:top w:val="single" w:sz="4" w:space="0" w:color="auto"/>
              <w:left w:val="nil"/>
              <w:bottom w:val="single" w:sz="8" w:space="0" w:color="000000"/>
              <w:right w:val="single" w:sz="8" w:space="0" w:color="000000"/>
            </w:tcBorders>
          </w:tcPr>
          <w:p w:rsidR="00E70F69" w:rsidRPr="00F5451B" w:rsidRDefault="00E70F69" w:rsidP="00F5451B">
            <w:pPr>
              <w:pStyle w:val="ListParagraph"/>
              <w:numPr>
                <w:ilvl w:val="0"/>
                <w:numId w:val="26"/>
              </w:numPr>
              <w:rPr>
                <w:rFonts w:ascii="Times New Roman" w:hAnsi="Times New Roman"/>
                <w:sz w:val="20"/>
                <w:szCs w:val="20"/>
              </w:rPr>
            </w:pPr>
            <w:r w:rsidRPr="00F5451B">
              <w:rPr>
                <w:rFonts w:ascii="Times New Roman" w:hAnsi="Times New Roman"/>
                <w:sz w:val="20"/>
                <w:szCs w:val="20"/>
              </w:rPr>
              <w:t>ABC bank also reported an intrusion of their IT infrastructure where SSNs, bank accounts, credit card numbers, and pins were stolen for 2 million users.</w:t>
            </w:r>
          </w:p>
          <w:p w:rsidR="00E70F69" w:rsidRPr="00F5451B" w:rsidRDefault="00E70F69" w:rsidP="00F5451B">
            <w:pPr>
              <w:pStyle w:val="ListParagraph"/>
              <w:numPr>
                <w:ilvl w:val="0"/>
                <w:numId w:val="26"/>
              </w:numPr>
              <w:rPr>
                <w:rFonts w:ascii="Times New Roman" w:hAnsi="Times New Roman"/>
                <w:sz w:val="20"/>
                <w:szCs w:val="20"/>
              </w:rPr>
            </w:pPr>
            <w:r w:rsidRPr="00F5451B">
              <w:rPr>
                <w:rFonts w:ascii="Times New Roman" w:hAnsi="Times New Roman"/>
                <w:sz w:val="20"/>
                <w:szCs w:val="20"/>
              </w:rPr>
              <w:t xml:space="preserve">This is an example where private information of victims has been compromised, but no specific financial crime has been committed yet.  </w:t>
            </w:r>
          </w:p>
          <w:p w:rsidR="001C58EC" w:rsidRPr="00D67C6C" w:rsidRDefault="00E70F69" w:rsidP="00F5451B">
            <w:pPr>
              <w:pStyle w:val="ListParagraph"/>
              <w:numPr>
                <w:ilvl w:val="0"/>
                <w:numId w:val="26"/>
              </w:numPr>
            </w:pPr>
            <w:r w:rsidRPr="00F5451B">
              <w:rPr>
                <w:rFonts w:ascii="Times New Roman" w:hAnsi="Times New Roman"/>
                <w:sz w:val="20"/>
                <w:szCs w:val="20"/>
              </w:rPr>
              <w:t>The victims still need to be notified and helped in a timely fashion the mitigate potential financial impact</w:t>
            </w:r>
          </w:p>
        </w:tc>
      </w:tr>
      <w:tr w:rsidR="001C58EC" w:rsidRPr="000C1ECF" w:rsidTr="001C58EC">
        <w:trPr>
          <w:trHeight w:val="115"/>
        </w:trPr>
        <w:tc>
          <w:tcPr>
            <w:tcW w:w="1536" w:type="dxa"/>
            <w:tcBorders>
              <w:top w:val="single" w:sz="4" w:space="0" w:color="auto"/>
              <w:left w:val="single" w:sz="8" w:space="0" w:color="auto"/>
              <w:bottom w:val="single" w:sz="4" w:space="0" w:color="auto"/>
              <w:right w:val="single" w:sz="8" w:space="0" w:color="auto"/>
            </w:tcBorders>
            <w:hideMark/>
          </w:tcPr>
          <w:p w:rsidR="001C58EC" w:rsidRPr="00C2123A" w:rsidRDefault="001C58EC" w:rsidP="001C58EC">
            <w:r w:rsidRPr="00C2123A">
              <w:t>Business Rules</w:t>
            </w:r>
          </w:p>
        </w:tc>
        <w:tc>
          <w:tcPr>
            <w:tcW w:w="7905" w:type="dxa"/>
            <w:gridSpan w:val="2"/>
            <w:tcBorders>
              <w:top w:val="single" w:sz="4" w:space="0" w:color="auto"/>
              <w:left w:val="nil"/>
              <w:bottom w:val="single" w:sz="4" w:space="0" w:color="auto"/>
              <w:right w:val="single" w:sz="8" w:space="0" w:color="000000"/>
            </w:tcBorders>
          </w:tcPr>
          <w:p w:rsidR="001C58EC" w:rsidRPr="000C1ECF" w:rsidRDefault="001C58EC" w:rsidP="001C58EC"/>
        </w:tc>
      </w:tr>
      <w:tr w:rsidR="001C58EC" w:rsidRPr="000C1ECF" w:rsidTr="001C58EC">
        <w:trPr>
          <w:trHeight w:val="115"/>
        </w:trPr>
        <w:tc>
          <w:tcPr>
            <w:tcW w:w="1536" w:type="dxa"/>
            <w:tcBorders>
              <w:top w:val="single" w:sz="4" w:space="0" w:color="auto"/>
              <w:left w:val="single" w:sz="8" w:space="0" w:color="auto"/>
              <w:bottom w:val="single" w:sz="4" w:space="0" w:color="auto"/>
              <w:right w:val="single" w:sz="8" w:space="0" w:color="auto"/>
            </w:tcBorders>
          </w:tcPr>
          <w:p w:rsidR="001C58EC" w:rsidRPr="000C1ECF" w:rsidRDefault="001C58EC" w:rsidP="001C58EC">
            <w:r>
              <w:t>Mapping to ESSA’s Enduring Functional Exchanges</w:t>
            </w:r>
            <w:r w:rsidR="00AA4498">
              <w:t xml:space="preserve"> (EFE)</w:t>
            </w:r>
          </w:p>
        </w:tc>
        <w:tc>
          <w:tcPr>
            <w:tcW w:w="7905" w:type="dxa"/>
            <w:gridSpan w:val="2"/>
            <w:tcBorders>
              <w:top w:val="single" w:sz="4" w:space="0" w:color="auto"/>
              <w:left w:val="nil"/>
              <w:bottom w:val="single" w:sz="4" w:space="0" w:color="auto"/>
              <w:right w:val="single" w:sz="8" w:space="0" w:color="000000"/>
            </w:tcBorders>
          </w:tcPr>
          <w:p w:rsidR="001C58EC" w:rsidRPr="000C1ECF" w:rsidRDefault="001C58EC" w:rsidP="001C58EC">
            <w:r w:rsidRPr="00C2123A">
              <w:rPr>
                <w:color w:val="FF0000"/>
              </w:rPr>
              <w:t>Refer to the ESSA identified Enduring Functional Exchanges [(1) Configuration/Anomaly Reporting; (2) Knowledge of Threat Actors; (3) Incident Awareness; (4) Indicators and Warnings; (5) Vulnerability Knowledge; (6) Mitigation Strategies; (7) Mitigation Actions &amp; Responses]. Determine which EFE’s (1 thru 7) might be used during the scenario based upon the scenario’s participants.  Each participant’s mission-specific operations will guid</w:t>
            </w:r>
            <w:r w:rsidR="00AA4498">
              <w:rPr>
                <w:color w:val="FF0000"/>
              </w:rPr>
              <w:t>e</w:t>
            </w:r>
            <w:r w:rsidRPr="00C2123A">
              <w:rPr>
                <w:color w:val="FF0000"/>
              </w:rPr>
              <w:t xml:space="preserve"> how many, and how much of each functions they are able to perform.   </w:t>
            </w:r>
          </w:p>
        </w:tc>
      </w:tr>
      <w:tr w:rsidR="001C58EC" w:rsidRPr="000C1ECF" w:rsidTr="001C58EC">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1C58EC" w:rsidRPr="00C2123A" w:rsidRDefault="001C58EC" w:rsidP="001C58EC">
            <w:pPr>
              <w:jc w:val="center"/>
              <w:rPr>
                <w:color w:val="FFFFFF" w:themeColor="background1"/>
              </w:rPr>
            </w:pPr>
            <w:r w:rsidRPr="00C2123A">
              <w:rPr>
                <w:color w:val="FFFFFF" w:themeColor="background1"/>
              </w:rPr>
              <w:t>Data Elements</w:t>
            </w:r>
          </w:p>
        </w:tc>
      </w:tr>
      <w:tr w:rsidR="001C58EC" w:rsidRPr="000C1ECF" w:rsidTr="001C58EC">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1C58EC" w:rsidRPr="00C2123A" w:rsidRDefault="001C58EC" w:rsidP="001C58EC">
            <w:pPr>
              <w:jc w:val="center"/>
              <w:rPr>
                <w:color w:val="FFFFFF" w:themeColor="background1"/>
              </w:rPr>
            </w:pPr>
            <w:r w:rsidRPr="00C2123A">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1C58EC" w:rsidRPr="00C2123A" w:rsidRDefault="001C58EC" w:rsidP="001C58EC">
            <w:pPr>
              <w:jc w:val="center"/>
              <w:rPr>
                <w:color w:val="FFFFFF" w:themeColor="background1"/>
              </w:rPr>
            </w:pPr>
            <w:r w:rsidRPr="00C2123A">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1C58EC" w:rsidRPr="00C2123A" w:rsidRDefault="001C58EC" w:rsidP="001C58EC">
            <w:pPr>
              <w:jc w:val="center"/>
              <w:rPr>
                <w:color w:val="FFFFFF" w:themeColor="background1"/>
              </w:rPr>
            </w:pPr>
            <w:r w:rsidRPr="00C2123A">
              <w:rPr>
                <w:color w:val="FFFFFF" w:themeColor="background1"/>
              </w:rPr>
              <w:t>Definitions</w:t>
            </w:r>
          </w:p>
        </w:tc>
      </w:tr>
      <w:tr w:rsidR="001C58EC" w:rsidRPr="000C1ECF" w:rsidTr="001C58EC">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1C58EC" w:rsidRPr="00C2123A" w:rsidRDefault="001C58EC" w:rsidP="001C58EC">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1C58EC" w:rsidRPr="00C2123A" w:rsidRDefault="001C58EC" w:rsidP="001C58EC">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1C58EC" w:rsidRPr="00C2123A" w:rsidRDefault="001C58EC" w:rsidP="001C58EC">
            <w:pPr>
              <w:jc w:val="center"/>
              <w:rPr>
                <w:color w:val="FFFFFF" w:themeColor="background1"/>
              </w:rPr>
            </w:pPr>
          </w:p>
        </w:tc>
      </w:tr>
      <w:tr w:rsidR="001C58EC" w:rsidRPr="000C1ECF" w:rsidTr="001C58EC">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C58EC" w:rsidRPr="000C1ECF" w:rsidRDefault="001C58EC" w:rsidP="001C58EC">
            <w:r>
              <w:t xml:space="preserve">Additional Information: </w:t>
            </w:r>
          </w:p>
        </w:tc>
      </w:tr>
    </w:tbl>
    <w:p w:rsidR="00E400F4" w:rsidRDefault="00E400F4">
      <w:pPr>
        <w:rPr>
          <w:sz w:val="22"/>
          <w:szCs w:val="22"/>
        </w:rPr>
      </w:pPr>
      <w:r>
        <w:rPr>
          <w:sz w:val="22"/>
          <w:szCs w:val="22"/>
        </w:rPr>
        <w:br w:type="page"/>
      </w:r>
    </w:p>
    <w:p w:rsidR="00C17CD4" w:rsidRDefault="001B04CD" w:rsidP="00C17CD4">
      <w:pPr>
        <w:pStyle w:val="Heading2"/>
      </w:pPr>
      <w:r>
        <w:t>Scenario</w:t>
      </w:r>
      <w:r w:rsidR="00C17CD4">
        <w:t xml:space="preserve"> Story #12</w:t>
      </w:r>
    </w:p>
    <w:p w:rsidR="00C17CD4" w:rsidRDefault="00C17CD4" w:rsidP="00C17CD4"/>
    <w:p w:rsidR="00C17CD4" w:rsidRPr="001618A3" w:rsidRDefault="00DC2B01" w:rsidP="00DC2B01">
      <w:pPr>
        <w:rPr>
          <w:sz w:val="22"/>
        </w:rPr>
      </w:pPr>
      <w:r w:rsidRPr="001618A3">
        <w:rPr>
          <w:sz w:val="22"/>
        </w:rPr>
        <w:t>A number of small businesses in X town, NY experienced cyber intrusion where music and software were purchased using stolen credit cards. The purchase amount for each one of these transaction were limited to $250.  On further investigation it was determined that the music industry in general does not prosecute theft of music up to $275 per transaction (too expensive to prosecute, so they write-off the theft.  Seems to be an insider who is aware of this practice and exploited to achieve their nefarious results.</w:t>
      </w:r>
    </w:p>
    <w:p w:rsidR="00C17CD4" w:rsidRPr="00C17CD4" w:rsidRDefault="00C17CD4" w:rsidP="00C17CD4"/>
    <w:tbl>
      <w:tblPr>
        <w:tblW w:w="9441" w:type="dxa"/>
        <w:tblInd w:w="93" w:type="dxa"/>
        <w:tblLook w:val="04A0" w:firstRow="1" w:lastRow="0" w:firstColumn="1" w:lastColumn="0" w:noHBand="0" w:noVBand="1"/>
      </w:tblPr>
      <w:tblGrid>
        <w:gridCol w:w="1536"/>
        <w:gridCol w:w="3815"/>
        <w:gridCol w:w="4090"/>
      </w:tblGrid>
      <w:tr w:rsidR="00263CC0" w:rsidRPr="000C1ECF" w:rsidTr="00263CC0">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263CC0" w:rsidRPr="00C2123A" w:rsidRDefault="00263CC0" w:rsidP="00263CC0">
            <w:pPr>
              <w:jc w:val="center"/>
              <w:rPr>
                <w:color w:val="FFFFFF" w:themeColor="background1"/>
              </w:rPr>
            </w:pPr>
            <w:r w:rsidRPr="00C2123A">
              <w:rPr>
                <w:color w:val="FFFFFF" w:themeColor="background1"/>
              </w:rPr>
              <w:t>Use Case</w:t>
            </w:r>
            <w:r>
              <w:rPr>
                <w:color w:val="FFFFFF" w:themeColor="background1"/>
              </w:rPr>
              <w:t xml:space="preserve"> #1</w:t>
            </w:r>
            <w:r w:rsidR="00C17CD4">
              <w:rPr>
                <w:color w:val="FFFFFF" w:themeColor="background1"/>
              </w:rPr>
              <w:t>2</w:t>
            </w:r>
          </w:p>
        </w:tc>
      </w:tr>
      <w:tr w:rsidR="00263CC0" w:rsidRPr="000C1ECF" w:rsidTr="00263CC0">
        <w:trPr>
          <w:trHeight w:val="88"/>
        </w:trPr>
        <w:tc>
          <w:tcPr>
            <w:tcW w:w="1536" w:type="dxa"/>
            <w:tcBorders>
              <w:top w:val="single" w:sz="8" w:space="0" w:color="auto"/>
              <w:left w:val="single" w:sz="8" w:space="0" w:color="auto"/>
              <w:bottom w:val="single" w:sz="4" w:space="0" w:color="auto"/>
              <w:right w:val="single" w:sz="8" w:space="0" w:color="auto"/>
            </w:tcBorders>
          </w:tcPr>
          <w:p w:rsidR="00263CC0" w:rsidRPr="00C2123A" w:rsidRDefault="00263CC0" w:rsidP="00263CC0">
            <w:r w:rsidRPr="00C2123A">
              <w:t>Title</w:t>
            </w:r>
          </w:p>
        </w:tc>
        <w:tc>
          <w:tcPr>
            <w:tcW w:w="7905" w:type="dxa"/>
            <w:gridSpan w:val="2"/>
            <w:tcBorders>
              <w:top w:val="single" w:sz="4" w:space="0" w:color="auto"/>
              <w:left w:val="nil"/>
              <w:bottom w:val="single" w:sz="4" w:space="0" w:color="auto"/>
              <w:right w:val="single" w:sz="8" w:space="0" w:color="000000"/>
            </w:tcBorders>
          </w:tcPr>
          <w:p w:rsidR="00263CC0" w:rsidRPr="00F5451B" w:rsidRDefault="00D05A44" w:rsidP="00263CC0">
            <w:r w:rsidRPr="00F5451B">
              <w:t>NCIJFT Cybercrime Investigation</w:t>
            </w:r>
          </w:p>
        </w:tc>
      </w:tr>
      <w:tr w:rsidR="00263CC0" w:rsidRPr="000C1ECF" w:rsidTr="00263CC0">
        <w:trPr>
          <w:trHeight w:val="50"/>
        </w:trPr>
        <w:tc>
          <w:tcPr>
            <w:tcW w:w="1536" w:type="dxa"/>
            <w:tcBorders>
              <w:top w:val="single" w:sz="8" w:space="0" w:color="auto"/>
              <w:left w:val="single" w:sz="8" w:space="0" w:color="auto"/>
              <w:bottom w:val="single" w:sz="4" w:space="0" w:color="auto"/>
              <w:right w:val="single" w:sz="8" w:space="0" w:color="auto"/>
            </w:tcBorders>
          </w:tcPr>
          <w:p w:rsidR="00263CC0" w:rsidRPr="00C2123A" w:rsidRDefault="00263CC0" w:rsidP="00263CC0">
            <w:r w:rsidRPr="00C2123A">
              <w:t>Category</w:t>
            </w:r>
          </w:p>
        </w:tc>
        <w:tc>
          <w:tcPr>
            <w:tcW w:w="7905" w:type="dxa"/>
            <w:gridSpan w:val="2"/>
            <w:tcBorders>
              <w:top w:val="single" w:sz="4" w:space="0" w:color="auto"/>
              <w:left w:val="nil"/>
              <w:bottom w:val="single" w:sz="4" w:space="0" w:color="auto"/>
              <w:right w:val="single" w:sz="8" w:space="0" w:color="000000"/>
            </w:tcBorders>
          </w:tcPr>
          <w:p w:rsidR="00263CC0" w:rsidRPr="00F5451B" w:rsidRDefault="00D60829" w:rsidP="00263CC0">
            <w:r w:rsidRPr="00F5451B">
              <w:t>Investigatory Referrals</w:t>
            </w:r>
          </w:p>
        </w:tc>
      </w:tr>
      <w:tr w:rsidR="00263CC0" w:rsidRPr="000C1ECF" w:rsidTr="00263CC0">
        <w:trPr>
          <w:trHeight w:val="50"/>
        </w:trPr>
        <w:tc>
          <w:tcPr>
            <w:tcW w:w="1536" w:type="dxa"/>
            <w:tcBorders>
              <w:top w:val="single" w:sz="8" w:space="0" w:color="auto"/>
              <w:left w:val="single" w:sz="8" w:space="0" w:color="auto"/>
              <w:bottom w:val="single" w:sz="4" w:space="0" w:color="auto"/>
              <w:right w:val="single" w:sz="8" w:space="0" w:color="auto"/>
            </w:tcBorders>
          </w:tcPr>
          <w:p w:rsidR="00263CC0" w:rsidRPr="00C2123A" w:rsidRDefault="00263CC0" w:rsidP="00263CC0">
            <w:r w:rsidRPr="00C2123A">
              <w:t>Domain</w:t>
            </w:r>
          </w:p>
        </w:tc>
        <w:tc>
          <w:tcPr>
            <w:tcW w:w="7905" w:type="dxa"/>
            <w:gridSpan w:val="2"/>
            <w:tcBorders>
              <w:top w:val="single" w:sz="4" w:space="0" w:color="auto"/>
              <w:left w:val="nil"/>
              <w:bottom w:val="single" w:sz="4" w:space="0" w:color="auto"/>
              <w:right w:val="single" w:sz="8" w:space="0" w:color="000000"/>
            </w:tcBorders>
          </w:tcPr>
          <w:p w:rsidR="00263CC0" w:rsidRPr="00F5451B" w:rsidRDefault="00263CC0" w:rsidP="00263CC0">
            <w:pPr>
              <w:pStyle w:val="ListParagraph"/>
              <w:numPr>
                <w:ilvl w:val="0"/>
                <w:numId w:val="18"/>
              </w:numPr>
              <w:rPr>
                <w:rFonts w:ascii="Times New Roman" w:hAnsi="Times New Roman"/>
                <w:sz w:val="20"/>
                <w:szCs w:val="20"/>
              </w:rPr>
            </w:pPr>
            <w:r w:rsidRPr="00F5451B">
              <w:rPr>
                <w:rFonts w:ascii="Times New Roman" w:hAnsi="Times New Roman"/>
                <w:sz w:val="20"/>
                <w:szCs w:val="20"/>
              </w:rPr>
              <w:t xml:space="preserve">Cybersecurity </w:t>
            </w:r>
          </w:p>
          <w:p w:rsidR="00D05A44" w:rsidRPr="00F5451B" w:rsidRDefault="00263CC0" w:rsidP="00D60829">
            <w:pPr>
              <w:pStyle w:val="ListParagraph"/>
              <w:numPr>
                <w:ilvl w:val="0"/>
                <w:numId w:val="18"/>
              </w:numPr>
              <w:rPr>
                <w:rFonts w:ascii="Times New Roman" w:hAnsi="Times New Roman"/>
                <w:sz w:val="20"/>
                <w:szCs w:val="20"/>
              </w:rPr>
            </w:pPr>
            <w:r w:rsidRPr="00F5451B">
              <w:rPr>
                <w:rFonts w:ascii="Times New Roman" w:hAnsi="Times New Roman"/>
                <w:sz w:val="20"/>
                <w:szCs w:val="20"/>
              </w:rPr>
              <w:t>Law Enforcement</w:t>
            </w:r>
          </w:p>
        </w:tc>
      </w:tr>
      <w:tr w:rsidR="00263CC0" w:rsidRPr="000C1ECF" w:rsidTr="00263CC0">
        <w:trPr>
          <w:trHeight w:val="50"/>
        </w:trPr>
        <w:tc>
          <w:tcPr>
            <w:tcW w:w="1536" w:type="dxa"/>
            <w:tcBorders>
              <w:top w:val="single" w:sz="8" w:space="0" w:color="auto"/>
              <w:left w:val="single" w:sz="8" w:space="0" w:color="auto"/>
              <w:bottom w:val="single" w:sz="4" w:space="0" w:color="auto"/>
              <w:right w:val="single" w:sz="8" w:space="0" w:color="auto"/>
            </w:tcBorders>
          </w:tcPr>
          <w:p w:rsidR="00263CC0" w:rsidRPr="00C2123A" w:rsidRDefault="00263CC0" w:rsidP="00263CC0">
            <w:r w:rsidRPr="00C2123A">
              <w:t xml:space="preserve">Security </w:t>
            </w:r>
            <w:r>
              <w:t>Fabric</w:t>
            </w:r>
          </w:p>
          <w:p w:rsidR="00263CC0" w:rsidRPr="00C2123A" w:rsidRDefault="00263CC0" w:rsidP="00263CC0">
            <w:r w:rsidRPr="00C2123A">
              <w:t>(e.g., U, LES, S, TS)</w:t>
            </w:r>
          </w:p>
        </w:tc>
        <w:tc>
          <w:tcPr>
            <w:tcW w:w="7905" w:type="dxa"/>
            <w:gridSpan w:val="2"/>
            <w:tcBorders>
              <w:top w:val="single" w:sz="4" w:space="0" w:color="auto"/>
              <w:left w:val="nil"/>
              <w:bottom w:val="single" w:sz="4" w:space="0" w:color="auto"/>
              <w:right w:val="single" w:sz="8" w:space="0" w:color="000000"/>
            </w:tcBorders>
          </w:tcPr>
          <w:p w:rsidR="00263CC0" w:rsidRPr="00F5451B" w:rsidRDefault="00263CC0" w:rsidP="00263CC0">
            <w:r w:rsidRPr="00F5451B">
              <w:t>U, LES, S</w:t>
            </w:r>
          </w:p>
        </w:tc>
      </w:tr>
      <w:tr w:rsidR="00263CC0" w:rsidRPr="000C1ECF" w:rsidTr="00263CC0">
        <w:trPr>
          <w:trHeight w:val="493"/>
        </w:trPr>
        <w:tc>
          <w:tcPr>
            <w:tcW w:w="1536" w:type="dxa"/>
            <w:tcBorders>
              <w:top w:val="single" w:sz="8" w:space="0" w:color="auto"/>
              <w:left w:val="single" w:sz="8" w:space="0" w:color="auto"/>
              <w:bottom w:val="single" w:sz="4" w:space="0" w:color="auto"/>
              <w:right w:val="single" w:sz="8" w:space="0" w:color="auto"/>
            </w:tcBorders>
            <w:hideMark/>
          </w:tcPr>
          <w:p w:rsidR="00263CC0" w:rsidRPr="00C2123A" w:rsidRDefault="00263CC0" w:rsidP="00263CC0">
            <w:r w:rsidRPr="00C2123A">
              <w:t>Scenario Description</w:t>
            </w:r>
          </w:p>
        </w:tc>
        <w:tc>
          <w:tcPr>
            <w:tcW w:w="7905" w:type="dxa"/>
            <w:gridSpan w:val="2"/>
            <w:tcBorders>
              <w:top w:val="single" w:sz="4" w:space="0" w:color="auto"/>
              <w:left w:val="nil"/>
              <w:bottom w:val="single" w:sz="4" w:space="0" w:color="auto"/>
              <w:right w:val="single" w:sz="8" w:space="0" w:color="000000"/>
            </w:tcBorders>
          </w:tcPr>
          <w:p w:rsidR="00263CC0" w:rsidRPr="00F5451B" w:rsidRDefault="00D60829" w:rsidP="00263CC0">
            <w:r w:rsidRPr="00F5451B">
              <w:t>NCIJTF passes on an investigation of possible cybercrime with a nexus to an individual, organization, or critical infrastructure located within a State, to the State FC, as the thresholds for successful prosecution are not met at the federal level</w:t>
            </w:r>
          </w:p>
        </w:tc>
      </w:tr>
      <w:tr w:rsidR="00263CC0" w:rsidRPr="000C1ECF" w:rsidTr="00263CC0">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263CC0" w:rsidRPr="00C2123A" w:rsidRDefault="00263CC0" w:rsidP="00263CC0">
            <w:r w:rsidRPr="00C2123A">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FD5655" w:rsidRPr="00F5451B" w:rsidRDefault="00FD5655" w:rsidP="00FD5655">
            <w:pPr>
              <w:pStyle w:val="ListParagraph"/>
              <w:numPr>
                <w:ilvl w:val="0"/>
                <w:numId w:val="19"/>
              </w:numPr>
            </w:pPr>
            <w:r w:rsidRPr="00F5451B">
              <w:rPr>
                <w:rFonts w:ascii="Times New Roman" w:hAnsi="Times New Roman"/>
                <w:sz w:val="20"/>
                <w:szCs w:val="20"/>
              </w:rPr>
              <w:t>Fed</w:t>
            </w:r>
            <w:r w:rsidR="00DC2B01">
              <w:rPr>
                <w:rFonts w:ascii="Times New Roman" w:hAnsi="Times New Roman"/>
                <w:sz w:val="20"/>
                <w:szCs w:val="20"/>
              </w:rPr>
              <w:t>eral</w:t>
            </w:r>
            <w:r w:rsidRPr="00F5451B">
              <w:rPr>
                <w:rFonts w:ascii="Times New Roman" w:hAnsi="Times New Roman"/>
                <w:sz w:val="20"/>
                <w:szCs w:val="20"/>
              </w:rPr>
              <w:t>↔Fed</w:t>
            </w:r>
          </w:p>
          <w:p w:rsidR="00FD5655" w:rsidRPr="00F5451B" w:rsidRDefault="00FD5655" w:rsidP="00FD5655">
            <w:pPr>
              <w:pStyle w:val="ListParagraph"/>
              <w:numPr>
                <w:ilvl w:val="0"/>
                <w:numId w:val="19"/>
              </w:numPr>
            </w:pPr>
            <w:r w:rsidRPr="00F5451B">
              <w:rPr>
                <w:rFonts w:ascii="Times New Roman" w:hAnsi="Times New Roman"/>
                <w:sz w:val="20"/>
                <w:szCs w:val="20"/>
              </w:rPr>
              <w:t>Fed</w:t>
            </w:r>
            <w:r w:rsidR="00DC2B01">
              <w:rPr>
                <w:rFonts w:ascii="Times New Roman" w:hAnsi="Times New Roman"/>
                <w:sz w:val="20"/>
                <w:szCs w:val="20"/>
              </w:rPr>
              <w:t>eral</w:t>
            </w:r>
            <w:r w:rsidRPr="00F5451B">
              <w:rPr>
                <w:rFonts w:ascii="Times New Roman" w:hAnsi="Times New Roman"/>
                <w:sz w:val="20"/>
                <w:szCs w:val="20"/>
              </w:rPr>
              <w:t>↔State</w:t>
            </w:r>
          </w:p>
          <w:p w:rsidR="00263CC0" w:rsidRPr="00F5451B" w:rsidRDefault="00FD5655" w:rsidP="00FD5655">
            <w:pPr>
              <w:pStyle w:val="ListParagraph"/>
              <w:numPr>
                <w:ilvl w:val="0"/>
                <w:numId w:val="19"/>
              </w:numPr>
            </w:pPr>
            <w:r w:rsidRPr="00F5451B">
              <w:rPr>
                <w:rFonts w:ascii="Times New Roman" w:hAnsi="Times New Roman"/>
                <w:sz w:val="20"/>
                <w:szCs w:val="20"/>
              </w:rPr>
              <w:t>State↔State</w:t>
            </w:r>
          </w:p>
        </w:tc>
      </w:tr>
      <w:tr w:rsidR="00263CC0" w:rsidRPr="000C1ECF" w:rsidTr="00263CC0">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263CC0" w:rsidRPr="00C2123A" w:rsidRDefault="00263CC0" w:rsidP="00263CC0">
            <w:pPr>
              <w:jc w:val="center"/>
              <w:rPr>
                <w:color w:val="FFFFFF" w:themeColor="background1"/>
              </w:rPr>
            </w:pPr>
            <w:r w:rsidRPr="00C2123A">
              <w:rPr>
                <w:color w:val="FFFFFF" w:themeColor="background1"/>
              </w:rPr>
              <w:t>Key Stakeholders</w:t>
            </w:r>
          </w:p>
        </w:tc>
      </w:tr>
      <w:tr w:rsidR="00263CC0" w:rsidRPr="000C1ECF" w:rsidTr="00263CC0">
        <w:trPr>
          <w:trHeight w:val="350"/>
        </w:trPr>
        <w:tc>
          <w:tcPr>
            <w:tcW w:w="1536" w:type="dxa"/>
            <w:tcBorders>
              <w:top w:val="single" w:sz="4" w:space="0" w:color="auto"/>
              <w:left w:val="single" w:sz="8" w:space="0" w:color="auto"/>
              <w:bottom w:val="single" w:sz="4" w:space="0" w:color="auto"/>
              <w:right w:val="single" w:sz="8" w:space="0" w:color="auto"/>
            </w:tcBorders>
          </w:tcPr>
          <w:p w:rsidR="00263CC0" w:rsidRPr="000C1ECF" w:rsidRDefault="00263CC0" w:rsidP="00263CC0">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263CC0" w:rsidRPr="00A728DE" w:rsidRDefault="0087234D" w:rsidP="00DC2B01">
            <w:pPr>
              <w:spacing w:after="160" w:line="259" w:lineRule="auto"/>
            </w:pPr>
            <w:r w:rsidRPr="00DC2B01">
              <w:t>SLTT Law Enforcement,</w:t>
            </w:r>
            <w:r w:rsidR="00DC2B01">
              <w:t xml:space="preserve"> </w:t>
            </w:r>
            <w:r w:rsidRPr="00DC2B01">
              <w:t>SLTT fusion centers</w:t>
            </w:r>
            <w:r w:rsidR="00DC2B01">
              <w:t xml:space="preserve">, </w:t>
            </w:r>
            <w:r w:rsidRPr="00DC2B01">
              <w:t xml:space="preserve">FBI </w:t>
            </w:r>
            <w:r w:rsidR="00DC2B01">
              <w:t xml:space="preserve">, </w:t>
            </w:r>
            <w:r w:rsidRPr="00DC2B01">
              <w:t>CIKR/Private Sector</w:t>
            </w:r>
          </w:p>
        </w:tc>
      </w:tr>
      <w:tr w:rsidR="00263CC0" w:rsidRPr="000C1ECF" w:rsidTr="00263CC0">
        <w:trPr>
          <w:trHeight w:val="350"/>
        </w:trPr>
        <w:tc>
          <w:tcPr>
            <w:tcW w:w="1536" w:type="dxa"/>
            <w:tcBorders>
              <w:top w:val="single" w:sz="4" w:space="0" w:color="auto"/>
              <w:left w:val="single" w:sz="8" w:space="0" w:color="auto"/>
              <w:bottom w:val="single" w:sz="4" w:space="0" w:color="auto"/>
              <w:right w:val="single" w:sz="8" w:space="0" w:color="auto"/>
            </w:tcBorders>
          </w:tcPr>
          <w:p w:rsidR="00263CC0" w:rsidRPr="00C2123A" w:rsidRDefault="00263CC0" w:rsidP="00263CC0">
            <w:r w:rsidRPr="00C2123A">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263CC0" w:rsidRPr="00DC2B01" w:rsidRDefault="00DC2B01" w:rsidP="00263CC0">
            <w:r w:rsidRPr="00DC2B01">
              <w:t>SLTT Law Enforcement, SLTT fusion centers, FBI , CIKR/Private Sector</w:t>
            </w:r>
          </w:p>
        </w:tc>
      </w:tr>
      <w:tr w:rsidR="00263CC0" w:rsidRPr="000C1ECF" w:rsidTr="00263CC0">
        <w:trPr>
          <w:trHeight w:val="350"/>
        </w:trPr>
        <w:tc>
          <w:tcPr>
            <w:tcW w:w="1536" w:type="dxa"/>
            <w:tcBorders>
              <w:top w:val="single" w:sz="4" w:space="0" w:color="auto"/>
              <w:left w:val="single" w:sz="8" w:space="0" w:color="auto"/>
              <w:bottom w:val="single" w:sz="4" w:space="0" w:color="auto"/>
              <w:right w:val="single" w:sz="8" w:space="0" w:color="auto"/>
            </w:tcBorders>
          </w:tcPr>
          <w:p w:rsidR="00263CC0" w:rsidRPr="00C2123A" w:rsidRDefault="00263CC0" w:rsidP="00263CC0">
            <w:r w:rsidRPr="00C2123A">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263CC0" w:rsidRPr="00DC2B01" w:rsidRDefault="00DC2B01" w:rsidP="00263CC0">
            <w:r w:rsidRPr="00DC2B01">
              <w:t>SLTT Law Enforcement, SLTT fusion centers, FBI , CIKR/Private Sector</w:t>
            </w:r>
          </w:p>
        </w:tc>
      </w:tr>
      <w:tr w:rsidR="00263CC0" w:rsidRPr="000C1ECF" w:rsidTr="00263CC0">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263CC0" w:rsidRPr="00C2123A" w:rsidRDefault="00263CC0" w:rsidP="00263CC0">
            <w:pPr>
              <w:jc w:val="center"/>
              <w:rPr>
                <w:color w:val="FFFFFF" w:themeColor="background1"/>
              </w:rPr>
            </w:pPr>
            <w:r>
              <w:rPr>
                <w:color w:val="FFFFFF" w:themeColor="background1"/>
              </w:rPr>
              <w:t>Scenario</w:t>
            </w:r>
            <w:r w:rsidRPr="00C2123A">
              <w:rPr>
                <w:color w:val="FFFFFF" w:themeColor="background1"/>
              </w:rPr>
              <w:t xml:space="preserve"> Details</w:t>
            </w:r>
          </w:p>
        </w:tc>
      </w:tr>
      <w:tr w:rsidR="00263CC0" w:rsidRPr="000C1ECF" w:rsidTr="00263CC0">
        <w:trPr>
          <w:trHeight w:val="60"/>
        </w:trPr>
        <w:tc>
          <w:tcPr>
            <w:tcW w:w="1536" w:type="dxa"/>
            <w:tcBorders>
              <w:top w:val="single" w:sz="4" w:space="0" w:color="auto"/>
              <w:left w:val="single" w:sz="8" w:space="0" w:color="auto"/>
              <w:bottom w:val="single" w:sz="4" w:space="0" w:color="auto"/>
              <w:right w:val="single" w:sz="8" w:space="0" w:color="auto"/>
            </w:tcBorders>
            <w:hideMark/>
          </w:tcPr>
          <w:p w:rsidR="00263CC0" w:rsidRPr="00C2123A" w:rsidRDefault="00263CC0" w:rsidP="00263CC0">
            <w:r w:rsidRPr="00C2123A">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263CC0" w:rsidRPr="000C1ECF" w:rsidRDefault="00DC2B01" w:rsidP="00263CC0">
            <w:r>
              <w:t>Use of NIEM</w:t>
            </w:r>
          </w:p>
        </w:tc>
      </w:tr>
      <w:tr w:rsidR="00263CC0" w:rsidRPr="000C1ECF" w:rsidTr="00263CC0">
        <w:trPr>
          <w:trHeight w:val="530"/>
        </w:trPr>
        <w:tc>
          <w:tcPr>
            <w:tcW w:w="1536" w:type="dxa"/>
            <w:tcBorders>
              <w:top w:val="single" w:sz="4" w:space="0" w:color="auto"/>
              <w:left w:val="single" w:sz="8" w:space="0" w:color="auto"/>
              <w:bottom w:val="single" w:sz="8" w:space="0" w:color="auto"/>
              <w:right w:val="single" w:sz="8" w:space="0" w:color="auto"/>
            </w:tcBorders>
            <w:hideMark/>
          </w:tcPr>
          <w:p w:rsidR="00263CC0" w:rsidRPr="00C2123A" w:rsidRDefault="00263CC0" w:rsidP="00263CC0">
            <w:r w:rsidRPr="00C2123A">
              <w:t>Exchange Scenario</w:t>
            </w:r>
          </w:p>
        </w:tc>
        <w:tc>
          <w:tcPr>
            <w:tcW w:w="7905" w:type="dxa"/>
            <w:gridSpan w:val="2"/>
            <w:tcBorders>
              <w:top w:val="single" w:sz="4" w:space="0" w:color="auto"/>
              <w:left w:val="nil"/>
              <w:bottom w:val="single" w:sz="8" w:space="0" w:color="000000"/>
              <w:right w:val="single" w:sz="8" w:space="0" w:color="000000"/>
            </w:tcBorders>
          </w:tcPr>
          <w:p w:rsidR="00F704AD" w:rsidRPr="00F5451B" w:rsidRDefault="00F704AD" w:rsidP="00F704AD">
            <w:r w:rsidRPr="00F5451B">
              <w:t>Scenario 2</w:t>
            </w:r>
          </w:p>
          <w:p w:rsidR="00F704AD" w:rsidRPr="00F5451B" w:rsidRDefault="00F704AD" w:rsidP="00DC2B01">
            <w:pPr>
              <w:pStyle w:val="ListParagraph"/>
              <w:numPr>
                <w:ilvl w:val="0"/>
                <w:numId w:val="39"/>
              </w:numPr>
              <w:rPr>
                <w:rFonts w:ascii="Times New Roman" w:hAnsi="Times New Roman"/>
                <w:sz w:val="20"/>
                <w:szCs w:val="20"/>
              </w:rPr>
            </w:pPr>
            <w:r w:rsidRPr="00F5451B">
              <w:rPr>
                <w:rFonts w:ascii="Times New Roman" w:hAnsi="Times New Roman"/>
                <w:sz w:val="20"/>
                <w:szCs w:val="20"/>
              </w:rPr>
              <w:t xml:space="preserve">Local music companies collaborate to aggregate these thefts and develop a linkage pattern that links multiple transactions to the same IP address. </w:t>
            </w:r>
          </w:p>
          <w:p w:rsidR="00F704AD" w:rsidRPr="00F5451B" w:rsidRDefault="00F704AD" w:rsidP="00DC2B01">
            <w:pPr>
              <w:pStyle w:val="ListParagraph"/>
              <w:numPr>
                <w:ilvl w:val="0"/>
                <w:numId w:val="39"/>
              </w:numPr>
              <w:rPr>
                <w:rFonts w:ascii="Times New Roman" w:hAnsi="Times New Roman"/>
                <w:sz w:val="20"/>
                <w:szCs w:val="20"/>
              </w:rPr>
            </w:pPr>
            <w:r w:rsidRPr="00F5451B">
              <w:rPr>
                <w:rFonts w:ascii="Times New Roman" w:hAnsi="Times New Roman"/>
                <w:sz w:val="20"/>
                <w:szCs w:val="20"/>
              </w:rPr>
              <w:t>This helps them to now aggregate these transactions leading to higher transaction amounts and increased interest in reporting and prosecution</w:t>
            </w:r>
          </w:p>
          <w:p w:rsidR="00F704AD" w:rsidRPr="00F5451B" w:rsidRDefault="00F704AD" w:rsidP="00F704AD">
            <w:r w:rsidRPr="00F5451B">
              <w:t>Scenario 3</w:t>
            </w:r>
          </w:p>
          <w:p w:rsidR="00F704AD" w:rsidRPr="00F5451B" w:rsidRDefault="00F704AD" w:rsidP="00F704AD"/>
          <w:p w:rsidR="00F704AD" w:rsidRDefault="00F704AD" w:rsidP="00F5451B">
            <w:pPr>
              <w:pStyle w:val="ListParagraph"/>
              <w:numPr>
                <w:ilvl w:val="0"/>
                <w:numId w:val="29"/>
              </w:numPr>
            </w:pPr>
            <w:r w:rsidRPr="00F5451B">
              <w:rPr>
                <w:rFonts w:ascii="Times New Roman" w:hAnsi="Times New Roman"/>
                <w:sz w:val="20"/>
                <w:szCs w:val="20"/>
              </w:rPr>
              <w:t>Local law enforcement is better able to serve their customers (local businesses) with these increased thresholds</w:t>
            </w:r>
          </w:p>
          <w:p w:rsidR="00F704AD" w:rsidRPr="00F5451B" w:rsidRDefault="00F704AD" w:rsidP="00F5451B">
            <w:pPr>
              <w:pStyle w:val="ListParagraph"/>
              <w:numPr>
                <w:ilvl w:val="0"/>
                <w:numId w:val="29"/>
              </w:numPr>
              <w:rPr>
                <w:rFonts w:ascii="Times New Roman" w:hAnsi="Times New Roman"/>
                <w:sz w:val="20"/>
                <w:szCs w:val="20"/>
              </w:rPr>
            </w:pPr>
            <w:r w:rsidRPr="00F5451B">
              <w:rPr>
                <w:rFonts w:ascii="Times New Roman" w:hAnsi="Times New Roman"/>
                <w:sz w:val="20"/>
                <w:szCs w:val="20"/>
              </w:rPr>
              <w:t>They are able to escalate collections of cases to the State and Federal levels</w:t>
            </w:r>
          </w:p>
          <w:p w:rsidR="00F704AD" w:rsidRPr="00D67C6C" w:rsidRDefault="00F704AD" w:rsidP="00F5451B">
            <w:pPr>
              <w:pStyle w:val="ListParagraph"/>
              <w:numPr>
                <w:ilvl w:val="0"/>
                <w:numId w:val="29"/>
              </w:numPr>
            </w:pPr>
            <w:r w:rsidRPr="00F5451B">
              <w:rPr>
                <w:rFonts w:ascii="Times New Roman" w:hAnsi="Times New Roman"/>
                <w:sz w:val="20"/>
                <w:szCs w:val="20"/>
              </w:rPr>
              <w:t>FBI identifies that the same IP address committed similar crimes in multiple states and are not able to develop a campaign based on these referrals</w:t>
            </w:r>
            <w:r w:rsidR="00850485">
              <w:rPr>
                <w:rFonts w:ascii="Times New Roman" w:hAnsi="Times New Roman"/>
                <w:sz w:val="20"/>
                <w:szCs w:val="20"/>
              </w:rPr>
              <w:t>.</w:t>
            </w:r>
          </w:p>
        </w:tc>
      </w:tr>
      <w:tr w:rsidR="00263CC0" w:rsidRPr="000C1ECF" w:rsidTr="00263CC0">
        <w:trPr>
          <w:trHeight w:val="115"/>
        </w:trPr>
        <w:tc>
          <w:tcPr>
            <w:tcW w:w="1536" w:type="dxa"/>
            <w:tcBorders>
              <w:top w:val="single" w:sz="4" w:space="0" w:color="auto"/>
              <w:left w:val="single" w:sz="8" w:space="0" w:color="auto"/>
              <w:bottom w:val="single" w:sz="4" w:space="0" w:color="auto"/>
              <w:right w:val="single" w:sz="8" w:space="0" w:color="auto"/>
            </w:tcBorders>
            <w:hideMark/>
          </w:tcPr>
          <w:p w:rsidR="00263CC0" w:rsidRPr="00C2123A" w:rsidRDefault="00263CC0" w:rsidP="00263CC0">
            <w:r w:rsidRPr="00C2123A">
              <w:t>Business Rules</w:t>
            </w:r>
          </w:p>
        </w:tc>
        <w:tc>
          <w:tcPr>
            <w:tcW w:w="7905" w:type="dxa"/>
            <w:gridSpan w:val="2"/>
            <w:tcBorders>
              <w:top w:val="single" w:sz="4" w:space="0" w:color="auto"/>
              <w:left w:val="nil"/>
              <w:bottom w:val="single" w:sz="4" w:space="0" w:color="auto"/>
              <w:right w:val="single" w:sz="8" w:space="0" w:color="000000"/>
            </w:tcBorders>
          </w:tcPr>
          <w:p w:rsidR="00263CC0" w:rsidRPr="000C1ECF" w:rsidRDefault="00DC2B01" w:rsidP="00263CC0">
            <w:r>
              <w:t>TBD by stakeholders</w:t>
            </w:r>
          </w:p>
        </w:tc>
      </w:tr>
      <w:tr w:rsidR="00263CC0" w:rsidRPr="000C1ECF" w:rsidTr="00263CC0">
        <w:trPr>
          <w:trHeight w:val="115"/>
        </w:trPr>
        <w:tc>
          <w:tcPr>
            <w:tcW w:w="1536" w:type="dxa"/>
            <w:tcBorders>
              <w:top w:val="single" w:sz="4" w:space="0" w:color="auto"/>
              <w:left w:val="single" w:sz="8" w:space="0" w:color="auto"/>
              <w:bottom w:val="single" w:sz="4" w:space="0" w:color="auto"/>
              <w:right w:val="single" w:sz="8" w:space="0" w:color="auto"/>
            </w:tcBorders>
          </w:tcPr>
          <w:p w:rsidR="00263CC0" w:rsidRPr="000C1ECF" w:rsidRDefault="00263CC0" w:rsidP="00263CC0">
            <w:r>
              <w:t>Mapping to ESSA’s Enduring Functional Exchanges</w:t>
            </w:r>
            <w:r w:rsidR="00AA4498">
              <w:t xml:space="preserve"> (EFE)</w:t>
            </w:r>
          </w:p>
        </w:tc>
        <w:tc>
          <w:tcPr>
            <w:tcW w:w="7905" w:type="dxa"/>
            <w:gridSpan w:val="2"/>
            <w:tcBorders>
              <w:top w:val="single" w:sz="4" w:space="0" w:color="auto"/>
              <w:left w:val="nil"/>
              <w:bottom w:val="single" w:sz="4" w:space="0" w:color="auto"/>
              <w:right w:val="single" w:sz="8" w:space="0" w:color="000000"/>
            </w:tcBorders>
          </w:tcPr>
          <w:p w:rsidR="00263CC0" w:rsidRPr="000C1ECF" w:rsidRDefault="00DC2B01" w:rsidP="00DC2B01">
            <w:r w:rsidRPr="00DC2B01">
              <w:t>(</w:t>
            </w:r>
            <w:r w:rsidR="00263CC0" w:rsidRPr="00DC2B01">
              <w:t xml:space="preserve">1) Configuration/Anomaly Reporting; (2) Knowledge of Threat Actors; (3) Incident Awareness; (4) Indicators and Warnings; (5) Vulnerability Knowledge; (6) Mitigation Strategies; (7) Mitigation Actions &amp; Responses </w:t>
            </w:r>
          </w:p>
        </w:tc>
      </w:tr>
      <w:tr w:rsidR="00263CC0" w:rsidRPr="000C1ECF" w:rsidTr="00263CC0">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263CC0" w:rsidRPr="00C2123A" w:rsidRDefault="00263CC0" w:rsidP="00263CC0">
            <w:pPr>
              <w:jc w:val="center"/>
              <w:rPr>
                <w:color w:val="FFFFFF" w:themeColor="background1"/>
              </w:rPr>
            </w:pPr>
            <w:r w:rsidRPr="00C2123A">
              <w:rPr>
                <w:color w:val="FFFFFF" w:themeColor="background1"/>
              </w:rPr>
              <w:t>Data Elements</w:t>
            </w:r>
          </w:p>
        </w:tc>
      </w:tr>
      <w:tr w:rsidR="00263CC0" w:rsidRPr="000C1ECF" w:rsidTr="00263CC0">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263CC0" w:rsidRPr="00C2123A" w:rsidRDefault="00263CC0" w:rsidP="00263CC0">
            <w:pPr>
              <w:jc w:val="center"/>
              <w:rPr>
                <w:color w:val="FFFFFF" w:themeColor="background1"/>
              </w:rPr>
            </w:pPr>
            <w:r w:rsidRPr="00C2123A">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263CC0" w:rsidRPr="00C2123A" w:rsidRDefault="00263CC0" w:rsidP="00263CC0">
            <w:pPr>
              <w:jc w:val="center"/>
              <w:rPr>
                <w:color w:val="FFFFFF" w:themeColor="background1"/>
              </w:rPr>
            </w:pPr>
            <w:r w:rsidRPr="00C2123A">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263CC0" w:rsidRPr="00C2123A" w:rsidRDefault="00263CC0" w:rsidP="00263CC0">
            <w:pPr>
              <w:jc w:val="center"/>
              <w:rPr>
                <w:color w:val="FFFFFF" w:themeColor="background1"/>
              </w:rPr>
            </w:pPr>
            <w:r w:rsidRPr="00C2123A">
              <w:rPr>
                <w:color w:val="FFFFFF" w:themeColor="background1"/>
              </w:rPr>
              <w:t>Definitions</w:t>
            </w:r>
          </w:p>
        </w:tc>
      </w:tr>
      <w:tr w:rsidR="00263CC0" w:rsidRPr="000C1ECF" w:rsidTr="00263CC0">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263CC0" w:rsidRPr="00C2123A" w:rsidRDefault="00263CC0" w:rsidP="00263CC0">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263CC0" w:rsidRPr="00C2123A" w:rsidRDefault="00263CC0" w:rsidP="00263CC0">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263CC0" w:rsidRPr="00C2123A" w:rsidRDefault="00263CC0" w:rsidP="00263CC0">
            <w:pPr>
              <w:jc w:val="center"/>
              <w:rPr>
                <w:color w:val="FFFFFF" w:themeColor="background1"/>
              </w:rPr>
            </w:pPr>
          </w:p>
        </w:tc>
      </w:tr>
      <w:tr w:rsidR="00263CC0" w:rsidRPr="000C1ECF" w:rsidTr="00263CC0">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63CC0" w:rsidRPr="000C1ECF" w:rsidRDefault="00263CC0" w:rsidP="00263CC0">
            <w:r>
              <w:t xml:space="preserve">Additional Information: </w:t>
            </w:r>
          </w:p>
        </w:tc>
      </w:tr>
    </w:tbl>
    <w:p w:rsidR="00D60829" w:rsidRDefault="00D60829">
      <w:pPr>
        <w:rPr>
          <w:sz w:val="22"/>
          <w:szCs w:val="22"/>
        </w:rPr>
      </w:pPr>
    </w:p>
    <w:p w:rsidR="00D60829" w:rsidRDefault="00E400F4">
      <w:pPr>
        <w:rPr>
          <w:sz w:val="22"/>
          <w:szCs w:val="22"/>
        </w:rPr>
      </w:pPr>
      <w:r>
        <w:rPr>
          <w:sz w:val="22"/>
          <w:szCs w:val="22"/>
        </w:rPr>
        <w:br w:type="page"/>
      </w:r>
    </w:p>
    <w:p w:rsidR="00C17CD4" w:rsidRDefault="001B04CD" w:rsidP="00C17CD4">
      <w:pPr>
        <w:pStyle w:val="Heading2"/>
      </w:pPr>
      <w:r>
        <w:t>Scenario</w:t>
      </w:r>
      <w:r w:rsidR="004E4A46">
        <w:t xml:space="preserve"> Story #</w:t>
      </w:r>
      <w:r w:rsidR="00E83891">
        <w:t>13</w:t>
      </w:r>
    </w:p>
    <w:p w:rsidR="004E4A46" w:rsidRDefault="004E4A46" w:rsidP="004E4A46"/>
    <w:p w:rsidR="00E83891" w:rsidRPr="001618A3" w:rsidRDefault="00E83891" w:rsidP="00E83891">
      <w:pPr>
        <w:rPr>
          <w:sz w:val="22"/>
        </w:rPr>
      </w:pPr>
      <w:r w:rsidRPr="001618A3">
        <w:rPr>
          <w:sz w:val="22"/>
        </w:rPr>
        <w:t>Researchers say they have discovered significant holes in the three key technologies sailors use to navigate: GPS, marine Automatic Identification System (AIS), and a system for viewing digital nautical charts called Electronic Chart Display and Information System (ECDIS).  "Increasingly, the maritime domain and energy sector has turned to technology to improve production, cost and reduce delivery schedules," a NATO-accredited think-tank wrote in a recent report. "These technological changes have opened the door to emerging threats and vulnerabilities as equipment has become accessible to outside entities."</w:t>
      </w:r>
      <w:r w:rsidR="006B6745" w:rsidRPr="001618A3">
        <w:rPr>
          <w:sz w:val="22"/>
        </w:rPr>
        <w:t xml:space="preserve">  Many cyber attacks have been carried out earlier on commercial ships, in one such incident a commercial ship on contract to the US military was the target of an intrusion by suspected Chinese military hackers. Another incident saw a major fuel supplier fall victim to an $18m scam as the bunkers sector faces growing cybercrime threats. In 2012, the Chinese military compromised “multiple systems” on a commercial ship on contract to Transcom. Marine shipping providers were also the target of so-called spear-phishing campaigns. These attacks use spoofed e-mails targeting a single company to gain secure access to confidential data. Similarly, KPMG has worked with one major shipping company that has been a victim of a deliberate hacking attack, possibly by a rival. Hackers recently shut down a floating oil rig by tilting it, while another rig was so riddled with computer malware that it took 19 days to make it seaworthy again; Somali pirates help choose their targets by viewing navigational data online, prompting ships to either turn off their navigational devices, or fake the data so it looks like they’re somewhere else; and hackers infiltrated computers connected to the Belgian port of Antwerp, located specific containers, made off with their smuggled drugs and deleted the records. For example on a Friday afternoon, freight needs to move, fast. A shipper, frantic to find a transporter, hooks up with a carrier on a load board. They agree to terms, and a ship is dispatched to pick up the load. The only problem is that ship isn’t from the party that accepted the load. That “company” double-brokered the shipment to a legitimate shipper. The load goes one way, the money goes another, and the vessel that delivers the freight winds up with nothing.</w:t>
      </w:r>
    </w:p>
    <w:p w:rsidR="004E4A46" w:rsidRDefault="004E4A46" w:rsidP="004E4A46"/>
    <w:tbl>
      <w:tblPr>
        <w:tblW w:w="9441" w:type="dxa"/>
        <w:tblInd w:w="93" w:type="dxa"/>
        <w:tblCellMar>
          <w:left w:w="0" w:type="dxa"/>
          <w:right w:w="0" w:type="dxa"/>
        </w:tblCellMar>
        <w:tblLook w:val="04A0" w:firstRow="1" w:lastRow="0" w:firstColumn="1" w:lastColumn="0" w:noHBand="0" w:noVBand="1"/>
      </w:tblPr>
      <w:tblGrid>
        <w:gridCol w:w="1536"/>
        <w:gridCol w:w="3815"/>
        <w:gridCol w:w="4090"/>
      </w:tblGrid>
      <w:tr w:rsidR="004E4A46" w:rsidTr="004E4A46">
        <w:trPr>
          <w:trHeight w:val="152"/>
        </w:trPr>
        <w:tc>
          <w:tcPr>
            <w:tcW w:w="9441" w:type="dxa"/>
            <w:gridSpan w:val="3"/>
            <w:tcBorders>
              <w:top w:val="single" w:sz="8" w:space="0" w:color="auto"/>
              <w:left w:val="single" w:sz="8" w:space="0" w:color="auto"/>
              <w:bottom w:val="single" w:sz="8" w:space="0" w:color="auto"/>
              <w:right w:val="single" w:sz="8" w:space="0" w:color="000000"/>
            </w:tcBorders>
            <w:shd w:val="clear" w:color="auto" w:fill="44546A"/>
            <w:tcMar>
              <w:top w:w="0" w:type="dxa"/>
              <w:left w:w="108" w:type="dxa"/>
              <w:bottom w:w="0" w:type="dxa"/>
              <w:right w:w="108" w:type="dxa"/>
            </w:tcMar>
            <w:hideMark/>
          </w:tcPr>
          <w:p w:rsidR="004E4A46" w:rsidRDefault="004E4A46">
            <w:pPr>
              <w:jc w:val="center"/>
              <w:rPr>
                <w:b/>
                <w:bCs/>
                <w:color w:val="FFFFFF"/>
              </w:rPr>
            </w:pPr>
            <w:r>
              <w:rPr>
                <w:b/>
                <w:bCs/>
                <w:color w:val="FFFFFF"/>
              </w:rPr>
              <w:t>Use Case #13</w:t>
            </w:r>
          </w:p>
        </w:tc>
      </w:tr>
      <w:tr w:rsidR="004E4A46" w:rsidTr="004E4A46">
        <w:trPr>
          <w:trHeight w:val="88"/>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Title</w:t>
            </w:r>
          </w:p>
        </w:tc>
        <w:tc>
          <w:tcPr>
            <w:tcW w:w="7905" w:type="dxa"/>
            <w:gridSpan w:val="2"/>
            <w:tcBorders>
              <w:top w:val="nil"/>
              <w:left w:val="nil"/>
              <w:bottom w:val="single" w:sz="8" w:space="0" w:color="auto"/>
              <w:right w:val="single" w:sz="8" w:space="0" w:color="000000"/>
            </w:tcBorders>
            <w:tcMar>
              <w:top w:w="0" w:type="dxa"/>
              <w:left w:w="108" w:type="dxa"/>
              <w:bottom w:w="0" w:type="dxa"/>
              <w:right w:w="108" w:type="dxa"/>
            </w:tcMar>
            <w:hideMark/>
          </w:tcPr>
          <w:p w:rsidR="004E4A46" w:rsidRDefault="004E4A46">
            <w:pPr>
              <w:rPr>
                <w:b/>
                <w:bCs/>
              </w:rPr>
            </w:pPr>
            <w:r>
              <w:rPr>
                <w:b/>
                <w:bCs/>
              </w:rPr>
              <w:t>Maritime Containerized Cargo Operations</w:t>
            </w:r>
          </w:p>
        </w:tc>
      </w:tr>
      <w:tr w:rsidR="004E4A46" w:rsidTr="004E4A46">
        <w:trPr>
          <w:trHeight w:val="50"/>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Category</w:t>
            </w:r>
          </w:p>
        </w:tc>
        <w:tc>
          <w:tcPr>
            <w:tcW w:w="7905" w:type="dxa"/>
            <w:gridSpan w:val="2"/>
            <w:tcBorders>
              <w:top w:val="nil"/>
              <w:left w:val="nil"/>
              <w:bottom w:val="single" w:sz="8" w:space="0" w:color="auto"/>
              <w:right w:val="single" w:sz="8" w:space="0" w:color="000000"/>
            </w:tcBorders>
            <w:tcMar>
              <w:top w:w="0" w:type="dxa"/>
              <w:left w:w="108" w:type="dxa"/>
              <w:bottom w:w="0" w:type="dxa"/>
              <w:right w:w="108" w:type="dxa"/>
            </w:tcMar>
            <w:hideMark/>
          </w:tcPr>
          <w:p w:rsidR="004E4A46" w:rsidRDefault="004E4A46">
            <w:r>
              <w:t>Integrated Threat Assessment for Critical Infrastructure</w:t>
            </w:r>
          </w:p>
        </w:tc>
      </w:tr>
      <w:tr w:rsidR="00E83891" w:rsidRPr="00E83891" w:rsidTr="004E4A46">
        <w:trPr>
          <w:trHeight w:val="50"/>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Domain</w:t>
            </w:r>
          </w:p>
        </w:tc>
        <w:tc>
          <w:tcPr>
            <w:tcW w:w="7905" w:type="dxa"/>
            <w:gridSpan w:val="2"/>
            <w:tcBorders>
              <w:top w:val="nil"/>
              <w:left w:val="nil"/>
              <w:bottom w:val="single" w:sz="8" w:space="0" w:color="auto"/>
              <w:right w:val="single" w:sz="8" w:space="0" w:color="000000"/>
            </w:tcBorders>
            <w:tcMar>
              <w:top w:w="0" w:type="dxa"/>
              <w:left w:w="108" w:type="dxa"/>
              <w:bottom w:w="0" w:type="dxa"/>
              <w:right w:w="108" w:type="dxa"/>
            </w:tcMar>
            <w:hideMark/>
          </w:tcPr>
          <w:p w:rsidR="004E4A46" w:rsidRPr="00E83891" w:rsidRDefault="004E4A46" w:rsidP="004E4A46">
            <w:pPr>
              <w:pStyle w:val="ListParagraph"/>
              <w:numPr>
                <w:ilvl w:val="0"/>
                <w:numId w:val="37"/>
              </w:numPr>
              <w:rPr>
                <w:rFonts w:ascii="Times New Roman" w:hAnsi="Times New Roman"/>
                <w:sz w:val="20"/>
                <w:szCs w:val="20"/>
              </w:rPr>
            </w:pPr>
            <w:r w:rsidRPr="00E83891">
              <w:rPr>
                <w:rFonts w:ascii="Times New Roman" w:hAnsi="Times New Roman"/>
                <w:sz w:val="20"/>
                <w:szCs w:val="20"/>
              </w:rPr>
              <w:t>Cybersecurity</w:t>
            </w:r>
          </w:p>
          <w:p w:rsidR="004E4A46" w:rsidRPr="00E83891" w:rsidRDefault="004E4A46" w:rsidP="004E4A46">
            <w:pPr>
              <w:pStyle w:val="ListParagraph"/>
              <w:numPr>
                <w:ilvl w:val="0"/>
                <w:numId w:val="37"/>
              </w:numPr>
              <w:rPr>
                <w:rFonts w:ascii="Times New Roman" w:hAnsi="Times New Roman"/>
                <w:sz w:val="20"/>
                <w:szCs w:val="20"/>
              </w:rPr>
            </w:pPr>
            <w:r w:rsidRPr="00E83891">
              <w:rPr>
                <w:rFonts w:ascii="Times New Roman" w:hAnsi="Times New Roman"/>
                <w:sz w:val="20"/>
                <w:szCs w:val="20"/>
              </w:rPr>
              <w:t>Physical Infrastructure Protection</w:t>
            </w:r>
          </w:p>
          <w:p w:rsidR="004E4A46" w:rsidRPr="00E83891" w:rsidRDefault="004E4A46" w:rsidP="004E4A46">
            <w:pPr>
              <w:pStyle w:val="ListParagraph"/>
              <w:numPr>
                <w:ilvl w:val="0"/>
                <w:numId w:val="37"/>
              </w:numPr>
              <w:rPr>
                <w:rFonts w:ascii="Times New Roman" w:hAnsi="Times New Roman"/>
                <w:sz w:val="20"/>
                <w:szCs w:val="20"/>
              </w:rPr>
            </w:pPr>
            <w:r w:rsidRPr="00E83891">
              <w:rPr>
                <w:rFonts w:ascii="Times New Roman" w:hAnsi="Times New Roman"/>
                <w:sz w:val="20"/>
                <w:szCs w:val="20"/>
              </w:rPr>
              <w:t>Law Enforcement</w:t>
            </w:r>
          </w:p>
          <w:p w:rsidR="004E4A46" w:rsidRPr="00E83891" w:rsidRDefault="004E4A46" w:rsidP="004E4A46">
            <w:pPr>
              <w:pStyle w:val="ListParagraph"/>
              <w:numPr>
                <w:ilvl w:val="0"/>
                <w:numId w:val="37"/>
              </w:numPr>
              <w:rPr>
                <w:rFonts w:ascii="Times New Roman" w:hAnsi="Times New Roman"/>
                <w:sz w:val="20"/>
                <w:szCs w:val="20"/>
              </w:rPr>
            </w:pPr>
            <w:r w:rsidRPr="00E83891">
              <w:rPr>
                <w:rFonts w:ascii="Times New Roman" w:hAnsi="Times New Roman"/>
                <w:sz w:val="20"/>
                <w:szCs w:val="20"/>
              </w:rPr>
              <w:t>Intelligence Community</w:t>
            </w:r>
          </w:p>
        </w:tc>
      </w:tr>
      <w:tr w:rsidR="00E83891" w:rsidRPr="00E83891" w:rsidTr="004E4A46">
        <w:trPr>
          <w:trHeight w:val="50"/>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Security Fabric</w:t>
            </w:r>
          </w:p>
          <w:p w:rsidR="004E4A46" w:rsidRDefault="004E4A46">
            <w:pPr>
              <w:rPr>
                <w:b/>
                <w:bCs/>
              </w:rPr>
            </w:pPr>
            <w:r>
              <w:rPr>
                <w:b/>
                <w:bCs/>
              </w:rPr>
              <w:t>(e.g., U, LES, S, TS)</w:t>
            </w:r>
          </w:p>
        </w:tc>
        <w:tc>
          <w:tcPr>
            <w:tcW w:w="7905" w:type="dxa"/>
            <w:gridSpan w:val="2"/>
            <w:tcBorders>
              <w:top w:val="nil"/>
              <w:left w:val="nil"/>
              <w:bottom w:val="single" w:sz="8" w:space="0" w:color="auto"/>
              <w:right w:val="single" w:sz="8" w:space="0" w:color="000000"/>
            </w:tcBorders>
            <w:tcMar>
              <w:top w:w="0" w:type="dxa"/>
              <w:left w:w="108" w:type="dxa"/>
              <w:bottom w:w="0" w:type="dxa"/>
              <w:right w:w="108" w:type="dxa"/>
            </w:tcMar>
            <w:hideMark/>
          </w:tcPr>
          <w:p w:rsidR="004E4A46" w:rsidRPr="00E83891" w:rsidRDefault="004E4A46">
            <w:r w:rsidRPr="00E83891">
              <w:t>SBU</w:t>
            </w:r>
          </w:p>
        </w:tc>
      </w:tr>
      <w:tr w:rsidR="00E83891" w:rsidRPr="00E83891" w:rsidTr="004E4A46">
        <w:trPr>
          <w:trHeight w:val="493"/>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Scenario Description</w:t>
            </w:r>
          </w:p>
        </w:tc>
        <w:tc>
          <w:tcPr>
            <w:tcW w:w="7905" w:type="dxa"/>
            <w:gridSpan w:val="2"/>
            <w:tcBorders>
              <w:top w:val="nil"/>
              <w:left w:val="nil"/>
              <w:bottom w:val="single" w:sz="8" w:space="0" w:color="auto"/>
              <w:right w:val="single" w:sz="8" w:space="0" w:color="000000"/>
            </w:tcBorders>
            <w:tcMar>
              <w:top w:w="0" w:type="dxa"/>
              <w:left w:w="108" w:type="dxa"/>
              <w:bottom w:w="0" w:type="dxa"/>
              <w:right w:w="108" w:type="dxa"/>
            </w:tcMar>
            <w:hideMark/>
          </w:tcPr>
          <w:p w:rsidR="004E4A46" w:rsidRPr="00E83891" w:rsidRDefault="004E4A46">
            <w:r w:rsidRPr="00E83891">
              <w:t>Cargo operations at U.S.</w:t>
            </w:r>
            <w:r w:rsidR="00E83891">
              <w:t xml:space="preserve"> ports of entry are critical to </w:t>
            </w:r>
            <w:r w:rsidRPr="00E83891">
              <w:t>our overall national security and a component of the DHS strategic</w:t>
            </w:r>
            <w:r w:rsidR="00E83891">
              <w:t xml:space="preserve"> </w:t>
            </w:r>
            <w:r w:rsidRPr="00E83891">
              <w:t>priority to “minimize the disruption to and facilitate the safe and</w:t>
            </w:r>
            <w:r w:rsidR="00E83891">
              <w:t xml:space="preserve"> </w:t>
            </w:r>
            <w:r w:rsidRPr="00E83891">
              <w:t>secure inbound and outbound legal flows of people and goods.”  A 2013 economic impact assessment of U.S. west coast ports found that</w:t>
            </w:r>
            <w:r w:rsidR="00E83891">
              <w:t xml:space="preserve"> </w:t>
            </w:r>
            <w:r w:rsidRPr="00E83891">
              <w:t>ILWU terminals support 9.2 million workers who received $383.1</w:t>
            </w:r>
            <w:r w:rsidR="00E83891">
              <w:t xml:space="preserve"> </w:t>
            </w:r>
            <w:r w:rsidRPr="00E83891">
              <w:t>billion in wages and salaries. The cargo transiting the west coast</w:t>
            </w:r>
          </w:p>
          <w:p w:rsidR="004E4A46" w:rsidRPr="00E83891" w:rsidRDefault="004E4A46">
            <w:r w:rsidRPr="00E83891">
              <w:t>ILWU terminals generated $2.1 tril</w:t>
            </w:r>
            <w:r w:rsidR="00E83891">
              <w:t xml:space="preserve">lion, which represents 12.5% of </w:t>
            </w:r>
            <w:r w:rsidRPr="00E83891">
              <w:t>the U.S. GDP (2014). The valuable role that seaports play in our economy makes them a</w:t>
            </w:r>
            <w:r w:rsidR="006B6745">
              <w:t xml:space="preserve"> target.  A successful nuclear </w:t>
            </w:r>
            <w:r w:rsidRPr="00E83891">
              <w:t>terrorist attack on a U.S. seaport has been estimated to result in “disruption of U.S. trade valued at $100-200 billion, property damage of $50-500 billion, and 50,000-1,000,000 lives.”</w:t>
            </w:r>
          </w:p>
        </w:tc>
      </w:tr>
      <w:tr w:rsidR="00E83891" w:rsidRPr="00E83891" w:rsidTr="004E4A46">
        <w:trPr>
          <w:trHeight w:val="530"/>
        </w:trPr>
        <w:tc>
          <w:tcPr>
            <w:tcW w:w="1536" w:type="dxa"/>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E4A46" w:rsidRDefault="004E4A46">
            <w:pPr>
              <w:rPr>
                <w:b/>
                <w:bCs/>
              </w:rPr>
            </w:pPr>
            <w:r>
              <w:rPr>
                <w:b/>
                <w:bCs/>
              </w:rPr>
              <w:t>COIs</w:t>
            </w:r>
          </w:p>
        </w:tc>
        <w:tc>
          <w:tcPr>
            <w:tcW w:w="7905" w:type="dxa"/>
            <w:gridSpan w:val="2"/>
            <w:tcBorders>
              <w:top w:val="nil"/>
              <w:left w:val="nil"/>
              <w:bottom w:val="single" w:sz="8" w:space="0" w:color="auto"/>
              <w:right w:val="single" w:sz="8" w:space="0" w:color="000000"/>
            </w:tcBorders>
            <w:shd w:val="clear" w:color="auto" w:fill="FFFFFF"/>
            <w:tcMar>
              <w:top w:w="0" w:type="dxa"/>
              <w:left w:w="108" w:type="dxa"/>
              <w:bottom w:w="0" w:type="dxa"/>
              <w:right w:w="108" w:type="dxa"/>
            </w:tcMar>
            <w:hideMark/>
          </w:tcPr>
          <w:p w:rsidR="004E4A46" w:rsidRPr="00E83891" w:rsidRDefault="004E4A46">
            <w:r w:rsidRPr="00E83891">
              <w:t>FSLTIPP stakeholders in the port syste</w:t>
            </w:r>
            <w:r w:rsidR="00E83891">
              <w:t>m, including but not limited to:</w:t>
            </w:r>
          </w:p>
          <w:p w:rsidR="004E4A46" w:rsidRPr="00E83891" w:rsidRDefault="004E4A46" w:rsidP="004E4A46">
            <w:pPr>
              <w:pStyle w:val="ListParagraph"/>
              <w:numPr>
                <w:ilvl w:val="0"/>
                <w:numId w:val="38"/>
              </w:numPr>
              <w:rPr>
                <w:rFonts w:ascii="Times New Roman" w:hAnsi="Times New Roman"/>
                <w:sz w:val="20"/>
                <w:szCs w:val="20"/>
              </w:rPr>
            </w:pPr>
            <w:r w:rsidRPr="00E83891">
              <w:rPr>
                <w:rFonts w:ascii="Times New Roman" w:hAnsi="Times New Roman"/>
                <w:sz w:val="20"/>
                <w:szCs w:val="20"/>
              </w:rPr>
              <w:t xml:space="preserve">Federal agencies, e.g., CBP, USCG; </w:t>
            </w:r>
          </w:p>
          <w:p w:rsidR="004E4A46" w:rsidRPr="00E83891" w:rsidRDefault="004E4A46" w:rsidP="004E4A46">
            <w:pPr>
              <w:pStyle w:val="ListParagraph"/>
              <w:numPr>
                <w:ilvl w:val="0"/>
                <w:numId w:val="38"/>
              </w:numPr>
              <w:rPr>
                <w:rFonts w:ascii="Times New Roman" w:hAnsi="Times New Roman"/>
                <w:sz w:val="20"/>
                <w:szCs w:val="20"/>
              </w:rPr>
            </w:pPr>
            <w:r w:rsidRPr="00E83891">
              <w:rPr>
                <w:rFonts w:ascii="Times New Roman" w:hAnsi="Times New Roman"/>
                <w:sz w:val="20"/>
                <w:szCs w:val="20"/>
              </w:rPr>
              <w:t xml:space="preserve">State and local authorities, e.g., fire, police; </w:t>
            </w:r>
          </w:p>
          <w:p w:rsidR="004E4A46" w:rsidRPr="00E83891" w:rsidRDefault="004E4A46" w:rsidP="004E4A46">
            <w:pPr>
              <w:pStyle w:val="ListParagraph"/>
              <w:numPr>
                <w:ilvl w:val="0"/>
                <w:numId w:val="38"/>
              </w:numPr>
              <w:rPr>
                <w:rFonts w:ascii="Times New Roman" w:hAnsi="Times New Roman"/>
                <w:sz w:val="20"/>
                <w:szCs w:val="20"/>
              </w:rPr>
            </w:pPr>
            <w:r w:rsidRPr="00E83891">
              <w:rPr>
                <w:rFonts w:ascii="Times New Roman" w:hAnsi="Times New Roman"/>
                <w:sz w:val="20"/>
                <w:szCs w:val="20"/>
              </w:rPr>
              <w:t>Port authorities, e.g., Port of Seattle;</w:t>
            </w:r>
          </w:p>
          <w:p w:rsidR="004E4A46" w:rsidRPr="00E83891" w:rsidRDefault="004E4A46" w:rsidP="004E4A46">
            <w:pPr>
              <w:pStyle w:val="ListParagraph"/>
              <w:numPr>
                <w:ilvl w:val="0"/>
                <w:numId w:val="38"/>
              </w:numPr>
              <w:rPr>
                <w:rFonts w:ascii="Times New Roman" w:hAnsi="Times New Roman"/>
                <w:sz w:val="20"/>
                <w:szCs w:val="20"/>
              </w:rPr>
            </w:pPr>
            <w:r w:rsidRPr="00E83891">
              <w:rPr>
                <w:rFonts w:ascii="Times New Roman" w:hAnsi="Times New Roman"/>
                <w:sz w:val="20"/>
                <w:szCs w:val="20"/>
              </w:rPr>
              <w:t xml:space="preserve">Labor unions, e.g., ILWU; </w:t>
            </w:r>
          </w:p>
          <w:p w:rsidR="004E4A46" w:rsidRPr="00E83891" w:rsidRDefault="004E4A46" w:rsidP="004E4A46">
            <w:pPr>
              <w:pStyle w:val="ListParagraph"/>
              <w:numPr>
                <w:ilvl w:val="0"/>
                <w:numId w:val="38"/>
              </w:numPr>
              <w:rPr>
                <w:rFonts w:ascii="Times New Roman" w:hAnsi="Times New Roman"/>
                <w:sz w:val="20"/>
                <w:szCs w:val="20"/>
              </w:rPr>
            </w:pPr>
            <w:r w:rsidRPr="00E83891">
              <w:rPr>
                <w:rFonts w:ascii="Times New Roman" w:hAnsi="Times New Roman"/>
                <w:sz w:val="20"/>
                <w:szCs w:val="20"/>
              </w:rPr>
              <w:t xml:space="preserve">Non-governmental organizations, e.g., pilots associations, towage; </w:t>
            </w:r>
          </w:p>
          <w:p w:rsidR="004E4A46" w:rsidRPr="00E83891" w:rsidRDefault="004E4A46" w:rsidP="004E4A46">
            <w:pPr>
              <w:pStyle w:val="ListParagraph"/>
              <w:numPr>
                <w:ilvl w:val="0"/>
                <w:numId w:val="38"/>
              </w:numPr>
              <w:rPr>
                <w:rFonts w:ascii="Times New Roman" w:hAnsi="Times New Roman"/>
                <w:sz w:val="20"/>
                <w:szCs w:val="20"/>
              </w:rPr>
            </w:pPr>
            <w:r w:rsidRPr="00E83891">
              <w:rPr>
                <w:rFonts w:ascii="Times New Roman" w:hAnsi="Times New Roman"/>
                <w:sz w:val="20"/>
                <w:szCs w:val="20"/>
              </w:rPr>
              <w:t>Customers, e.g., importers; and industrial partners.</w:t>
            </w:r>
          </w:p>
        </w:tc>
      </w:tr>
      <w:tr w:rsidR="00E83891" w:rsidRPr="00E83891" w:rsidTr="004E4A46">
        <w:trPr>
          <w:trHeight w:val="152"/>
        </w:trPr>
        <w:tc>
          <w:tcPr>
            <w:tcW w:w="9441" w:type="dxa"/>
            <w:gridSpan w:val="3"/>
            <w:tcBorders>
              <w:top w:val="nil"/>
              <w:left w:val="single" w:sz="8" w:space="0" w:color="auto"/>
              <w:bottom w:val="single" w:sz="8" w:space="0" w:color="auto"/>
              <w:right w:val="single" w:sz="8" w:space="0" w:color="000000"/>
            </w:tcBorders>
            <w:shd w:val="clear" w:color="auto" w:fill="44546A"/>
            <w:tcMar>
              <w:top w:w="0" w:type="dxa"/>
              <w:left w:w="108" w:type="dxa"/>
              <w:bottom w:w="0" w:type="dxa"/>
              <w:right w:w="108" w:type="dxa"/>
            </w:tcMar>
            <w:hideMark/>
          </w:tcPr>
          <w:p w:rsidR="004E4A46" w:rsidRPr="00E83891" w:rsidRDefault="004E4A46">
            <w:pPr>
              <w:jc w:val="center"/>
              <w:rPr>
                <w:b/>
                <w:bCs/>
              </w:rPr>
            </w:pPr>
            <w:r w:rsidRPr="00E83891">
              <w:rPr>
                <w:b/>
                <w:bCs/>
              </w:rPr>
              <w:t>Key Stakeholders</w:t>
            </w:r>
          </w:p>
        </w:tc>
      </w:tr>
      <w:tr w:rsidR="00E83891" w:rsidRPr="00E83891" w:rsidTr="004E4A46">
        <w:trPr>
          <w:trHeight w:val="350"/>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Partners</w:t>
            </w:r>
          </w:p>
        </w:tc>
        <w:tc>
          <w:tcPr>
            <w:tcW w:w="7905" w:type="dxa"/>
            <w:gridSpan w:val="2"/>
            <w:tcBorders>
              <w:top w:val="nil"/>
              <w:left w:val="nil"/>
              <w:bottom w:val="single" w:sz="8" w:space="0" w:color="auto"/>
              <w:right w:val="single" w:sz="8" w:space="0" w:color="000000"/>
            </w:tcBorders>
            <w:shd w:val="clear" w:color="auto" w:fill="FFFFFF"/>
            <w:tcMar>
              <w:top w:w="0" w:type="dxa"/>
              <w:left w:w="108" w:type="dxa"/>
              <w:bottom w:w="0" w:type="dxa"/>
              <w:right w:w="108" w:type="dxa"/>
            </w:tcMar>
            <w:hideMark/>
          </w:tcPr>
          <w:p w:rsidR="004E4A46" w:rsidRPr="00E83891" w:rsidRDefault="004E4A46">
            <w:r w:rsidRPr="00E83891">
              <w:t xml:space="preserve">CPB, USCG, NIMO, </w:t>
            </w:r>
          </w:p>
        </w:tc>
      </w:tr>
      <w:tr w:rsidR="00E83891" w:rsidRPr="00E83891" w:rsidTr="004E4A46">
        <w:trPr>
          <w:trHeight w:val="350"/>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Producers</w:t>
            </w:r>
          </w:p>
        </w:tc>
        <w:tc>
          <w:tcPr>
            <w:tcW w:w="7905" w:type="dxa"/>
            <w:gridSpan w:val="2"/>
            <w:tcBorders>
              <w:top w:val="nil"/>
              <w:left w:val="nil"/>
              <w:bottom w:val="single" w:sz="8" w:space="0" w:color="auto"/>
              <w:right w:val="single" w:sz="8" w:space="0" w:color="000000"/>
            </w:tcBorders>
            <w:shd w:val="clear" w:color="auto" w:fill="FFFFFF"/>
            <w:tcMar>
              <w:top w:w="0" w:type="dxa"/>
              <w:left w:w="108" w:type="dxa"/>
              <w:bottom w:w="0" w:type="dxa"/>
              <w:right w:w="108" w:type="dxa"/>
            </w:tcMar>
            <w:hideMark/>
          </w:tcPr>
          <w:p w:rsidR="004E4A46" w:rsidRPr="00E83891" w:rsidRDefault="004E4A46">
            <w:r w:rsidRPr="00E83891">
              <w:t xml:space="preserve">Port authorities, and Maritime </w:t>
            </w:r>
          </w:p>
        </w:tc>
      </w:tr>
      <w:tr w:rsidR="00E83891" w:rsidRPr="00E83891" w:rsidTr="004E4A46">
        <w:trPr>
          <w:trHeight w:val="350"/>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Consumers</w:t>
            </w:r>
          </w:p>
        </w:tc>
        <w:tc>
          <w:tcPr>
            <w:tcW w:w="7905" w:type="dxa"/>
            <w:gridSpan w:val="2"/>
            <w:tcBorders>
              <w:top w:val="nil"/>
              <w:left w:val="nil"/>
              <w:bottom w:val="single" w:sz="8" w:space="0" w:color="auto"/>
              <w:right w:val="single" w:sz="8" w:space="0" w:color="000000"/>
            </w:tcBorders>
            <w:shd w:val="clear" w:color="auto" w:fill="FFFFFF"/>
            <w:tcMar>
              <w:top w:w="0" w:type="dxa"/>
              <w:left w:w="108" w:type="dxa"/>
              <w:bottom w:w="0" w:type="dxa"/>
              <w:right w:w="108" w:type="dxa"/>
            </w:tcMar>
            <w:hideMark/>
          </w:tcPr>
          <w:p w:rsidR="004E4A46" w:rsidRPr="00E83891" w:rsidRDefault="004E4A46">
            <w:r w:rsidRPr="00E83891">
              <w:t>State and local authorities, fire and police</w:t>
            </w:r>
          </w:p>
        </w:tc>
      </w:tr>
      <w:tr w:rsidR="00E83891" w:rsidRPr="00E83891" w:rsidTr="004E4A46">
        <w:trPr>
          <w:trHeight w:val="152"/>
        </w:trPr>
        <w:tc>
          <w:tcPr>
            <w:tcW w:w="9441" w:type="dxa"/>
            <w:gridSpan w:val="3"/>
            <w:tcBorders>
              <w:top w:val="nil"/>
              <w:left w:val="single" w:sz="8" w:space="0" w:color="auto"/>
              <w:bottom w:val="single" w:sz="8" w:space="0" w:color="auto"/>
              <w:right w:val="single" w:sz="8" w:space="0" w:color="000000"/>
            </w:tcBorders>
            <w:shd w:val="clear" w:color="auto" w:fill="44546A"/>
            <w:tcMar>
              <w:top w:w="0" w:type="dxa"/>
              <w:left w:w="108" w:type="dxa"/>
              <w:bottom w:w="0" w:type="dxa"/>
              <w:right w:w="108" w:type="dxa"/>
            </w:tcMar>
            <w:hideMark/>
          </w:tcPr>
          <w:p w:rsidR="004E4A46" w:rsidRPr="00E83891" w:rsidRDefault="004E4A46">
            <w:pPr>
              <w:jc w:val="center"/>
              <w:rPr>
                <w:b/>
                <w:bCs/>
              </w:rPr>
            </w:pPr>
            <w:r w:rsidRPr="00E83891">
              <w:rPr>
                <w:b/>
                <w:bCs/>
              </w:rPr>
              <w:t>Scenario Details</w:t>
            </w:r>
          </w:p>
        </w:tc>
      </w:tr>
      <w:tr w:rsidR="00E83891" w:rsidRPr="00E83891" w:rsidTr="004E4A46">
        <w:trPr>
          <w:trHeight w:val="60"/>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Assumptions</w:t>
            </w:r>
          </w:p>
        </w:tc>
        <w:tc>
          <w:tcPr>
            <w:tcW w:w="7905" w:type="dxa"/>
            <w:gridSpan w:val="2"/>
            <w:tcBorders>
              <w:top w:val="nil"/>
              <w:left w:val="nil"/>
              <w:bottom w:val="single" w:sz="8" w:space="0" w:color="auto"/>
              <w:right w:val="single" w:sz="8" w:space="0" w:color="000000"/>
            </w:tcBorders>
            <w:shd w:val="clear" w:color="auto" w:fill="FFFFFF"/>
            <w:tcMar>
              <w:top w:w="0" w:type="dxa"/>
              <w:left w:w="108" w:type="dxa"/>
              <w:bottom w:w="0" w:type="dxa"/>
              <w:right w:w="108" w:type="dxa"/>
            </w:tcMar>
            <w:hideMark/>
          </w:tcPr>
          <w:p w:rsidR="004E4A46" w:rsidRPr="00E83891" w:rsidRDefault="004E4A46">
            <w:r w:rsidRPr="00E83891">
              <w:t>Given the scenario des</w:t>
            </w:r>
            <w:r w:rsidR="00E83891">
              <w:t>cription, a successful nuclear </w:t>
            </w:r>
            <w:r w:rsidRPr="00E83891">
              <w:t>terrorist attack on a U.S. seaport has been estimated to result in “disruption of U.S. trade valued at $100-200 billion, property damage of $50-500 billion, and 50,000-1,000,000 lives.”</w:t>
            </w:r>
            <w:r w:rsidR="00E83891">
              <w:t xml:space="preserve"> Use of NIEM, use of STIX</w:t>
            </w:r>
          </w:p>
        </w:tc>
      </w:tr>
      <w:tr w:rsidR="00E83891" w:rsidRPr="00E83891" w:rsidTr="004E4A46">
        <w:trPr>
          <w:trHeight w:val="530"/>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Exchange Scenario</w:t>
            </w:r>
          </w:p>
        </w:tc>
        <w:tc>
          <w:tcPr>
            <w:tcW w:w="7905"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4E4A46" w:rsidRPr="00E83891" w:rsidRDefault="004E4A46">
            <w:r w:rsidRPr="00E83891">
              <w:t>XXXXXXXXXXXXXXX – Need specific information exchanges</w:t>
            </w:r>
          </w:p>
          <w:p w:rsidR="004E4A46" w:rsidRPr="00E83891" w:rsidRDefault="004E4A46">
            <w:r w:rsidRPr="00E83891">
              <w:t>Through a critical review of</w:t>
            </w:r>
            <w:r w:rsidR="00E83891">
              <w:t xml:space="preserve"> the as-is model of information </w:t>
            </w:r>
            <w:r w:rsidRPr="00E83891">
              <w:t>flow that enables the cargo movement workflow, we uncovered</w:t>
            </w:r>
            <w:r w:rsidR="00E83891">
              <w:t xml:space="preserve"> </w:t>
            </w:r>
            <w:r w:rsidRPr="00E83891">
              <w:t>information dependencies among different operational divisions</w:t>
            </w:r>
            <w:r w:rsidR="00E83891">
              <w:t xml:space="preserve"> </w:t>
            </w:r>
            <w:r w:rsidRPr="00E83891">
              <w:t>at the terminal (e.g., security and operations) as well as between</w:t>
            </w:r>
            <w:r w:rsidR="00E83891">
              <w:t xml:space="preserve"> </w:t>
            </w:r>
            <w:r w:rsidRPr="00E83891">
              <w:t xml:space="preserve">the terminal and outside agencies. </w:t>
            </w:r>
          </w:p>
        </w:tc>
      </w:tr>
      <w:tr w:rsidR="00E83891" w:rsidRPr="00E83891" w:rsidTr="004E4A46">
        <w:trPr>
          <w:trHeight w:val="115"/>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Business Rules</w:t>
            </w:r>
          </w:p>
        </w:tc>
        <w:tc>
          <w:tcPr>
            <w:tcW w:w="7905" w:type="dxa"/>
            <w:gridSpan w:val="2"/>
            <w:tcBorders>
              <w:top w:val="nil"/>
              <w:left w:val="nil"/>
              <w:bottom w:val="single" w:sz="8" w:space="0" w:color="auto"/>
              <w:right w:val="single" w:sz="8" w:space="0" w:color="000000"/>
            </w:tcBorders>
            <w:tcMar>
              <w:top w:w="0" w:type="dxa"/>
              <w:left w:w="108" w:type="dxa"/>
              <w:bottom w:w="0" w:type="dxa"/>
              <w:right w:w="108" w:type="dxa"/>
            </w:tcMar>
            <w:hideMark/>
          </w:tcPr>
          <w:p w:rsidR="004E4A46" w:rsidRPr="00E83891" w:rsidRDefault="00E83891">
            <w:r>
              <w:t>TBD by stakeholders</w:t>
            </w:r>
          </w:p>
        </w:tc>
      </w:tr>
      <w:tr w:rsidR="004E4A46" w:rsidRPr="00E83891" w:rsidTr="004E4A46">
        <w:trPr>
          <w:trHeight w:val="115"/>
        </w:trPr>
        <w:tc>
          <w:tcPr>
            <w:tcW w:w="1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4A46" w:rsidRDefault="004E4A46">
            <w:pPr>
              <w:rPr>
                <w:b/>
                <w:bCs/>
              </w:rPr>
            </w:pPr>
            <w:r>
              <w:rPr>
                <w:b/>
                <w:bCs/>
              </w:rPr>
              <w:t>Mapping to ESSA’s Enduring Functional Exchanges (EFE)</w:t>
            </w:r>
          </w:p>
        </w:tc>
        <w:tc>
          <w:tcPr>
            <w:tcW w:w="7905" w:type="dxa"/>
            <w:gridSpan w:val="2"/>
            <w:tcBorders>
              <w:top w:val="nil"/>
              <w:left w:val="nil"/>
              <w:bottom w:val="single" w:sz="8" w:space="0" w:color="auto"/>
              <w:right w:val="single" w:sz="8" w:space="0" w:color="000000"/>
            </w:tcBorders>
            <w:tcMar>
              <w:top w:w="0" w:type="dxa"/>
              <w:left w:w="108" w:type="dxa"/>
              <w:bottom w:w="0" w:type="dxa"/>
              <w:right w:w="108" w:type="dxa"/>
            </w:tcMar>
            <w:hideMark/>
          </w:tcPr>
          <w:p w:rsidR="004E4A46" w:rsidRPr="00E83891" w:rsidRDefault="004E4A46">
            <w:r w:rsidRPr="00E83891">
              <w:t xml:space="preserve">Refer to the ESSA identified Enduring Functional Exchanges [(1) Configuration/Anomaly Reporting; (2) Knowledge of Threat Actors; (3) Incident Awareness; (4) Indicators and Warnings; (5) Vulnerability Knowledge; (6) Mitigation Strategies; (7) Mitigation Actions &amp; Responses]. Determine which EFE’s (1 thru 7) might be used during the scenario based upon the scenario’s participants.  Each participant’s mission-specific operations will guide how many, and how much of each functions they are able to perform.   </w:t>
            </w:r>
          </w:p>
        </w:tc>
      </w:tr>
      <w:tr w:rsidR="004E4A46" w:rsidTr="004E4A46">
        <w:trPr>
          <w:trHeight w:val="152"/>
        </w:trPr>
        <w:tc>
          <w:tcPr>
            <w:tcW w:w="9441" w:type="dxa"/>
            <w:gridSpan w:val="3"/>
            <w:tcBorders>
              <w:top w:val="nil"/>
              <w:left w:val="single" w:sz="8" w:space="0" w:color="auto"/>
              <w:bottom w:val="single" w:sz="8" w:space="0" w:color="FFFFFF"/>
              <w:right w:val="single" w:sz="8" w:space="0" w:color="auto"/>
            </w:tcBorders>
            <w:shd w:val="clear" w:color="auto" w:fill="44546A"/>
            <w:tcMar>
              <w:top w:w="0" w:type="dxa"/>
              <w:left w:w="108" w:type="dxa"/>
              <w:bottom w:w="0" w:type="dxa"/>
              <w:right w:w="108" w:type="dxa"/>
            </w:tcMar>
            <w:hideMark/>
          </w:tcPr>
          <w:p w:rsidR="004E4A46" w:rsidRDefault="004E4A46">
            <w:pPr>
              <w:jc w:val="center"/>
              <w:rPr>
                <w:color w:val="FFFFFF"/>
              </w:rPr>
            </w:pPr>
            <w:r>
              <w:rPr>
                <w:color w:val="FFFFFF"/>
              </w:rPr>
              <w:t>Data Elements</w:t>
            </w:r>
          </w:p>
        </w:tc>
      </w:tr>
      <w:tr w:rsidR="004E4A46" w:rsidTr="004E4A46">
        <w:trPr>
          <w:trHeight w:val="50"/>
        </w:trPr>
        <w:tc>
          <w:tcPr>
            <w:tcW w:w="1536" w:type="dxa"/>
            <w:tcBorders>
              <w:top w:val="nil"/>
              <w:left w:val="single" w:sz="8" w:space="0" w:color="auto"/>
              <w:bottom w:val="single" w:sz="8" w:space="0" w:color="auto"/>
              <w:right w:val="single" w:sz="8" w:space="0" w:color="auto"/>
            </w:tcBorders>
            <w:shd w:val="clear" w:color="auto" w:fill="44546A"/>
            <w:tcMar>
              <w:top w:w="0" w:type="dxa"/>
              <w:left w:w="108" w:type="dxa"/>
              <w:bottom w:w="0" w:type="dxa"/>
              <w:right w:w="108" w:type="dxa"/>
            </w:tcMar>
            <w:hideMark/>
          </w:tcPr>
          <w:p w:rsidR="004E4A46" w:rsidRDefault="004E4A46">
            <w:pPr>
              <w:jc w:val="center"/>
              <w:rPr>
                <w:color w:val="FFFFFF"/>
              </w:rPr>
            </w:pPr>
            <w:r>
              <w:rPr>
                <w:color w:val="FFFFFF"/>
              </w:rPr>
              <w:t>Action</w:t>
            </w:r>
          </w:p>
        </w:tc>
        <w:tc>
          <w:tcPr>
            <w:tcW w:w="3815" w:type="dxa"/>
            <w:tcBorders>
              <w:top w:val="nil"/>
              <w:left w:val="nil"/>
              <w:bottom w:val="single" w:sz="8" w:space="0" w:color="auto"/>
              <w:right w:val="single" w:sz="8" w:space="0" w:color="auto"/>
            </w:tcBorders>
            <w:shd w:val="clear" w:color="auto" w:fill="44546A"/>
            <w:noWrap/>
            <w:tcMar>
              <w:top w:w="0" w:type="dxa"/>
              <w:left w:w="108" w:type="dxa"/>
              <w:bottom w:w="0" w:type="dxa"/>
              <w:right w:w="108" w:type="dxa"/>
            </w:tcMar>
            <w:hideMark/>
          </w:tcPr>
          <w:p w:rsidR="004E4A46" w:rsidRDefault="004E4A46">
            <w:pPr>
              <w:jc w:val="center"/>
              <w:rPr>
                <w:color w:val="FFFFFF"/>
              </w:rPr>
            </w:pPr>
            <w:r>
              <w:rPr>
                <w:color w:val="FFFFFF"/>
              </w:rPr>
              <w:t>Data Elements</w:t>
            </w:r>
          </w:p>
        </w:tc>
        <w:tc>
          <w:tcPr>
            <w:tcW w:w="4090" w:type="dxa"/>
            <w:tcBorders>
              <w:top w:val="nil"/>
              <w:left w:val="nil"/>
              <w:bottom w:val="single" w:sz="8" w:space="0" w:color="auto"/>
              <w:right w:val="single" w:sz="8" w:space="0" w:color="auto"/>
            </w:tcBorders>
            <w:shd w:val="clear" w:color="auto" w:fill="44546A"/>
            <w:noWrap/>
            <w:tcMar>
              <w:top w:w="0" w:type="dxa"/>
              <w:left w:w="108" w:type="dxa"/>
              <w:bottom w:w="0" w:type="dxa"/>
              <w:right w:w="108" w:type="dxa"/>
            </w:tcMar>
            <w:hideMark/>
          </w:tcPr>
          <w:p w:rsidR="004E4A46" w:rsidRDefault="004E4A46">
            <w:pPr>
              <w:jc w:val="center"/>
              <w:rPr>
                <w:color w:val="FFFFFF"/>
              </w:rPr>
            </w:pPr>
            <w:r>
              <w:rPr>
                <w:color w:val="FFFFFF"/>
              </w:rPr>
              <w:t>Definitions</w:t>
            </w:r>
          </w:p>
        </w:tc>
      </w:tr>
      <w:tr w:rsidR="004E4A46" w:rsidTr="004E4A46">
        <w:trPr>
          <w:trHeight w:val="50"/>
        </w:trPr>
        <w:tc>
          <w:tcPr>
            <w:tcW w:w="15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E4A46" w:rsidRDefault="004E4A46">
            <w:pPr>
              <w:jc w:val="center"/>
              <w:rPr>
                <w:color w:val="FFFFFF"/>
              </w:rPr>
            </w:pPr>
          </w:p>
        </w:tc>
        <w:tc>
          <w:tcPr>
            <w:tcW w:w="381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tcPr>
          <w:p w:rsidR="004E4A46" w:rsidRDefault="004E4A46">
            <w:pPr>
              <w:jc w:val="center"/>
              <w:rPr>
                <w:color w:val="FFFFFF"/>
              </w:rPr>
            </w:pPr>
          </w:p>
        </w:tc>
        <w:tc>
          <w:tcPr>
            <w:tcW w:w="409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tcPr>
          <w:p w:rsidR="004E4A46" w:rsidRDefault="004E4A46">
            <w:pPr>
              <w:jc w:val="center"/>
              <w:rPr>
                <w:color w:val="FFFFFF"/>
              </w:rPr>
            </w:pPr>
          </w:p>
        </w:tc>
      </w:tr>
      <w:tr w:rsidR="004E4A46" w:rsidTr="004E4A46">
        <w:trPr>
          <w:trHeight w:val="314"/>
        </w:trPr>
        <w:tc>
          <w:tcPr>
            <w:tcW w:w="944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4A46" w:rsidRDefault="004E4A46">
            <w:r>
              <w:t xml:space="preserve">Additional Information: </w:t>
            </w:r>
          </w:p>
        </w:tc>
      </w:tr>
    </w:tbl>
    <w:p w:rsidR="004E4A46" w:rsidRPr="001618A3" w:rsidRDefault="006B6745" w:rsidP="00C17CD4">
      <w:r>
        <w:br w:type="page"/>
      </w:r>
    </w:p>
    <w:p w:rsidR="004E4A46" w:rsidRDefault="004E4A46" w:rsidP="004E4A46">
      <w:pPr>
        <w:pStyle w:val="Heading2"/>
        <w:rPr>
          <w:highlight w:val="yellow"/>
        </w:rPr>
      </w:pPr>
    </w:p>
    <w:p w:rsidR="00C17CD4" w:rsidRPr="00C17CD4" w:rsidRDefault="00C17CD4" w:rsidP="00C17CD4">
      <w:pPr>
        <w:rPr>
          <w:sz w:val="22"/>
        </w:rPr>
      </w:pPr>
      <w:r w:rsidRPr="00C17CD4">
        <w:rPr>
          <w:sz w:val="22"/>
          <w:highlight w:val="yellow"/>
        </w:rPr>
        <w:t>Narrative</w:t>
      </w:r>
    </w:p>
    <w:p w:rsidR="00C17CD4" w:rsidRPr="00C17CD4" w:rsidRDefault="00C17CD4" w:rsidP="00C17CD4"/>
    <w:p w:rsidR="00C17CD4" w:rsidRDefault="00C17CD4">
      <w:pPr>
        <w:rPr>
          <w:sz w:val="22"/>
          <w:szCs w:val="22"/>
        </w:rPr>
      </w:pPr>
    </w:p>
    <w:tbl>
      <w:tblPr>
        <w:tblW w:w="9441" w:type="dxa"/>
        <w:tblInd w:w="93" w:type="dxa"/>
        <w:tblLook w:val="04A0" w:firstRow="1" w:lastRow="0" w:firstColumn="1" w:lastColumn="0" w:noHBand="0" w:noVBand="1"/>
      </w:tblPr>
      <w:tblGrid>
        <w:gridCol w:w="1536"/>
        <w:gridCol w:w="3815"/>
        <w:gridCol w:w="4090"/>
      </w:tblGrid>
      <w:tr w:rsidR="00D60829" w:rsidRPr="000C1ECF" w:rsidTr="00D60829">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D60829" w:rsidRPr="00C2123A" w:rsidRDefault="00D60829" w:rsidP="00D60829">
            <w:pPr>
              <w:jc w:val="center"/>
              <w:rPr>
                <w:color w:val="FFFFFF" w:themeColor="background1"/>
              </w:rPr>
            </w:pPr>
            <w:r w:rsidRPr="00C2123A">
              <w:rPr>
                <w:color w:val="FFFFFF" w:themeColor="background1"/>
              </w:rPr>
              <w:t>Use Case</w:t>
            </w:r>
            <w:r>
              <w:rPr>
                <w:color w:val="FFFFFF" w:themeColor="background1"/>
              </w:rPr>
              <w:t xml:space="preserve"> #1</w:t>
            </w:r>
            <w:r w:rsidR="004E4A46">
              <w:rPr>
                <w:color w:val="FFFFFF" w:themeColor="background1"/>
              </w:rPr>
              <w:t>4</w:t>
            </w:r>
          </w:p>
        </w:tc>
      </w:tr>
      <w:tr w:rsidR="00D60829" w:rsidRPr="000C1ECF" w:rsidTr="00D60829">
        <w:trPr>
          <w:trHeight w:val="88"/>
        </w:trPr>
        <w:tc>
          <w:tcPr>
            <w:tcW w:w="1536" w:type="dxa"/>
            <w:tcBorders>
              <w:top w:val="single" w:sz="8" w:space="0" w:color="auto"/>
              <w:left w:val="single" w:sz="8" w:space="0" w:color="auto"/>
              <w:bottom w:val="single" w:sz="4" w:space="0" w:color="auto"/>
              <w:right w:val="single" w:sz="8" w:space="0" w:color="auto"/>
            </w:tcBorders>
          </w:tcPr>
          <w:p w:rsidR="00D60829" w:rsidRPr="00C2123A" w:rsidRDefault="00D60829" w:rsidP="00D60829">
            <w:r w:rsidRPr="00C2123A">
              <w:t>Title</w:t>
            </w:r>
          </w:p>
        </w:tc>
        <w:tc>
          <w:tcPr>
            <w:tcW w:w="7905" w:type="dxa"/>
            <w:gridSpan w:val="2"/>
            <w:tcBorders>
              <w:top w:val="single" w:sz="4" w:space="0" w:color="auto"/>
              <w:left w:val="nil"/>
              <w:bottom w:val="single" w:sz="4" w:space="0" w:color="auto"/>
              <w:right w:val="single" w:sz="8" w:space="0" w:color="000000"/>
            </w:tcBorders>
          </w:tcPr>
          <w:p w:rsidR="00D60829" w:rsidRPr="00F5451B" w:rsidRDefault="00D60829" w:rsidP="00D60829">
            <w:r w:rsidRPr="00F5451B">
              <w:t>State Cybercrime Investigation</w:t>
            </w:r>
          </w:p>
        </w:tc>
      </w:tr>
      <w:tr w:rsidR="00D60829" w:rsidRPr="000C1ECF" w:rsidTr="00D60829">
        <w:trPr>
          <w:trHeight w:val="50"/>
        </w:trPr>
        <w:tc>
          <w:tcPr>
            <w:tcW w:w="1536" w:type="dxa"/>
            <w:tcBorders>
              <w:top w:val="single" w:sz="8" w:space="0" w:color="auto"/>
              <w:left w:val="single" w:sz="8" w:space="0" w:color="auto"/>
              <w:bottom w:val="single" w:sz="4" w:space="0" w:color="auto"/>
              <w:right w:val="single" w:sz="8" w:space="0" w:color="auto"/>
            </w:tcBorders>
          </w:tcPr>
          <w:p w:rsidR="00D60829" w:rsidRPr="00C2123A" w:rsidRDefault="00D60829" w:rsidP="00D60829">
            <w:r w:rsidRPr="00C2123A">
              <w:t>Category</w:t>
            </w:r>
          </w:p>
        </w:tc>
        <w:tc>
          <w:tcPr>
            <w:tcW w:w="7905" w:type="dxa"/>
            <w:gridSpan w:val="2"/>
            <w:tcBorders>
              <w:top w:val="single" w:sz="4" w:space="0" w:color="auto"/>
              <w:left w:val="nil"/>
              <w:bottom w:val="single" w:sz="4" w:space="0" w:color="auto"/>
              <w:right w:val="single" w:sz="8" w:space="0" w:color="000000"/>
            </w:tcBorders>
          </w:tcPr>
          <w:p w:rsidR="00D60829" w:rsidRPr="00F5451B" w:rsidRDefault="00D60829" w:rsidP="00D60829">
            <w:r w:rsidRPr="00F5451B">
              <w:t>Deconfliction of (cybersecurity threat) indicators</w:t>
            </w:r>
          </w:p>
        </w:tc>
      </w:tr>
      <w:tr w:rsidR="00D60829" w:rsidRPr="000C1ECF" w:rsidTr="00D60829">
        <w:trPr>
          <w:trHeight w:val="50"/>
        </w:trPr>
        <w:tc>
          <w:tcPr>
            <w:tcW w:w="1536" w:type="dxa"/>
            <w:tcBorders>
              <w:top w:val="single" w:sz="8" w:space="0" w:color="auto"/>
              <w:left w:val="single" w:sz="8" w:space="0" w:color="auto"/>
              <w:bottom w:val="single" w:sz="4" w:space="0" w:color="auto"/>
              <w:right w:val="single" w:sz="8" w:space="0" w:color="auto"/>
            </w:tcBorders>
          </w:tcPr>
          <w:p w:rsidR="00D60829" w:rsidRPr="00C2123A" w:rsidRDefault="00D60829" w:rsidP="00D60829">
            <w:r w:rsidRPr="00C2123A">
              <w:t>Domain</w:t>
            </w:r>
          </w:p>
        </w:tc>
        <w:tc>
          <w:tcPr>
            <w:tcW w:w="7905" w:type="dxa"/>
            <w:gridSpan w:val="2"/>
            <w:tcBorders>
              <w:top w:val="single" w:sz="4" w:space="0" w:color="auto"/>
              <w:left w:val="nil"/>
              <w:bottom w:val="single" w:sz="4" w:space="0" w:color="auto"/>
              <w:right w:val="single" w:sz="8" w:space="0" w:color="000000"/>
            </w:tcBorders>
          </w:tcPr>
          <w:p w:rsidR="00D60829" w:rsidRPr="00F5451B" w:rsidRDefault="00D60829" w:rsidP="00D60829">
            <w:pPr>
              <w:pStyle w:val="ListParagraph"/>
              <w:numPr>
                <w:ilvl w:val="0"/>
                <w:numId w:val="18"/>
              </w:numPr>
              <w:rPr>
                <w:rFonts w:ascii="Times New Roman" w:hAnsi="Times New Roman"/>
                <w:sz w:val="20"/>
                <w:szCs w:val="20"/>
              </w:rPr>
            </w:pPr>
            <w:r w:rsidRPr="00F5451B">
              <w:rPr>
                <w:rFonts w:ascii="Times New Roman" w:hAnsi="Times New Roman"/>
                <w:sz w:val="20"/>
                <w:szCs w:val="20"/>
              </w:rPr>
              <w:t xml:space="preserve">Cybersecurity </w:t>
            </w:r>
          </w:p>
          <w:p w:rsidR="00D60829" w:rsidRPr="00F5451B" w:rsidRDefault="00D60829" w:rsidP="00D60829">
            <w:pPr>
              <w:pStyle w:val="ListParagraph"/>
              <w:numPr>
                <w:ilvl w:val="0"/>
                <w:numId w:val="18"/>
              </w:numPr>
              <w:rPr>
                <w:rFonts w:ascii="Times New Roman" w:hAnsi="Times New Roman"/>
                <w:sz w:val="20"/>
                <w:szCs w:val="20"/>
              </w:rPr>
            </w:pPr>
            <w:r w:rsidRPr="00F5451B">
              <w:rPr>
                <w:rFonts w:ascii="Times New Roman" w:hAnsi="Times New Roman"/>
                <w:sz w:val="20"/>
                <w:szCs w:val="20"/>
              </w:rPr>
              <w:t>Law Enforcement</w:t>
            </w:r>
          </w:p>
          <w:p w:rsidR="00D60829" w:rsidRPr="00F5451B" w:rsidRDefault="00D60829" w:rsidP="00D60829">
            <w:pPr>
              <w:pStyle w:val="ListParagraph"/>
              <w:numPr>
                <w:ilvl w:val="0"/>
                <w:numId w:val="18"/>
              </w:numPr>
              <w:rPr>
                <w:rFonts w:ascii="Times New Roman" w:hAnsi="Times New Roman"/>
                <w:sz w:val="20"/>
                <w:szCs w:val="20"/>
              </w:rPr>
            </w:pPr>
            <w:r w:rsidRPr="00F5451B">
              <w:rPr>
                <w:rFonts w:ascii="Times New Roman" w:hAnsi="Times New Roman"/>
                <w:sz w:val="20"/>
                <w:szCs w:val="20"/>
              </w:rPr>
              <w:t>Critical Infrastructure</w:t>
            </w:r>
          </w:p>
        </w:tc>
      </w:tr>
      <w:tr w:rsidR="00D60829" w:rsidRPr="000C1ECF" w:rsidTr="00D60829">
        <w:trPr>
          <w:trHeight w:val="50"/>
        </w:trPr>
        <w:tc>
          <w:tcPr>
            <w:tcW w:w="1536" w:type="dxa"/>
            <w:tcBorders>
              <w:top w:val="single" w:sz="8" w:space="0" w:color="auto"/>
              <w:left w:val="single" w:sz="8" w:space="0" w:color="auto"/>
              <w:bottom w:val="single" w:sz="4" w:space="0" w:color="auto"/>
              <w:right w:val="single" w:sz="8" w:space="0" w:color="auto"/>
            </w:tcBorders>
          </w:tcPr>
          <w:p w:rsidR="00D60829" w:rsidRPr="00C2123A" w:rsidRDefault="00D60829" w:rsidP="00D60829">
            <w:r w:rsidRPr="00C2123A">
              <w:t xml:space="preserve">Security </w:t>
            </w:r>
            <w:r>
              <w:t>Fabric</w:t>
            </w:r>
          </w:p>
          <w:p w:rsidR="00D60829" w:rsidRPr="00C2123A" w:rsidRDefault="00D60829" w:rsidP="00D60829">
            <w:r w:rsidRPr="00C2123A">
              <w:t>(e.g., U, LES, S, TS)</w:t>
            </w:r>
          </w:p>
        </w:tc>
        <w:tc>
          <w:tcPr>
            <w:tcW w:w="7905" w:type="dxa"/>
            <w:gridSpan w:val="2"/>
            <w:tcBorders>
              <w:top w:val="single" w:sz="4" w:space="0" w:color="auto"/>
              <w:left w:val="nil"/>
              <w:bottom w:val="single" w:sz="4" w:space="0" w:color="auto"/>
              <w:right w:val="single" w:sz="8" w:space="0" w:color="000000"/>
            </w:tcBorders>
          </w:tcPr>
          <w:p w:rsidR="00D60829" w:rsidRPr="00F5451B" w:rsidRDefault="00D60829" w:rsidP="00D60829">
            <w:r w:rsidRPr="00F5451B">
              <w:t>U, LES, S</w:t>
            </w:r>
          </w:p>
        </w:tc>
      </w:tr>
      <w:tr w:rsidR="00D60829" w:rsidRPr="000C1ECF" w:rsidTr="00D60829">
        <w:trPr>
          <w:trHeight w:val="493"/>
        </w:trPr>
        <w:tc>
          <w:tcPr>
            <w:tcW w:w="1536" w:type="dxa"/>
            <w:tcBorders>
              <w:top w:val="single" w:sz="8" w:space="0" w:color="auto"/>
              <w:left w:val="single" w:sz="8" w:space="0" w:color="auto"/>
              <w:bottom w:val="single" w:sz="4" w:space="0" w:color="auto"/>
              <w:right w:val="single" w:sz="8" w:space="0" w:color="auto"/>
            </w:tcBorders>
            <w:hideMark/>
          </w:tcPr>
          <w:p w:rsidR="00D60829" w:rsidRPr="00C2123A" w:rsidRDefault="00D60829" w:rsidP="00D60829">
            <w:r w:rsidRPr="00C2123A">
              <w:t>Scenario Description</w:t>
            </w:r>
          </w:p>
        </w:tc>
        <w:tc>
          <w:tcPr>
            <w:tcW w:w="7905" w:type="dxa"/>
            <w:gridSpan w:val="2"/>
            <w:tcBorders>
              <w:top w:val="single" w:sz="4" w:space="0" w:color="auto"/>
              <w:left w:val="nil"/>
              <w:bottom w:val="single" w:sz="4" w:space="0" w:color="auto"/>
              <w:right w:val="single" w:sz="8" w:space="0" w:color="000000"/>
            </w:tcBorders>
          </w:tcPr>
          <w:p w:rsidR="00D60829" w:rsidRPr="00F5451B" w:rsidRDefault="00D60829" w:rsidP="00D60829">
            <w:r w:rsidRPr="00F5451B">
              <w:t>Cybercrime investigation at the state level develops law enforcement sensitive information around specific cybersecurity indicators. Current professional best practice is to deconflict both operational activity (location/event) as well as case entity. This is well developed around people and person centric indicators. As these indicators existing in cyberspace, there is a pressing need to interoperate.</w:t>
            </w:r>
          </w:p>
        </w:tc>
      </w:tr>
      <w:tr w:rsidR="00D60829" w:rsidRPr="000C1ECF" w:rsidTr="00D60829">
        <w:trPr>
          <w:trHeight w:val="530"/>
        </w:trPr>
        <w:tc>
          <w:tcPr>
            <w:tcW w:w="1536" w:type="dxa"/>
            <w:tcBorders>
              <w:top w:val="single" w:sz="4" w:space="0" w:color="auto"/>
              <w:left w:val="single" w:sz="8" w:space="0" w:color="auto"/>
              <w:bottom w:val="single" w:sz="4" w:space="0" w:color="auto"/>
              <w:right w:val="single" w:sz="8" w:space="0" w:color="000000"/>
            </w:tcBorders>
            <w:shd w:val="clear" w:color="auto" w:fill="FFFFFF" w:themeFill="background1"/>
          </w:tcPr>
          <w:p w:rsidR="00D60829" w:rsidRPr="00C2123A" w:rsidRDefault="00D60829" w:rsidP="00D60829">
            <w:r w:rsidRPr="00C2123A">
              <w:rPr>
                <w:rFonts w:eastAsia="MS Gothic"/>
              </w:rPr>
              <w:t>COIs</w:t>
            </w:r>
          </w:p>
        </w:tc>
        <w:tc>
          <w:tcPr>
            <w:tcW w:w="7905"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BB0EBD" w:rsidRPr="00F5451B" w:rsidRDefault="00BB0EBD" w:rsidP="00BB0EBD">
            <w:pPr>
              <w:pStyle w:val="ListParagraph"/>
              <w:numPr>
                <w:ilvl w:val="0"/>
                <w:numId w:val="19"/>
              </w:numPr>
            </w:pPr>
            <w:r w:rsidRPr="00F5451B">
              <w:rPr>
                <w:rFonts w:ascii="Times New Roman" w:hAnsi="Times New Roman"/>
                <w:sz w:val="20"/>
                <w:szCs w:val="20"/>
              </w:rPr>
              <w:t>Fed↔Fed</w:t>
            </w:r>
          </w:p>
          <w:p w:rsidR="00BB0EBD" w:rsidRPr="00F5451B" w:rsidRDefault="00BB0EBD" w:rsidP="00BB0EBD">
            <w:pPr>
              <w:pStyle w:val="ListParagraph"/>
              <w:numPr>
                <w:ilvl w:val="0"/>
                <w:numId w:val="19"/>
              </w:numPr>
            </w:pPr>
            <w:r w:rsidRPr="00F5451B">
              <w:rPr>
                <w:rFonts w:ascii="Times New Roman" w:hAnsi="Times New Roman"/>
                <w:sz w:val="20"/>
                <w:szCs w:val="20"/>
              </w:rPr>
              <w:t>Fed↔State</w:t>
            </w:r>
          </w:p>
          <w:p w:rsidR="00BB0EBD" w:rsidRPr="00F5451B" w:rsidRDefault="00BB0EBD" w:rsidP="00BB0EBD">
            <w:pPr>
              <w:pStyle w:val="ListParagraph"/>
              <w:numPr>
                <w:ilvl w:val="0"/>
                <w:numId w:val="19"/>
              </w:numPr>
            </w:pPr>
            <w:r w:rsidRPr="00F5451B">
              <w:rPr>
                <w:rFonts w:ascii="Times New Roman" w:hAnsi="Times New Roman"/>
                <w:sz w:val="20"/>
                <w:szCs w:val="20"/>
              </w:rPr>
              <w:t>Fed↔International</w:t>
            </w:r>
          </w:p>
          <w:p w:rsidR="00D60829" w:rsidRPr="00F5451B" w:rsidRDefault="00BB0EBD" w:rsidP="00BB0EBD">
            <w:pPr>
              <w:pStyle w:val="ListParagraph"/>
              <w:numPr>
                <w:ilvl w:val="0"/>
                <w:numId w:val="19"/>
              </w:numPr>
            </w:pPr>
            <w:r w:rsidRPr="00F5451B">
              <w:rPr>
                <w:rFonts w:ascii="Times New Roman" w:hAnsi="Times New Roman"/>
                <w:sz w:val="20"/>
                <w:szCs w:val="20"/>
              </w:rPr>
              <w:t>State↔State</w:t>
            </w:r>
          </w:p>
        </w:tc>
      </w:tr>
      <w:tr w:rsidR="00D60829" w:rsidRPr="000C1ECF" w:rsidTr="00D60829">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D60829" w:rsidRPr="00C2123A" w:rsidRDefault="00D60829" w:rsidP="00D60829">
            <w:pPr>
              <w:jc w:val="center"/>
              <w:rPr>
                <w:color w:val="FFFFFF" w:themeColor="background1"/>
              </w:rPr>
            </w:pPr>
            <w:r w:rsidRPr="00C2123A">
              <w:rPr>
                <w:color w:val="FFFFFF" w:themeColor="background1"/>
              </w:rPr>
              <w:t>Key Stakeholders</w:t>
            </w:r>
          </w:p>
        </w:tc>
      </w:tr>
      <w:tr w:rsidR="00D60829" w:rsidRPr="000C1ECF" w:rsidTr="00D60829">
        <w:trPr>
          <w:trHeight w:val="350"/>
        </w:trPr>
        <w:tc>
          <w:tcPr>
            <w:tcW w:w="1536" w:type="dxa"/>
            <w:tcBorders>
              <w:top w:val="single" w:sz="4" w:space="0" w:color="auto"/>
              <w:left w:val="single" w:sz="8" w:space="0" w:color="auto"/>
              <w:bottom w:val="single" w:sz="4" w:space="0" w:color="auto"/>
              <w:right w:val="single" w:sz="8" w:space="0" w:color="auto"/>
            </w:tcBorders>
          </w:tcPr>
          <w:p w:rsidR="00D60829" w:rsidRPr="000C1ECF" w:rsidRDefault="00D60829" w:rsidP="00D60829">
            <w:r>
              <w:t>Partners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D60829" w:rsidRPr="00C2123A" w:rsidRDefault="00D60829" w:rsidP="00D60829">
            <w:pPr>
              <w:pStyle w:val="ListParagraph"/>
              <w:numPr>
                <w:ilvl w:val="0"/>
                <w:numId w:val="22"/>
              </w:numPr>
              <w:spacing w:after="160" w:line="259" w:lineRule="auto"/>
              <w:rPr>
                <w:rFonts w:ascii="Times New Roman" w:hAnsi="Times New Roman"/>
                <w:sz w:val="20"/>
                <w:szCs w:val="20"/>
              </w:rPr>
            </w:pPr>
            <w:r w:rsidRPr="00C2123A">
              <w:rPr>
                <w:rFonts w:ascii="Times New Roman" w:hAnsi="Times New Roman"/>
                <w:sz w:val="20"/>
                <w:szCs w:val="20"/>
              </w:rPr>
              <w:t>SLTT Law Enforcement,</w:t>
            </w:r>
          </w:p>
          <w:p w:rsidR="00D60829" w:rsidRPr="00C2123A" w:rsidRDefault="00D60829" w:rsidP="00D60829">
            <w:pPr>
              <w:pStyle w:val="ListParagraph"/>
              <w:numPr>
                <w:ilvl w:val="0"/>
                <w:numId w:val="22"/>
              </w:numPr>
              <w:spacing w:after="160" w:line="259" w:lineRule="auto"/>
              <w:rPr>
                <w:rFonts w:ascii="Times New Roman" w:hAnsi="Times New Roman"/>
                <w:sz w:val="20"/>
                <w:szCs w:val="20"/>
              </w:rPr>
            </w:pPr>
            <w:r w:rsidRPr="00C2123A">
              <w:rPr>
                <w:rFonts w:ascii="Times New Roman" w:hAnsi="Times New Roman"/>
                <w:sz w:val="20"/>
                <w:szCs w:val="20"/>
              </w:rPr>
              <w:t>SLTT emergency management</w:t>
            </w:r>
          </w:p>
          <w:p w:rsidR="00D60829" w:rsidRPr="00C2123A" w:rsidRDefault="00D60829" w:rsidP="00D60829">
            <w:pPr>
              <w:pStyle w:val="ListParagraph"/>
              <w:numPr>
                <w:ilvl w:val="0"/>
                <w:numId w:val="22"/>
              </w:numPr>
              <w:spacing w:after="160" w:line="259" w:lineRule="auto"/>
              <w:rPr>
                <w:rFonts w:ascii="Times New Roman" w:hAnsi="Times New Roman"/>
                <w:sz w:val="20"/>
                <w:szCs w:val="20"/>
              </w:rPr>
            </w:pPr>
            <w:r w:rsidRPr="00C2123A">
              <w:rPr>
                <w:rFonts w:ascii="Times New Roman" w:hAnsi="Times New Roman"/>
                <w:sz w:val="20"/>
                <w:szCs w:val="20"/>
              </w:rPr>
              <w:t>SLTT fusion centers</w:t>
            </w:r>
          </w:p>
          <w:p w:rsidR="00D60829" w:rsidRPr="00C2123A" w:rsidRDefault="00D60829" w:rsidP="00D60829">
            <w:pPr>
              <w:pStyle w:val="ListParagraph"/>
              <w:numPr>
                <w:ilvl w:val="0"/>
                <w:numId w:val="22"/>
              </w:numPr>
              <w:spacing w:after="160" w:line="259" w:lineRule="auto"/>
              <w:rPr>
                <w:rFonts w:ascii="Times New Roman" w:hAnsi="Times New Roman"/>
                <w:sz w:val="20"/>
                <w:szCs w:val="20"/>
              </w:rPr>
            </w:pPr>
            <w:r w:rsidRPr="00C2123A">
              <w:rPr>
                <w:rFonts w:ascii="Times New Roman" w:hAnsi="Times New Roman"/>
                <w:sz w:val="20"/>
                <w:szCs w:val="20"/>
              </w:rPr>
              <w:t xml:space="preserve">FBI </w:t>
            </w:r>
          </w:p>
          <w:p w:rsidR="00D60829" w:rsidRPr="00A728DE" w:rsidRDefault="00D60829" w:rsidP="00D60829">
            <w:pPr>
              <w:pStyle w:val="ListParagraph"/>
              <w:numPr>
                <w:ilvl w:val="0"/>
                <w:numId w:val="22"/>
              </w:numPr>
              <w:spacing w:after="160" w:line="259" w:lineRule="auto"/>
            </w:pPr>
            <w:r w:rsidRPr="00C2123A">
              <w:rPr>
                <w:rFonts w:ascii="Times New Roman" w:hAnsi="Times New Roman"/>
                <w:sz w:val="20"/>
                <w:szCs w:val="20"/>
              </w:rPr>
              <w:t>CIKR/Private Sector</w:t>
            </w:r>
          </w:p>
        </w:tc>
      </w:tr>
      <w:tr w:rsidR="00D60829" w:rsidRPr="000C1ECF" w:rsidTr="00D60829">
        <w:trPr>
          <w:trHeight w:val="350"/>
        </w:trPr>
        <w:tc>
          <w:tcPr>
            <w:tcW w:w="1536" w:type="dxa"/>
            <w:tcBorders>
              <w:top w:val="single" w:sz="4" w:space="0" w:color="auto"/>
              <w:left w:val="single" w:sz="8" w:space="0" w:color="auto"/>
              <w:bottom w:val="single" w:sz="4" w:space="0" w:color="auto"/>
              <w:right w:val="single" w:sz="8" w:space="0" w:color="auto"/>
            </w:tcBorders>
          </w:tcPr>
          <w:p w:rsidR="00D60829" w:rsidRPr="00C2123A" w:rsidRDefault="00D60829" w:rsidP="00D60829">
            <w:r w:rsidRPr="00C2123A">
              <w:t>Producers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D60829" w:rsidRPr="00C2123A" w:rsidRDefault="00D60829" w:rsidP="00D60829">
            <w:pPr>
              <w:rPr>
                <w:color w:val="FF0000"/>
              </w:rPr>
            </w:pPr>
          </w:p>
        </w:tc>
      </w:tr>
      <w:tr w:rsidR="00D60829" w:rsidRPr="000C1ECF" w:rsidTr="00D60829">
        <w:trPr>
          <w:trHeight w:val="350"/>
        </w:trPr>
        <w:tc>
          <w:tcPr>
            <w:tcW w:w="1536" w:type="dxa"/>
            <w:tcBorders>
              <w:top w:val="single" w:sz="4" w:space="0" w:color="auto"/>
              <w:left w:val="single" w:sz="8" w:space="0" w:color="auto"/>
              <w:bottom w:val="single" w:sz="4" w:space="0" w:color="auto"/>
              <w:right w:val="single" w:sz="8" w:space="0" w:color="auto"/>
            </w:tcBorders>
          </w:tcPr>
          <w:p w:rsidR="00D60829" w:rsidRPr="00C2123A" w:rsidRDefault="00D60829" w:rsidP="00D60829">
            <w:r w:rsidRPr="00C2123A">
              <w:t>Consumers</w:t>
            </w:r>
          </w:p>
        </w:tc>
        <w:tc>
          <w:tcPr>
            <w:tcW w:w="7905" w:type="dxa"/>
            <w:gridSpan w:val="2"/>
            <w:tcBorders>
              <w:top w:val="single" w:sz="4" w:space="0" w:color="auto"/>
              <w:left w:val="nil"/>
              <w:bottom w:val="single" w:sz="4" w:space="0" w:color="auto"/>
              <w:right w:val="single" w:sz="8" w:space="0" w:color="000000"/>
            </w:tcBorders>
            <w:shd w:val="clear" w:color="auto" w:fill="FFFFFF"/>
          </w:tcPr>
          <w:p w:rsidR="00D60829" w:rsidRPr="00C2123A" w:rsidRDefault="00D60829" w:rsidP="00D60829">
            <w:pPr>
              <w:rPr>
                <w:color w:val="FF0000"/>
              </w:rPr>
            </w:pPr>
          </w:p>
        </w:tc>
      </w:tr>
      <w:tr w:rsidR="00D60829" w:rsidRPr="000C1ECF" w:rsidTr="00D60829">
        <w:trPr>
          <w:trHeight w:val="152"/>
        </w:trPr>
        <w:tc>
          <w:tcPr>
            <w:tcW w:w="9441" w:type="dxa"/>
            <w:gridSpan w:val="3"/>
            <w:tcBorders>
              <w:top w:val="single" w:sz="4" w:space="0" w:color="auto"/>
              <w:left w:val="single" w:sz="8" w:space="0" w:color="auto"/>
              <w:bottom w:val="single" w:sz="4" w:space="0" w:color="auto"/>
              <w:right w:val="single" w:sz="8" w:space="0" w:color="000000"/>
            </w:tcBorders>
            <w:shd w:val="clear" w:color="auto" w:fill="1F497D" w:themeFill="text2"/>
          </w:tcPr>
          <w:p w:rsidR="00D60829" w:rsidRPr="00C2123A" w:rsidRDefault="00D60829" w:rsidP="00D60829">
            <w:pPr>
              <w:jc w:val="center"/>
              <w:rPr>
                <w:color w:val="FFFFFF" w:themeColor="background1"/>
              </w:rPr>
            </w:pPr>
            <w:r>
              <w:rPr>
                <w:color w:val="FFFFFF" w:themeColor="background1"/>
              </w:rPr>
              <w:t>Scenario</w:t>
            </w:r>
            <w:r w:rsidRPr="00C2123A">
              <w:rPr>
                <w:color w:val="FFFFFF" w:themeColor="background1"/>
              </w:rPr>
              <w:t xml:space="preserve"> Details</w:t>
            </w:r>
          </w:p>
        </w:tc>
      </w:tr>
      <w:tr w:rsidR="00D60829" w:rsidRPr="000C1ECF" w:rsidTr="00D60829">
        <w:trPr>
          <w:trHeight w:val="60"/>
        </w:trPr>
        <w:tc>
          <w:tcPr>
            <w:tcW w:w="1536" w:type="dxa"/>
            <w:tcBorders>
              <w:top w:val="single" w:sz="4" w:space="0" w:color="auto"/>
              <w:left w:val="single" w:sz="8" w:space="0" w:color="auto"/>
              <w:bottom w:val="single" w:sz="4" w:space="0" w:color="auto"/>
              <w:right w:val="single" w:sz="8" w:space="0" w:color="auto"/>
            </w:tcBorders>
            <w:hideMark/>
          </w:tcPr>
          <w:p w:rsidR="00D60829" w:rsidRPr="00C2123A" w:rsidRDefault="00D60829" w:rsidP="00D60829">
            <w:r w:rsidRPr="00C2123A">
              <w:t>Assumptions</w:t>
            </w:r>
          </w:p>
        </w:tc>
        <w:tc>
          <w:tcPr>
            <w:tcW w:w="7905" w:type="dxa"/>
            <w:gridSpan w:val="2"/>
            <w:tcBorders>
              <w:top w:val="single" w:sz="4" w:space="0" w:color="auto"/>
              <w:left w:val="nil"/>
              <w:bottom w:val="single" w:sz="4" w:space="0" w:color="auto"/>
              <w:right w:val="single" w:sz="8" w:space="0" w:color="000000"/>
            </w:tcBorders>
            <w:shd w:val="clear" w:color="auto" w:fill="FFFFFF"/>
            <w:hideMark/>
          </w:tcPr>
          <w:p w:rsidR="00D60829" w:rsidRPr="000C1ECF" w:rsidRDefault="00D60829" w:rsidP="00D60829"/>
        </w:tc>
      </w:tr>
      <w:tr w:rsidR="00D60829" w:rsidRPr="000C1ECF" w:rsidTr="00D60829">
        <w:trPr>
          <w:trHeight w:val="530"/>
        </w:trPr>
        <w:tc>
          <w:tcPr>
            <w:tcW w:w="1536" w:type="dxa"/>
            <w:tcBorders>
              <w:top w:val="single" w:sz="4" w:space="0" w:color="auto"/>
              <w:left w:val="single" w:sz="8" w:space="0" w:color="auto"/>
              <w:bottom w:val="single" w:sz="8" w:space="0" w:color="auto"/>
              <w:right w:val="single" w:sz="8" w:space="0" w:color="auto"/>
            </w:tcBorders>
            <w:hideMark/>
          </w:tcPr>
          <w:p w:rsidR="00D60829" w:rsidRPr="00C2123A" w:rsidRDefault="00D60829" w:rsidP="00D60829">
            <w:r w:rsidRPr="00C2123A">
              <w:t>Exchange Scenario</w:t>
            </w:r>
          </w:p>
        </w:tc>
        <w:tc>
          <w:tcPr>
            <w:tcW w:w="7905" w:type="dxa"/>
            <w:gridSpan w:val="2"/>
            <w:tcBorders>
              <w:top w:val="single" w:sz="4" w:space="0" w:color="auto"/>
              <w:left w:val="nil"/>
              <w:bottom w:val="single" w:sz="8" w:space="0" w:color="000000"/>
              <w:right w:val="single" w:sz="8" w:space="0" w:color="000000"/>
            </w:tcBorders>
          </w:tcPr>
          <w:p w:rsidR="000F0FAF" w:rsidRPr="00421F46" w:rsidRDefault="000F0FAF" w:rsidP="00105C39">
            <w:pPr>
              <w:pStyle w:val="ListParagraph"/>
              <w:numPr>
                <w:ilvl w:val="0"/>
                <w:numId w:val="34"/>
              </w:numPr>
              <w:ind w:left="360"/>
              <w:rPr>
                <w:rFonts w:ascii="Times New Roman" w:hAnsi="Times New Roman"/>
                <w:sz w:val="20"/>
                <w:szCs w:val="20"/>
              </w:rPr>
            </w:pPr>
            <w:r w:rsidRPr="00421F46">
              <w:rPr>
                <w:rFonts w:ascii="Times New Roman" w:hAnsi="Times New Roman"/>
                <w:sz w:val="20"/>
                <w:szCs w:val="20"/>
              </w:rPr>
              <w:t>Local music/software companies report unauthorized downloads of music/software from a specific collection of IP addresses</w:t>
            </w:r>
          </w:p>
          <w:p w:rsidR="00B7449C" w:rsidRPr="00421F46" w:rsidRDefault="000F0FAF" w:rsidP="00105C39">
            <w:pPr>
              <w:pStyle w:val="ListParagraph"/>
              <w:numPr>
                <w:ilvl w:val="0"/>
                <w:numId w:val="34"/>
              </w:numPr>
              <w:ind w:left="360"/>
              <w:rPr>
                <w:rFonts w:ascii="Times New Roman" w:hAnsi="Times New Roman"/>
                <w:sz w:val="20"/>
                <w:szCs w:val="20"/>
              </w:rPr>
            </w:pPr>
            <w:r w:rsidRPr="00421F46">
              <w:rPr>
                <w:rFonts w:ascii="Times New Roman" w:hAnsi="Times New Roman"/>
                <w:sz w:val="20"/>
                <w:szCs w:val="20"/>
              </w:rPr>
              <w:t xml:space="preserve">State Police and FBI review these IP addresses and identify similar IP addresses </w:t>
            </w:r>
            <w:r w:rsidR="00B7449C" w:rsidRPr="00421F46">
              <w:rPr>
                <w:rFonts w:ascii="Times New Roman" w:hAnsi="Times New Roman"/>
                <w:sz w:val="20"/>
                <w:szCs w:val="20"/>
              </w:rPr>
              <w:t>used in other states also</w:t>
            </w:r>
          </w:p>
          <w:p w:rsidR="00B7449C" w:rsidRPr="00421F46" w:rsidRDefault="00B7449C" w:rsidP="00105C39">
            <w:pPr>
              <w:pStyle w:val="ListParagraph"/>
              <w:numPr>
                <w:ilvl w:val="0"/>
                <w:numId w:val="34"/>
              </w:numPr>
              <w:ind w:left="360"/>
              <w:rPr>
                <w:rFonts w:ascii="Times New Roman" w:hAnsi="Times New Roman"/>
                <w:sz w:val="20"/>
                <w:szCs w:val="20"/>
              </w:rPr>
            </w:pPr>
            <w:r w:rsidRPr="00421F46">
              <w:rPr>
                <w:rFonts w:ascii="Times New Roman" w:hAnsi="Times New Roman"/>
                <w:sz w:val="20"/>
                <w:szCs w:val="20"/>
              </w:rPr>
              <w:t>The National Cyber centers report same IP addresses also logged attempting to infilterate a large defense contractor looking for designs for the latest F35 fighter jet</w:t>
            </w:r>
          </w:p>
          <w:p w:rsidR="00B7449C" w:rsidRPr="00421F46" w:rsidRDefault="00B7449C" w:rsidP="00105C39">
            <w:pPr>
              <w:pStyle w:val="ListParagraph"/>
              <w:numPr>
                <w:ilvl w:val="0"/>
                <w:numId w:val="34"/>
              </w:numPr>
              <w:ind w:left="360"/>
              <w:rPr>
                <w:rFonts w:ascii="Times New Roman" w:hAnsi="Times New Roman"/>
                <w:sz w:val="20"/>
                <w:szCs w:val="20"/>
              </w:rPr>
            </w:pPr>
            <w:r w:rsidRPr="00421F46">
              <w:rPr>
                <w:rFonts w:ascii="Times New Roman" w:hAnsi="Times New Roman"/>
                <w:sz w:val="20"/>
                <w:szCs w:val="20"/>
              </w:rPr>
              <w:t>Infraguard reports the IP address popping up in a number of chat rooms with malicious propaganda</w:t>
            </w:r>
          </w:p>
          <w:p w:rsidR="00B7449C" w:rsidRPr="00421F46" w:rsidRDefault="00B7449C" w:rsidP="00105C39">
            <w:pPr>
              <w:pStyle w:val="ListParagraph"/>
              <w:numPr>
                <w:ilvl w:val="0"/>
                <w:numId w:val="34"/>
              </w:numPr>
              <w:ind w:left="360"/>
              <w:rPr>
                <w:rFonts w:ascii="Times New Roman" w:hAnsi="Times New Roman"/>
                <w:sz w:val="20"/>
                <w:szCs w:val="20"/>
              </w:rPr>
            </w:pPr>
            <w:r w:rsidRPr="00421F46">
              <w:rPr>
                <w:rFonts w:ascii="Times New Roman" w:hAnsi="Times New Roman"/>
                <w:sz w:val="20"/>
                <w:szCs w:val="20"/>
              </w:rPr>
              <w:t>DHS S&amp;T reports a number of new RFIs initiated about these same IP addresses</w:t>
            </w:r>
          </w:p>
          <w:p w:rsidR="00D60829" w:rsidRPr="00421F46" w:rsidRDefault="00B7449C" w:rsidP="00421F46">
            <w:pPr>
              <w:pStyle w:val="ListParagraph"/>
              <w:numPr>
                <w:ilvl w:val="0"/>
                <w:numId w:val="34"/>
              </w:numPr>
              <w:ind w:left="360"/>
              <w:rPr>
                <w:rFonts w:ascii="Times New Roman" w:hAnsi="Times New Roman"/>
                <w:sz w:val="20"/>
                <w:szCs w:val="20"/>
              </w:rPr>
            </w:pPr>
            <w:r w:rsidRPr="00421F46">
              <w:rPr>
                <w:rFonts w:ascii="Times New Roman" w:hAnsi="Times New Roman"/>
                <w:sz w:val="20"/>
                <w:szCs w:val="20"/>
              </w:rPr>
              <w:t>All these incidents have to be deconfliced, and all responses coordinated to reduce overlap, confusion, and other covert operations</w:t>
            </w:r>
            <w:r w:rsidR="00421F46">
              <w:rPr>
                <w:rFonts w:ascii="Times New Roman" w:hAnsi="Times New Roman"/>
                <w:sz w:val="20"/>
                <w:szCs w:val="20"/>
              </w:rPr>
              <w:t>.</w:t>
            </w:r>
          </w:p>
        </w:tc>
      </w:tr>
      <w:tr w:rsidR="00D60829" w:rsidRPr="000C1ECF" w:rsidTr="00D60829">
        <w:trPr>
          <w:trHeight w:val="115"/>
        </w:trPr>
        <w:tc>
          <w:tcPr>
            <w:tcW w:w="1536" w:type="dxa"/>
            <w:tcBorders>
              <w:top w:val="single" w:sz="4" w:space="0" w:color="auto"/>
              <w:left w:val="single" w:sz="8" w:space="0" w:color="auto"/>
              <w:bottom w:val="single" w:sz="4" w:space="0" w:color="auto"/>
              <w:right w:val="single" w:sz="8" w:space="0" w:color="auto"/>
            </w:tcBorders>
            <w:hideMark/>
          </w:tcPr>
          <w:p w:rsidR="00D60829" w:rsidRPr="00C2123A" w:rsidRDefault="00D60829" w:rsidP="00D60829">
            <w:r w:rsidRPr="00C2123A">
              <w:t>Business Rules</w:t>
            </w:r>
          </w:p>
        </w:tc>
        <w:tc>
          <w:tcPr>
            <w:tcW w:w="7905" w:type="dxa"/>
            <w:gridSpan w:val="2"/>
            <w:tcBorders>
              <w:top w:val="single" w:sz="4" w:space="0" w:color="auto"/>
              <w:left w:val="nil"/>
              <w:bottom w:val="single" w:sz="4" w:space="0" w:color="auto"/>
              <w:right w:val="single" w:sz="8" w:space="0" w:color="000000"/>
            </w:tcBorders>
          </w:tcPr>
          <w:p w:rsidR="00D60829" w:rsidRPr="000C1ECF" w:rsidRDefault="00D60829" w:rsidP="00D60829"/>
        </w:tc>
      </w:tr>
      <w:tr w:rsidR="00D60829" w:rsidRPr="000C1ECF" w:rsidTr="00D60829">
        <w:trPr>
          <w:trHeight w:val="115"/>
        </w:trPr>
        <w:tc>
          <w:tcPr>
            <w:tcW w:w="1536" w:type="dxa"/>
            <w:tcBorders>
              <w:top w:val="single" w:sz="4" w:space="0" w:color="auto"/>
              <w:left w:val="single" w:sz="8" w:space="0" w:color="auto"/>
              <w:bottom w:val="single" w:sz="4" w:space="0" w:color="auto"/>
              <w:right w:val="single" w:sz="8" w:space="0" w:color="auto"/>
            </w:tcBorders>
          </w:tcPr>
          <w:p w:rsidR="00D60829" w:rsidRPr="000C1ECF" w:rsidRDefault="00D60829" w:rsidP="00D60829">
            <w:r>
              <w:t>Mapping to ESSA’s Enduring Functional Exchanges</w:t>
            </w:r>
            <w:r w:rsidR="00AA4498">
              <w:t xml:space="preserve"> (EFE)</w:t>
            </w:r>
          </w:p>
        </w:tc>
        <w:tc>
          <w:tcPr>
            <w:tcW w:w="7905" w:type="dxa"/>
            <w:gridSpan w:val="2"/>
            <w:tcBorders>
              <w:top w:val="single" w:sz="4" w:space="0" w:color="auto"/>
              <w:left w:val="nil"/>
              <w:bottom w:val="single" w:sz="4" w:space="0" w:color="auto"/>
              <w:right w:val="single" w:sz="8" w:space="0" w:color="000000"/>
            </w:tcBorders>
          </w:tcPr>
          <w:p w:rsidR="00D60829" w:rsidRPr="000C1ECF" w:rsidRDefault="00D60829" w:rsidP="00D60829">
            <w:r w:rsidRPr="00C2123A">
              <w:rPr>
                <w:color w:val="FF0000"/>
              </w:rPr>
              <w:t>Refer to the ESSA identified Enduring Functional Exchanges [(1) Configuration/Anomaly Reporting; (2) Knowledge of Threat Actors; (3) Incident Awareness; (4) Indicators and Warnings; (5) Vulnerability Knowledge; (6) Mitigation Strategies; (7) Mitigation Actions &amp; Responses]. Determine which EFE’s (1 thru 7) might be used during the scenario based upon the scenario’s participants.  Each participant’s mission-specific operations will guid</w:t>
            </w:r>
            <w:r w:rsidR="00AA4498">
              <w:rPr>
                <w:color w:val="FF0000"/>
              </w:rPr>
              <w:t>e</w:t>
            </w:r>
            <w:r w:rsidRPr="00C2123A">
              <w:rPr>
                <w:color w:val="FF0000"/>
              </w:rPr>
              <w:t xml:space="preserve"> how many, and how much of each functions they are able to perform.   </w:t>
            </w:r>
          </w:p>
        </w:tc>
      </w:tr>
      <w:tr w:rsidR="00D60829" w:rsidRPr="000C1ECF" w:rsidTr="00D60829">
        <w:trPr>
          <w:trHeight w:val="152"/>
        </w:trPr>
        <w:tc>
          <w:tcPr>
            <w:tcW w:w="9441" w:type="dxa"/>
            <w:gridSpan w:val="3"/>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D60829" w:rsidRPr="00C2123A" w:rsidRDefault="00D60829" w:rsidP="00D60829">
            <w:pPr>
              <w:jc w:val="center"/>
              <w:rPr>
                <w:color w:val="FFFFFF" w:themeColor="background1"/>
              </w:rPr>
            </w:pPr>
            <w:r w:rsidRPr="00C2123A">
              <w:rPr>
                <w:color w:val="FFFFFF" w:themeColor="background1"/>
              </w:rPr>
              <w:t>Data Elements</w:t>
            </w:r>
          </w:p>
        </w:tc>
      </w:tr>
      <w:tr w:rsidR="00D60829" w:rsidRPr="000C1ECF" w:rsidTr="00D60829">
        <w:trPr>
          <w:trHeight w:val="50"/>
        </w:trPr>
        <w:tc>
          <w:tcPr>
            <w:tcW w:w="1536" w:type="dxa"/>
            <w:tcBorders>
              <w:top w:val="single" w:sz="8" w:space="0" w:color="FFFFFF" w:themeColor="background1"/>
              <w:left w:val="single" w:sz="8" w:space="0" w:color="auto"/>
              <w:bottom w:val="single" w:sz="4" w:space="0" w:color="auto"/>
              <w:right w:val="single" w:sz="4" w:space="0" w:color="auto"/>
            </w:tcBorders>
            <w:shd w:val="clear" w:color="auto" w:fill="1F497D" w:themeFill="text2"/>
            <w:hideMark/>
          </w:tcPr>
          <w:p w:rsidR="00D60829" w:rsidRPr="00C2123A" w:rsidRDefault="00D60829" w:rsidP="00D60829">
            <w:pPr>
              <w:jc w:val="center"/>
              <w:rPr>
                <w:color w:val="FFFFFF" w:themeColor="background1"/>
              </w:rPr>
            </w:pPr>
            <w:r w:rsidRPr="00C2123A">
              <w:rPr>
                <w:color w:val="FFFFFF" w:themeColor="background1"/>
              </w:rPr>
              <w:t>Action</w:t>
            </w:r>
          </w:p>
        </w:tc>
        <w:tc>
          <w:tcPr>
            <w:tcW w:w="3815" w:type="dxa"/>
            <w:tcBorders>
              <w:top w:val="single" w:sz="8" w:space="0" w:color="FFFFFF" w:themeColor="background1"/>
              <w:left w:val="single" w:sz="4" w:space="0" w:color="auto"/>
              <w:bottom w:val="single" w:sz="4" w:space="0" w:color="auto"/>
              <w:right w:val="single" w:sz="4" w:space="0" w:color="auto"/>
            </w:tcBorders>
            <w:shd w:val="clear" w:color="auto" w:fill="1F497D" w:themeFill="text2"/>
            <w:noWrap/>
            <w:hideMark/>
          </w:tcPr>
          <w:p w:rsidR="00D60829" w:rsidRPr="00C2123A" w:rsidRDefault="00D60829" w:rsidP="00D60829">
            <w:pPr>
              <w:jc w:val="center"/>
              <w:rPr>
                <w:color w:val="FFFFFF" w:themeColor="background1"/>
              </w:rPr>
            </w:pPr>
            <w:r w:rsidRPr="00C2123A">
              <w:rPr>
                <w:color w:val="FFFFFF" w:themeColor="background1"/>
              </w:rPr>
              <w:t>Data Elements</w:t>
            </w:r>
          </w:p>
        </w:tc>
        <w:tc>
          <w:tcPr>
            <w:tcW w:w="4090" w:type="dxa"/>
            <w:tcBorders>
              <w:top w:val="single" w:sz="8" w:space="0" w:color="FFFFFF" w:themeColor="background1"/>
              <w:left w:val="single" w:sz="4" w:space="0" w:color="auto"/>
              <w:bottom w:val="single" w:sz="4" w:space="0" w:color="auto"/>
              <w:right w:val="single" w:sz="8" w:space="0" w:color="auto"/>
            </w:tcBorders>
            <w:shd w:val="clear" w:color="auto" w:fill="1F497D" w:themeFill="text2"/>
            <w:noWrap/>
            <w:hideMark/>
          </w:tcPr>
          <w:p w:rsidR="00D60829" w:rsidRPr="00C2123A" w:rsidRDefault="00D60829" w:rsidP="00D60829">
            <w:pPr>
              <w:jc w:val="center"/>
              <w:rPr>
                <w:color w:val="FFFFFF" w:themeColor="background1"/>
              </w:rPr>
            </w:pPr>
            <w:r w:rsidRPr="00C2123A">
              <w:rPr>
                <w:color w:val="FFFFFF" w:themeColor="background1"/>
              </w:rPr>
              <w:t>Definitions</w:t>
            </w:r>
          </w:p>
        </w:tc>
      </w:tr>
      <w:tr w:rsidR="00D60829" w:rsidRPr="000C1ECF" w:rsidTr="00D60829">
        <w:trPr>
          <w:trHeight w:val="50"/>
        </w:trPr>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rsidR="00D60829" w:rsidRPr="00C2123A" w:rsidRDefault="00D60829" w:rsidP="00D60829">
            <w:pPr>
              <w:jc w:val="center"/>
              <w:rPr>
                <w:color w:val="FFFFFF" w:themeColor="background1"/>
              </w:rPr>
            </w:pPr>
          </w:p>
        </w:tc>
        <w:tc>
          <w:tcPr>
            <w:tcW w:w="3815"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D60829" w:rsidRPr="00C2123A" w:rsidRDefault="00D60829" w:rsidP="00D60829">
            <w:pPr>
              <w:jc w:val="center"/>
              <w:rPr>
                <w:color w:val="FFFFFF" w:themeColor="background1"/>
              </w:rPr>
            </w:pPr>
          </w:p>
        </w:tc>
        <w:tc>
          <w:tcPr>
            <w:tcW w:w="4090"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D60829" w:rsidRPr="00C2123A" w:rsidRDefault="00D60829" w:rsidP="00D60829">
            <w:pPr>
              <w:jc w:val="center"/>
              <w:rPr>
                <w:color w:val="FFFFFF" w:themeColor="background1"/>
              </w:rPr>
            </w:pPr>
          </w:p>
        </w:tc>
      </w:tr>
      <w:tr w:rsidR="00D60829" w:rsidRPr="000C1ECF" w:rsidTr="00D60829">
        <w:trPr>
          <w:trHeight w:val="314"/>
        </w:trPr>
        <w:tc>
          <w:tcPr>
            <w:tcW w:w="94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D60829" w:rsidRDefault="00D60829" w:rsidP="00D60829">
            <w:r>
              <w:t xml:space="preserve">Additional Information: </w:t>
            </w:r>
          </w:p>
          <w:p w:rsidR="008762CF" w:rsidRPr="00F5451B" w:rsidRDefault="008762CF" w:rsidP="00F5451B">
            <w:r w:rsidRPr="00F5451B">
              <w:t>Specific data elements are not available, but here are the ‘types’ of information that may be exchanged to meet the requirements for this use case (depending on the level of detail available at the time of publication of the intelligence product)</w:t>
            </w:r>
            <w:r w:rsidR="00850485">
              <w:t xml:space="preserve">: (1) </w:t>
            </w:r>
            <w:r w:rsidRPr="00F5451B">
              <w:t>Details about the event including where and when observed, behavior indicators, etc.</w:t>
            </w:r>
            <w:r w:rsidR="00850485">
              <w:t xml:space="preserve">; (2) </w:t>
            </w:r>
          </w:p>
          <w:p w:rsidR="008762CF" w:rsidRPr="00AE63BD" w:rsidRDefault="008762CF" w:rsidP="00F5451B">
            <w:r w:rsidRPr="00F5451B">
              <w:t>Specific details about the malware, behavior if available</w:t>
            </w:r>
            <w:r w:rsidR="00850485">
              <w:t xml:space="preserve">; (3) </w:t>
            </w:r>
            <w:r w:rsidRPr="00F5451B">
              <w:t>Mitigation strategy</w:t>
            </w:r>
            <w:r w:rsidR="00850485">
              <w:t xml:space="preserve">; (4) </w:t>
            </w:r>
            <w:r w:rsidRPr="00F5451B">
              <w:t>Mitigation steps</w:t>
            </w:r>
            <w:r w:rsidR="00850485" w:rsidRPr="00F5451B">
              <w:t xml:space="preserve">; </w:t>
            </w:r>
            <w:r w:rsidR="00850485">
              <w:t xml:space="preserve">and </w:t>
            </w:r>
            <w:r w:rsidR="00850485" w:rsidRPr="00F5451B">
              <w:t xml:space="preserve">(5) </w:t>
            </w:r>
            <w:r w:rsidRPr="00F5451B">
              <w:t>Acknowledgement of receipt and confirmation of execution of steps</w:t>
            </w:r>
          </w:p>
        </w:tc>
      </w:tr>
    </w:tbl>
    <w:p w:rsidR="00610525" w:rsidRDefault="00610525" w:rsidP="00F5451B">
      <w:pPr>
        <w:rPr>
          <w:rFonts w:ascii="Souvenir Lt BT" w:hAnsi="Souvenir Lt BT"/>
          <w:sz w:val="22"/>
        </w:rPr>
      </w:pPr>
      <w:bookmarkStart w:id="10" w:name="_Toc413764717"/>
      <w:bookmarkStart w:id="11" w:name="_Toc413764718"/>
      <w:bookmarkStart w:id="12" w:name="_Toc413764719"/>
      <w:bookmarkStart w:id="13" w:name="_Toc413764720"/>
      <w:bookmarkStart w:id="14" w:name="_Toc413761661"/>
      <w:bookmarkStart w:id="15" w:name="_Toc413764721"/>
      <w:bookmarkStart w:id="16" w:name="_Toc413761662"/>
      <w:bookmarkStart w:id="17" w:name="_Toc413764722"/>
      <w:bookmarkStart w:id="18" w:name="_Toc413761723"/>
      <w:bookmarkStart w:id="19" w:name="_Toc413764783"/>
      <w:bookmarkStart w:id="20" w:name="_Toc413761727"/>
      <w:bookmarkStart w:id="21" w:name="_Toc413764787"/>
      <w:bookmarkStart w:id="22" w:name="_Toc413761729"/>
      <w:bookmarkStart w:id="23" w:name="_Toc413764789"/>
      <w:bookmarkStart w:id="24" w:name="_Toc413761793"/>
      <w:bookmarkStart w:id="25" w:name="_Toc413764853"/>
      <w:bookmarkStart w:id="26" w:name="_Toc413761797"/>
      <w:bookmarkStart w:id="27" w:name="_Toc413764857"/>
      <w:bookmarkStart w:id="28" w:name="_Toc413761799"/>
      <w:bookmarkStart w:id="29" w:name="_Toc413764859"/>
      <w:bookmarkStart w:id="30" w:name="_Toc413761863"/>
      <w:bookmarkStart w:id="31" w:name="_Toc413764923"/>
      <w:bookmarkStart w:id="32" w:name="_Toc413761867"/>
      <w:bookmarkStart w:id="33" w:name="_Toc413764927"/>
      <w:bookmarkStart w:id="34" w:name="_Toc413761868"/>
      <w:bookmarkStart w:id="35" w:name="_Toc413764928"/>
      <w:bookmarkStart w:id="36" w:name="_Toc413761869"/>
      <w:bookmarkStart w:id="37" w:name="_Toc413764929"/>
      <w:bookmarkStart w:id="38" w:name="_Toc413761931"/>
      <w:bookmarkStart w:id="39" w:name="_Toc413764991"/>
      <w:bookmarkStart w:id="40" w:name="_Toc413761935"/>
      <w:bookmarkStart w:id="41" w:name="_Toc413764995"/>
      <w:bookmarkStart w:id="42" w:name="_Toc413761936"/>
      <w:bookmarkStart w:id="43" w:name="_Toc413764996"/>
      <w:bookmarkStart w:id="44" w:name="_Toc413761937"/>
      <w:bookmarkStart w:id="45" w:name="_Toc413764997"/>
      <w:bookmarkStart w:id="46" w:name="_Toc413761998"/>
      <w:bookmarkStart w:id="47" w:name="_Toc413765058"/>
      <w:bookmarkStart w:id="48" w:name="_Toc413762002"/>
      <w:bookmarkStart w:id="49" w:name="_Toc413765062"/>
      <w:bookmarkStart w:id="50" w:name="_Toc413762003"/>
      <w:bookmarkStart w:id="51" w:name="_Toc413765063"/>
      <w:bookmarkStart w:id="52" w:name="_Toc413762004"/>
      <w:bookmarkStart w:id="53" w:name="_Toc413765064"/>
      <w:bookmarkStart w:id="54" w:name="_Toc413762065"/>
      <w:bookmarkStart w:id="55" w:name="_Toc413765125"/>
      <w:bookmarkStart w:id="56" w:name="_Toc413762069"/>
      <w:bookmarkStart w:id="57" w:name="_Toc413765129"/>
      <w:bookmarkStart w:id="58" w:name="_Toc413762070"/>
      <w:bookmarkStart w:id="59" w:name="_Toc413765130"/>
      <w:bookmarkStart w:id="60" w:name="_Toc413762071"/>
      <w:bookmarkStart w:id="61" w:name="_Toc413765131"/>
      <w:bookmarkStart w:id="62" w:name="_Toc413762133"/>
      <w:bookmarkStart w:id="63" w:name="_Toc413765193"/>
      <w:bookmarkStart w:id="64" w:name="_Toc413762137"/>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E1B52" w:rsidRDefault="000542D5" w:rsidP="003E1B52">
      <w:pPr>
        <w:rPr>
          <w:sz w:val="22"/>
          <w:szCs w:val="22"/>
        </w:rPr>
      </w:pPr>
      <w:r w:rsidRPr="006872E9">
        <w:rPr>
          <w:sz w:val="22"/>
          <w:szCs w:val="22"/>
        </w:rPr>
        <w:br w:type="page"/>
      </w:r>
    </w:p>
    <w:p w:rsidR="000542D5" w:rsidRPr="006872E9" w:rsidRDefault="000542D5">
      <w:pPr>
        <w:rPr>
          <w:sz w:val="22"/>
          <w:szCs w:val="22"/>
        </w:rPr>
      </w:pPr>
    </w:p>
    <w:p w:rsidR="00910EB1" w:rsidRPr="006872E9" w:rsidRDefault="00910EB1" w:rsidP="00853527">
      <w:pPr>
        <w:rPr>
          <w:sz w:val="22"/>
          <w:szCs w:val="22"/>
        </w:rPr>
      </w:pPr>
    </w:p>
    <w:p w:rsidR="00EA3F17" w:rsidRPr="006872E9" w:rsidRDefault="00EA3F17" w:rsidP="00E86697">
      <w:pPr>
        <w:pStyle w:val="Title"/>
        <w:outlineLvl w:val="0"/>
        <w:rPr>
          <w:rFonts w:ascii="Times New Roman" w:hAnsi="Times New Roman"/>
          <w:sz w:val="22"/>
          <w:szCs w:val="22"/>
          <w:lang w:val="en-US"/>
        </w:rPr>
      </w:pPr>
      <w:bookmarkStart w:id="65" w:name="_Toc414269189"/>
      <w:bookmarkStart w:id="66" w:name="_Toc345418885"/>
      <w:bookmarkStart w:id="67" w:name="_Toc412789488"/>
      <w:r w:rsidRPr="006872E9">
        <w:rPr>
          <w:rFonts w:ascii="Times New Roman" w:hAnsi="Times New Roman"/>
          <w:sz w:val="22"/>
          <w:szCs w:val="22"/>
        </w:rPr>
        <w:t>Appendix A</w:t>
      </w:r>
      <w:r w:rsidR="00E86697" w:rsidRPr="006872E9">
        <w:rPr>
          <w:rFonts w:ascii="Times New Roman" w:hAnsi="Times New Roman"/>
          <w:sz w:val="22"/>
          <w:szCs w:val="22"/>
        </w:rPr>
        <w:t>—</w:t>
      </w:r>
      <w:r w:rsidR="00A52243" w:rsidRPr="00A52243">
        <w:rPr>
          <w:rFonts w:ascii="Times New Roman" w:hAnsi="Times New Roman"/>
          <w:sz w:val="22"/>
          <w:szCs w:val="22"/>
        </w:rPr>
        <w:t xml:space="preserve"> </w:t>
      </w:r>
      <w:r w:rsidR="00A52243">
        <w:rPr>
          <w:rFonts w:ascii="Times New Roman" w:hAnsi="Times New Roman"/>
          <w:sz w:val="22"/>
          <w:szCs w:val="22"/>
        </w:rPr>
        <w:t>Enhanced Shared Situational Awareness (ESSA) Information Exchanges</w:t>
      </w:r>
      <w:bookmarkEnd w:id="65"/>
      <w:r w:rsidR="00A52243" w:rsidRPr="006872E9">
        <w:rPr>
          <w:rFonts w:ascii="Times New Roman" w:hAnsi="Times New Roman"/>
          <w:sz w:val="22"/>
          <w:szCs w:val="22"/>
        </w:rPr>
        <w:t xml:space="preserve"> </w:t>
      </w:r>
      <w:bookmarkEnd w:id="66"/>
      <w:bookmarkEnd w:id="67"/>
    </w:p>
    <w:p w:rsidR="00DE64A6" w:rsidRDefault="00DE64A6" w:rsidP="00DE64A6">
      <w:pPr>
        <w:rPr>
          <w:sz w:val="22"/>
          <w:szCs w:val="22"/>
          <w:lang w:eastAsia="x-none"/>
        </w:rPr>
      </w:pPr>
    </w:p>
    <w:p w:rsidR="00A52243" w:rsidRPr="008B58B4" w:rsidRDefault="00A52243" w:rsidP="00A52243">
      <w:pPr>
        <w:autoSpaceDE w:val="0"/>
        <w:autoSpaceDN w:val="0"/>
        <w:adjustRightInd w:val="0"/>
        <w:rPr>
          <w:sz w:val="22"/>
          <w:szCs w:val="22"/>
        </w:rPr>
      </w:pPr>
      <w:r>
        <w:rPr>
          <w:color w:val="000000"/>
          <w:sz w:val="22"/>
          <w:szCs w:val="22"/>
        </w:rPr>
        <w:t>ESSA attempted to</w:t>
      </w:r>
      <w:r w:rsidRPr="008B58B4">
        <w:rPr>
          <w:color w:val="000000"/>
          <w:sz w:val="22"/>
          <w:szCs w:val="22"/>
        </w:rPr>
        <w:t xml:space="preserve"> capture and categorize all major activities that are associated with </w:t>
      </w:r>
      <w:r>
        <w:rPr>
          <w:color w:val="000000"/>
          <w:sz w:val="22"/>
          <w:szCs w:val="22"/>
        </w:rPr>
        <w:t xml:space="preserve">cybersecurity </w:t>
      </w:r>
      <w:r w:rsidRPr="008B58B4">
        <w:rPr>
          <w:color w:val="000000"/>
          <w:sz w:val="22"/>
          <w:szCs w:val="22"/>
        </w:rPr>
        <w:t>information sharing</w:t>
      </w:r>
      <w:r>
        <w:rPr>
          <w:color w:val="000000"/>
          <w:sz w:val="22"/>
          <w:szCs w:val="22"/>
        </w:rPr>
        <w:t xml:space="preserve"> at the Federal Government level, realizing that those involved in the cybersecurity mission space could </w:t>
      </w:r>
      <w:r w:rsidRPr="008B58B4">
        <w:rPr>
          <w:color w:val="000000"/>
          <w:sz w:val="22"/>
          <w:szCs w:val="22"/>
        </w:rPr>
        <w:t xml:space="preserve">benefit from each other’s shared experiences - and should do so. </w:t>
      </w:r>
      <w:r>
        <w:rPr>
          <w:b/>
          <w:bCs/>
          <w:color w:val="FFFFFF" w:themeColor="background1"/>
          <w:sz w:val="22"/>
          <w:szCs w:val="22"/>
        </w:rPr>
        <w:t xml:space="preserve"> </w:t>
      </w:r>
      <w:r>
        <w:rPr>
          <w:color w:val="000000"/>
          <w:sz w:val="22"/>
          <w:szCs w:val="22"/>
        </w:rPr>
        <w:t xml:space="preserve">EFEs </w:t>
      </w:r>
      <w:r w:rsidRPr="00C2123A">
        <w:rPr>
          <w:sz w:val="22"/>
          <w:szCs w:val="22"/>
        </w:rPr>
        <w:t xml:space="preserve">are categories of information that are exchanged on an ongoing basis to promote and enhance </w:t>
      </w:r>
      <w:r>
        <w:rPr>
          <w:sz w:val="22"/>
          <w:szCs w:val="22"/>
        </w:rPr>
        <w:t xml:space="preserve">cybersecurity information sharing and shared situational awareness.  </w:t>
      </w:r>
      <w:r w:rsidRPr="008B58B4">
        <w:rPr>
          <w:sz w:val="22"/>
          <w:szCs w:val="22"/>
        </w:rPr>
        <w:t>Within each EFE, there are a series of subcomponents that represent various data types.</w:t>
      </w:r>
      <w:r>
        <w:rPr>
          <w:sz w:val="22"/>
          <w:szCs w:val="22"/>
        </w:rPr>
        <w:t xml:space="preserve"> In short, the following EFEs are a </w:t>
      </w:r>
      <w:r w:rsidRPr="00C2123A">
        <w:rPr>
          <w:color w:val="000000"/>
          <w:sz w:val="22"/>
          <w:szCs w:val="22"/>
        </w:rPr>
        <w:t>series of information exchanges to collectively describe the information needed to suppor</w:t>
      </w:r>
      <w:r>
        <w:rPr>
          <w:color w:val="000000"/>
          <w:sz w:val="22"/>
          <w:szCs w:val="22"/>
        </w:rPr>
        <w:t xml:space="preserve">t a cybersecurity information sharing model.  </w:t>
      </w:r>
    </w:p>
    <w:p w:rsidR="00A52243" w:rsidRPr="008B58B4" w:rsidRDefault="00A52243" w:rsidP="00A52243">
      <w:pPr>
        <w:pStyle w:val="Default"/>
        <w:rPr>
          <w:rFonts w:ascii="Times New Roman" w:hAnsi="Times New Roman" w:cs="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2430"/>
        <w:gridCol w:w="1890"/>
        <w:gridCol w:w="3423"/>
      </w:tblGrid>
      <w:tr w:rsidR="00A52243" w:rsidRPr="00E400F4" w:rsidTr="000F0FAF">
        <w:trPr>
          <w:trHeight w:val="110"/>
          <w:jc w:val="center"/>
        </w:trPr>
        <w:tc>
          <w:tcPr>
            <w:tcW w:w="1263" w:type="dxa"/>
            <w:shd w:val="clear" w:color="auto" w:fill="1F497D" w:themeFill="text2"/>
          </w:tcPr>
          <w:p w:rsidR="00A52243" w:rsidRPr="008B58B4" w:rsidRDefault="00A52243" w:rsidP="000F0FAF">
            <w:pPr>
              <w:autoSpaceDE w:val="0"/>
              <w:autoSpaceDN w:val="0"/>
              <w:adjustRightInd w:val="0"/>
              <w:rPr>
                <w:color w:val="FFFFFF" w:themeColor="background1"/>
                <w:sz w:val="22"/>
                <w:szCs w:val="22"/>
              </w:rPr>
            </w:pPr>
            <w:r w:rsidRPr="008B58B4">
              <w:rPr>
                <w:b/>
                <w:bCs/>
                <w:color w:val="FFFFFF" w:themeColor="background1"/>
                <w:sz w:val="22"/>
                <w:szCs w:val="22"/>
              </w:rPr>
              <w:t xml:space="preserve">EFE # </w:t>
            </w:r>
          </w:p>
        </w:tc>
        <w:tc>
          <w:tcPr>
            <w:tcW w:w="2430" w:type="dxa"/>
            <w:shd w:val="clear" w:color="auto" w:fill="1F497D" w:themeFill="text2"/>
          </w:tcPr>
          <w:p w:rsidR="00A52243" w:rsidRPr="008B58B4" w:rsidRDefault="00A52243" w:rsidP="000F0FAF">
            <w:pPr>
              <w:autoSpaceDE w:val="0"/>
              <w:autoSpaceDN w:val="0"/>
              <w:adjustRightInd w:val="0"/>
              <w:rPr>
                <w:color w:val="FFFFFF" w:themeColor="background1"/>
                <w:sz w:val="22"/>
                <w:szCs w:val="22"/>
              </w:rPr>
            </w:pPr>
            <w:r w:rsidRPr="008B58B4">
              <w:rPr>
                <w:b/>
                <w:bCs/>
                <w:color w:val="FFFFFF" w:themeColor="background1"/>
                <w:sz w:val="22"/>
                <w:szCs w:val="22"/>
              </w:rPr>
              <w:t xml:space="preserve">EFE Name </w:t>
            </w:r>
          </w:p>
        </w:tc>
        <w:tc>
          <w:tcPr>
            <w:tcW w:w="1890" w:type="dxa"/>
            <w:shd w:val="clear" w:color="auto" w:fill="1F497D" w:themeFill="text2"/>
          </w:tcPr>
          <w:p w:rsidR="00A52243" w:rsidRPr="008B58B4" w:rsidRDefault="00A52243" w:rsidP="000F0FAF">
            <w:pPr>
              <w:autoSpaceDE w:val="0"/>
              <w:autoSpaceDN w:val="0"/>
              <w:adjustRightInd w:val="0"/>
              <w:rPr>
                <w:color w:val="FFFFFF" w:themeColor="background1"/>
                <w:sz w:val="22"/>
                <w:szCs w:val="22"/>
              </w:rPr>
            </w:pPr>
            <w:r w:rsidRPr="008B58B4">
              <w:rPr>
                <w:b/>
                <w:bCs/>
                <w:color w:val="FFFFFF" w:themeColor="background1"/>
                <w:sz w:val="22"/>
                <w:szCs w:val="22"/>
              </w:rPr>
              <w:t xml:space="preserve">Subcomponent ID </w:t>
            </w:r>
          </w:p>
        </w:tc>
        <w:tc>
          <w:tcPr>
            <w:tcW w:w="3423" w:type="dxa"/>
            <w:shd w:val="clear" w:color="auto" w:fill="1F497D" w:themeFill="text2"/>
          </w:tcPr>
          <w:p w:rsidR="00A52243" w:rsidRPr="008B58B4" w:rsidRDefault="00A52243" w:rsidP="000F0FAF">
            <w:pPr>
              <w:autoSpaceDE w:val="0"/>
              <w:autoSpaceDN w:val="0"/>
              <w:adjustRightInd w:val="0"/>
              <w:rPr>
                <w:color w:val="FFFFFF" w:themeColor="background1"/>
                <w:sz w:val="22"/>
                <w:szCs w:val="22"/>
              </w:rPr>
            </w:pPr>
            <w:r w:rsidRPr="008B58B4">
              <w:rPr>
                <w:b/>
                <w:bCs/>
                <w:color w:val="FFFFFF" w:themeColor="background1"/>
                <w:sz w:val="22"/>
                <w:szCs w:val="22"/>
              </w:rPr>
              <w:t xml:space="preserve">Subcomponent Name </w:t>
            </w:r>
          </w:p>
        </w:tc>
      </w:tr>
      <w:tr w:rsidR="00A52243" w:rsidRPr="00E400F4" w:rsidTr="000F0FAF">
        <w:trPr>
          <w:trHeight w:val="60"/>
          <w:jc w:val="center"/>
        </w:trPr>
        <w:tc>
          <w:tcPr>
            <w:tcW w:w="1263" w:type="dxa"/>
            <w:vMerge w:val="restart"/>
          </w:tcPr>
          <w:p w:rsidR="00A52243" w:rsidRPr="008B58B4" w:rsidRDefault="00A52243" w:rsidP="000F0FAF">
            <w:pPr>
              <w:autoSpaceDE w:val="0"/>
              <w:autoSpaceDN w:val="0"/>
              <w:adjustRightInd w:val="0"/>
              <w:jc w:val="center"/>
              <w:rPr>
                <w:color w:val="000000"/>
              </w:rPr>
            </w:pPr>
            <w:r w:rsidRPr="008B58B4">
              <w:rPr>
                <w:b/>
                <w:bCs/>
                <w:color w:val="000000"/>
              </w:rPr>
              <w:t>1</w:t>
            </w:r>
          </w:p>
        </w:tc>
        <w:tc>
          <w:tcPr>
            <w:tcW w:w="2430" w:type="dxa"/>
            <w:vMerge w:val="restart"/>
          </w:tcPr>
          <w:p w:rsidR="00A52243" w:rsidRPr="008B58B4" w:rsidRDefault="00A52243" w:rsidP="000F0FAF">
            <w:pPr>
              <w:autoSpaceDE w:val="0"/>
              <w:autoSpaceDN w:val="0"/>
              <w:adjustRightInd w:val="0"/>
              <w:rPr>
                <w:color w:val="000000"/>
              </w:rPr>
            </w:pPr>
            <w:r w:rsidRPr="008B58B4">
              <w:rPr>
                <w:color w:val="000000"/>
              </w:rPr>
              <w:t>Configuration / Anomaly Reporting</w:t>
            </w: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1a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Risk Posture </w:t>
            </w:r>
          </w:p>
        </w:tc>
      </w:tr>
      <w:tr w:rsidR="00A52243" w:rsidRPr="00E400F4" w:rsidTr="000F0FAF">
        <w:trPr>
          <w:trHeight w:val="60"/>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1b</w:t>
            </w:r>
          </w:p>
        </w:tc>
        <w:tc>
          <w:tcPr>
            <w:tcW w:w="3423" w:type="dxa"/>
          </w:tcPr>
          <w:p w:rsidR="00A52243" w:rsidRPr="008B58B4" w:rsidRDefault="00A52243" w:rsidP="000F0FAF">
            <w:pPr>
              <w:autoSpaceDE w:val="0"/>
              <w:autoSpaceDN w:val="0"/>
              <w:adjustRightInd w:val="0"/>
              <w:rPr>
                <w:color w:val="000000"/>
              </w:rPr>
            </w:pPr>
            <w:r w:rsidRPr="008B58B4">
              <w:rPr>
                <w:color w:val="000000"/>
              </w:rPr>
              <w:t>Anomalies</w:t>
            </w:r>
          </w:p>
        </w:tc>
      </w:tr>
      <w:tr w:rsidR="00A52243" w:rsidRPr="00E400F4" w:rsidTr="000F0FAF">
        <w:trPr>
          <w:trHeight w:val="60"/>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1c</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Infrastructures </w:t>
            </w:r>
          </w:p>
        </w:tc>
      </w:tr>
      <w:tr w:rsidR="00A52243" w:rsidRPr="00E400F4" w:rsidTr="000F0FAF">
        <w:trPr>
          <w:trHeight w:val="233"/>
          <w:jc w:val="center"/>
        </w:trPr>
        <w:tc>
          <w:tcPr>
            <w:tcW w:w="1263" w:type="dxa"/>
            <w:vMerge w:val="restart"/>
          </w:tcPr>
          <w:p w:rsidR="00A52243" w:rsidRPr="008B58B4" w:rsidRDefault="00A52243" w:rsidP="000F0FAF">
            <w:pPr>
              <w:autoSpaceDE w:val="0"/>
              <w:autoSpaceDN w:val="0"/>
              <w:adjustRightInd w:val="0"/>
              <w:jc w:val="center"/>
              <w:rPr>
                <w:color w:val="000000"/>
              </w:rPr>
            </w:pPr>
            <w:r w:rsidRPr="008B58B4">
              <w:rPr>
                <w:b/>
                <w:bCs/>
                <w:color w:val="000000"/>
              </w:rPr>
              <w:t>2</w:t>
            </w:r>
          </w:p>
        </w:tc>
        <w:tc>
          <w:tcPr>
            <w:tcW w:w="2430" w:type="dxa"/>
            <w:vMerge w:val="restart"/>
          </w:tcPr>
          <w:p w:rsidR="00A52243" w:rsidRPr="008B58B4" w:rsidRDefault="00A52243" w:rsidP="000F0FAF">
            <w:pPr>
              <w:autoSpaceDE w:val="0"/>
              <w:autoSpaceDN w:val="0"/>
              <w:adjustRightInd w:val="0"/>
              <w:rPr>
                <w:color w:val="000000"/>
              </w:rPr>
            </w:pPr>
            <w:r w:rsidRPr="008B58B4">
              <w:rPr>
                <w:color w:val="000000"/>
              </w:rPr>
              <w:t>Knowledge of Threat Actors</w:t>
            </w: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2a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Threat Actor Infrastructure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2b</w:t>
            </w:r>
          </w:p>
        </w:tc>
        <w:tc>
          <w:tcPr>
            <w:tcW w:w="3423" w:type="dxa"/>
          </w:tcPr>
          <w:p w:rsidR="00A52243" w:rsidRPr="008B58B4" w:rsidRDefault="00A52243" w:rsidP="000F0FAF">
            <w:pPr>
              <w:autoSpaceDE w:val="0"/>
              <w:autoSpaceDN w:val="0"/>
              <w:adjustRightInd w:val="0"/>
              <w:rPr>
                <w:color w:val="000000"/>
              </w:rPr>
            </w:pPr>
            <w:r w:rsidRPr="008B58B4">
              <w:rPr>
                <w:color w:val="000000"/>
              </w:rPr>
              <w:t>Threat Actor Personas</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2c</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Threat Actor Attribution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2d</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Trend Analysis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2e</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Victim Information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2f</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Threat Actor Indicators </w:t>
            </w:r>
          </w:p>
        </w:tc>
      </w:tr>
      <w:tr w:rsidR="00A52243" w:rsidRPr="00E400F4" w:rsidTr="000F0FAF">
        <w:trPr>
          <w:trHeight w:val="60"/>
          <w:jc w:val="center"/>
        </w:trPr>
        <w:tc>
          <w:tcPr>
            <w:tcW w:w="1263" w:type="dxa"/>
            <w:vMerge w:val="restart"/>
          </w:tcPr>
          <w:p w:rsidR="00A52243" w:rsidRPr="008B58B4" w:rsidRDefault="00A52243" w:rsidP="000F0FAF">
            <w:pPr>
              <w:autoSpaceDE w:val="0"/>
              <w:autoSpaceDN w:val="0"/>
              <w:adjustRightInd w:val="0"/>
              <w:jc w:val="center"/>
              <w:rPr>
                <w:color w:val="000000"/>
              </w:rPr>
            </w:pPr>
            <w:r w:rsidRPr="008B58B4">
              <w:rPr>
                <w:b/>
                <w:bCs/>
                <w:color w:val="000000"/>
              </w:rPr>
              <w:t>3</w:t>
            </w:r>
          </w:p>
        </w:tc>
        <w:tc>
          <w:tcPr>
            <w:tcW w:w="2430" w:type="dxa"/>
            <w:vMerge w:val="restart"/>
          </w:tcPr>
          <w:p w:rsidR="00A52243" w:rsidRPr="008B58B4" w:rsidRDefault="00A52243" w:rsidP="000F0FAF">
            <w:pPr>
              <w:autoSpaceDE w:val="0"/>
              <w:autoSpaceDN w:val="0"/>
              <w:adjustRightInd w:val="0"/>
              <w:rPr>
                <w:color w:val="000000"/>
              </w:rPr>
            </w:pPr>
            <w:r w:rsidRPr="008B58B4">
              <w:rPr>
                <w:color w:val="000000"/>
              </w:rPr>
              <w:t>Incident Awareness</w:t>
            </w: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3a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Incident Information </w:t>
            </w:r>
          </w:p>
        </w:tc>
      </w:tr>
      <w:tr w:rsidR="00A52243" w:rsidRPr="00E400F4" w:rsidTr="000F0FAF">
        <w:trPr>
          <w:trHeight w:val="60"/>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3b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Computer Network Operations (CNO) Awareness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3c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Incident Data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3d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Infrastructure Impact/Effects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3e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Victim Information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3f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Alerting Indicators </w:t>
            </w:r>
          </w:p>
        </w:tc>
      </w:tr>
      <w:tr w:rsidR="00A52243" w:rsidRPr="00E400F4" w:rsidTr="000F0FAF">
        <w:trPr>
          <w:trHeight w:val="71"/>
          <w:jc w:val="center"/>
        </w:trPr>
        <w:tc>
          <w:tcPr>
            <w:tcW w:w="1263" w:type="dxa"/>
            <w:vMerge w:val="restart"/>
          </w:tcPr>
          <w:p w:rsidR="00A52243" w:rsidRPr="008B58B4" w:rsidRDefault="00A52243" w:rsidP="000F0FAF">
            <w:pPr>
              <w:autoSpaceDE w:val="0"/>
              <w:autoSpaceDN w:val="0"/>
              <w:adjustRightInd w:val="0"/>
              <w:jc w:val="center"/>
              <w:rPr>
                <w:color w:val="000000"/>
              </w:rPr>
            </w:pPr>
            <w:r w:rsidRPr="008B58B4">
              <w:rPr>
                <w:b/>
                <w:bCs/>
                <w:color w:val="000000"/>
              </w:rPr>
              <w:t>4</w:t>
            </w:r>
          </w:p>
        </w:tc>
        <w:tc>
          <w:tcPr>
            <w:tcW w:w="2430" w:type="dxa"/>
            <w:vMerge w:val="restart"/>
          </w:tcPr>
          <w:p w:rsidR="00A52243" w:rsidRPr="008B58B4" w:rsidRDefault="00A52243" w:rsidP="000F0FAF">
            <w:pPr>
              <w:autoSpaceDE w:val="0"/>
              <w:autoSpaceDN w:val="0"/>
              <w:adjustRightInd w:val="0"/>
              <w:rPr>
                <w:color w:val="000000"/>
              </w:rPr>
            </w:pPr>
            <w:r w:rsidRPr="008B58B4">
              <w:rPr>
                <w:color w:val="000000"/>
              </w:rPr>
              <w:t>Indications and Warnings</w:t>
            </w: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4a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Events and Alerts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4b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Warnings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4c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Impact Assessments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4d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Potential Indicators </w:t>
            </w:r>
          </w:p>
        </w:tc>
      </w:tr>
      <w:tr w:rsidR="00A52243" w:rsidRPr="00E400F4" w:rsidTr="000F0FAF">
        <w:trPr>
          <w:trHeight w:val="60"/>
          <w:jc w:val="center"/>
        </w:trPr>
        <w:tc>
          <w:tcPr>
            <w:tcW w:w="1263" w:type="dxa"/>
            <w:vMerge w:val="restart"/>
          </w:tcPr>
          <w:p w:rsidR="00A52243" w:rsidRPr="008B58B4" w:rsidRDefault="00A52243" w:rsidP="000F0FAF">
            <w:pPr>
              <w:autoSpaceDE w:val="0"/>
              <w:autoSpaceDN w:val="0"/>
              <w:adjustRightInd w:val="0"/>
              <w:jc w:val="center"/>
              <w:rPr>
                <w:color w:val="000000"/>
              </w:rPr>
            </w:pPr>
            <w:r w:rsidRPr="008B58B4">
              <w:rPr>
                <w:b/>
                <w:bCs/>
                <w:color w:val="000000"/>
              </w:rPr>
              <w:t>5</w:t>
            </w:r>
          </w:p>
        </w:tc>
        <w:tc>
          <w:tcPr>
            <w:tcW w:w="2430" w:type="dxa"/>
            <w:vMerge w:val="restart"/>
          </w:tcPr>
          <w:p w:rsidR="00A52243" w:rsidRPr="008B58B4" w:rsidRDefault="00A52243" w:rsidP="000F0FAF">
            <w:pPr>
              <w:autoSpaceDE w:val="0"/>
              <w:autoSpaceDN w:val="0"/>
              <w:adjustRightInd w:val="0"/>
              <w:rPr>
                <w:color w:val="000000"/>
              </w:rPr>
            </w:pPr>
            <w:r w:rsidRPr="008B58B4">
              <w:rPr>
                <w:color w:val="000000"/>
              </w:rPr>
              <w:t>Vulnerability Knowledge</w:t>
            </w: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5a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Vulnerabilities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5b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Exploits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5c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Potential Victim Information </w:t>
            </w:r>
          </w:p>
        </w:tc>
      </w:tr>
      <w:tr w:rsidR="00A52243" w:rsidRPr="00E400F4" w:rsidTr="000F0FAF">
        <w:trPr>
          <w:trHeight w:val="89"/>
          <w:jc w:val="center"/>
        </w:trPr>
        <w:tc>
          <w:tcPr>
            <w:tcW w:w="1263" w:type="dxa"/>
            <w:vMerge w:val="restart"/>
          </w:tcPr>
          <w:p w:rsidR="00A52243" w:rsidRPr="008B58B4" w:rsidRDefault="00A52243" w:rsidP="000F0FAF">
            <w:pPr>
              <w:autoSpaceDE w:val="0"/>
              <w:autoSpaceDN w:val="0"/>
              <w:adjustRightInd w:val="0"/>
              <w:jc w:val="center"/>
              <w:rPr>
                <w:color w:val="000000"/>
              </w:rPr>
            </w:pPr>
            <w:r w:rsidRPr="008B58B4">
              <w:rPr>
                <w:b/>
                <w:bCs/>
                <w:color w:val="000000"/>
              </w:rPr>
              <w:t>6</w:t>
            </w:r>
          </w:p>
        </w:tc>
        <w:tc>
          <w:tcPr>
            <w:tcW w:w="2430" w:type="dxa"/>
            <w:vMerge w:val="restart"/>
          </w:tcPr>
          <w:p w:rsidR="00A52243" w:rsidRPr="008B58B4" w:rsidRDefault="00A52243" w:rsidP="000F0FAF">
            <w:pPr>
              <w:autoSpaceDE w:val="0"/>
              <w:autoSpaceDN w:val="0"/>
              <w:adjustRightInd w:val="0"/>
              <w:rPr>
                <w:color w:val="000000"/>
              </w:rPr>
            </w:pPr>
            <w:r w:rsidRPr="008B58B4">
              <w:rPr>
                <w:color w:val="000000"/>
              </w:rPr>
              <w:t>Mitigation Strategies</w:t>
            </w: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6a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Coordinated Action Plans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6b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Courses of Action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rPr>
                <w:color w:val="000000"/>
              </w:rPr>
            </w:pP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6c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Understanding of Achievable Mitigation Effects </w:t>
            </w:r>
          </w:p>
        </w:tc>
      </w:tr>
      <w:tr w:rsidR="00A52243" w:rsidRPr="00E400F4" w:rsidTr="000F0FAF">
        <w:trPr>
          <w:trHeight w:val="60"/>
          <w:jc w:val="center"/>
        </w:trPr>
        <w:tc>
          <w:tcPr>
            <w:tcW w:w="1263" w:type="dxa"/>
            <w:vMerge w:val="restart"/>
          </w:tcPr>
          <w:p w:rsidR="00A52243" w:rsidRPr="008B58B4" w:rsidRDefault="00A52243" w:rsidP="000F0FAF">
            <w:pPr>
              <w:autoSpaceDE w:val="0"/>
              <w:autoSpaceDN w:val="0"/>
              <w:adjustRightInd w:val="0"/>
              <w:jc w:val="center"/>
              <w:rPr>
                <w:color w:val="000000"/>
              </w:rPr>
            </w:pPr>
            <w:r w:rsidRPr="008B58B4">
              <w:rPr>
                <w:b/>
                <w:bCs/>
                <w:color w:val="000000"/>
              </w:rPr>
              <w:t>7</w:t>
            </w:r>
          </w:p>
        </w:tc>
        <w:tc>
          <w:tcPr>
            <w:tcW w:w="2430" w:type="dxa"/>
            <w:vMerge w:val="restart"/>
          </w:tcPr>
          <w:p w:rsidR="00A52243" w:rsidRPr="008B58B4" w:rsidRDefault="00A52243" w:rsidP="000F0FAF">
            <w:pPr>
              <w:autoSpaceDE w:val="0"/>
              <w:autoSpaceDN w:val="0"/>
              <w:adjustRightInd w:val="0"/>
              <w:rPr>
                <w:color w:val="000000"/>
              </w:rPr>
            </w:pPr>
            <w:r w:rsidRPr="008B58B4">
              <w:rPr>
                <w:color w:val="000000"/>
              </w:rPr>
              <w:t>Mitigation Actions and Responses</w:t>
            </w:r>
          </w:p>
        </w:tc>
        <w:tc>
          <w:tcPr>
            <w:tcW w:w="1890" w:type="dxa"/>
          </w:tcPr>
          <w:p w:rsidR="00A52243" w:rsidRPr="008B58B4" w:rsidRDefault="00A52243" w:rsidP="000F0FAF">
            <w:pPr>
              <w:autoSpaceDE w:val="0"/>
              <w:autoSpaceDN w:val="0"/>
              <w:adjustRightInd w:val="0"/>
              <w:rPr>
                <w:color w:val="000000"/>
              </w:rPr>
            </w:pPr>
            <w:r w:rsidRPr="008B58B4">
              <w:rPr>
                <w:color w:val="000000"/>
              </w:rPr>
              <w:t xml:space="preserve">7a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Tasking and Status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jc w:val="center"/>
              <w:rPr>
                <w:color w:val="000000"/>
              </w:rPr>
            </w:pPr>
          </w:p>
        </w:tc>
        <w:tc>
          <w:tcPr>
            <w:tcW w:w="1890" w:type="dxa"/>
          </w:tcPr>
          <w:p w:rsidR="00A52243" w:rsidRPr="008B58B4" w:rsidRDefault="00A52243" w:rsidP="000F0FAF">
            <w:pPr>
              <w:autoSpaceDE w:val="0"/>
              <w:autoSpaceDN w:val="0"/>
              <w:adjustRightInd w:val="0"/>
              <w:rPr>
                <w:color w:val="000000"/>
                <w:sz w:val="18"/>
                <w:szCs w:val="18"/>
              </w:rPr>
            </w:pPr>
            <w:r w:rsidRPr="008B58B4">
              <w:rPr>
                <w:color w:val="000000"/>
                <w:sz w:val="18"/>
                <w:szCs w:val="18"/>
              </w:rPr>
              <w:t xml:space="preserve">7b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CNO Capability Awareness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jc w:val="center"/>
              <w:rPr>
                <w:color w:val="000000"/>
              </w:rPr>
            </w:pPr>
          </w:p>
        </w:tc>
        <w:tc>
          <w:tcPr>
            <w:tcW w:w="1890" w:type="dxa"/>
          </w:tcPr>
          <w:p w:rsidR="00A52243" w:rsidRPr="008B58B4" w:rsidRDefault="00A52243" w:rsidP="000F0FAF">
            <w:pPr>
              <w:autoSpaceDE w:val="0"/>
              <w:autoSpaceDN w:val="0"/>
              <w:adjustRightInd w:val="0"/>
              <w:rPr>
                <w:color w:val="000000"/>
                <w:sz w:val="18"/>
                <w:szCs w:val="18"/>
              </w:rPr>
            </w:pPr>
            <w:r w:rsidRPr="008B58B4">
              <w:rPr>
                <w:color w:val="000000"/>
                <w:sz w:val="18"/>
                <w:szCs w:val="18"/>
              </w:rPr>
              <w:t xml:space="preserve">7c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Effectiveness Reporting </w:t>
            </w:r>
          </w:p>
        </w:tc>
      </w:tr>
      <w:tr w:rsidR="00A52243" w:rsidRPr="00E400F4" w:rsidTr="000F0FAF">
        <w:trPr>
          <w:trHeight w:val="233"/>
          <w:jc w:val="center"/>
        </w:trPr>
        <w:tc>
          <w:tcPr>
            <w:tcW w:w="1263" w:type="dxa"/>
            <w:vMerge/>
          </w:tcPr>
          <w:p w:rsidR="00A52243" w:rsidRPr="008B58B4" w:rsidRDefault="00A52243" w:rsidP="000F0FAF">
            <w:pPr>
              <w:autoSpaceDE w:val="0"/>
              <w:autoSpaceDN w:val="0"/>
              <w:adjustRightInd w:val="0"/>
              <w:jc w:val="center"/>
              <w:rPr>
                <w:b/>
                <w:bCs/>
                <w:color w:val="000000"/>
              </w:rPr>
            </w:pPr>
          </w:p>
        </w:tc>
        <w:tc>
          <w:tcPr>
            <w:tcW w:w="2430" w:type="dxa"/>
            <w:vMerge/>
          </w:tcPr>
          <w:p w:rsidR="00A52243" w:rsidRPr="008B58B4" w:rsidRDefault="00A52243" w:rsidP="000F0FAF">
            <w:pPr>
              <w:autoSpaceDE w:val="0"/>
              <w:autoSpaceDN w:val="0"/>
              <w:adjustRightInd w:val="0"/>
              <w:jc w:val="center"/>
              <w:rPr>
                <w:color w:val="000000"/>
              </w:rPr>
            </w:pPr>
          </w:p>
        </w:tc>
        <w:tc>
          <w:tcPr>
            <w:tcW w:w="1890" w:type="dxa"/>
          </w:tcPr>
          <w:p w:rsidR="00A52243" w:rsidRPr="008B58B4" w:rsidRDefault="00A52243" w:rsidP="000F0FAF">
            <w:pPr>
              <w:autoSpaceDE w:val="0"/>
              <w:autoSpaceDN w:val="0"/>
              <w:adjustRightInd w:val="0"/>
              <w:rPr>
                <w:color w:val="000000"/>
                <w:sz w:val="18"/>
                <w:szCs w:val="18"/>
              </w:rPr>
            </w:pPr>
            <w:r w:rsidRPr="008B58B4">
              <w:rPr>
                <w:color w:val="000000"/>
                <w:sz w:val="18"/>
                <w:szCs w:val="18"/>
              </w:rPr>
              <w:t xml:space="preserve">7d </w:t>
            </w:r>
          </w:p>
        </w:tc>
        <w:tc>
          <w:tcPr>
            <w:tcW w:w="3423" w:type="dxa"/>
          </w:tcPr>
          <w:p w:rsidR="00A52243" w:rsidRPr="008B58B4" w:rsidRDefault="00A52243" w:rsidP="000F0FAF">
            <w:pPr>
              <w:autoSpaceDE w:val="0"/>
              <w:autoSpaceDN w:val="0"/>
              <w:adjustRightInd w:val="0"/>
              <w:rPr>
                <w:color w:val="000000"/>
              </w:rPr>
            </w:pPr>
            <w:r w:rsidRPr="008B58B4">
              <w:rPr>
                <w:color w:val="000000"/>
              </w:rPr>
              <w:t xml:space="preserve">After-Action / Lessons Learned Information </w:t>
            </w:r>
          </w:p>
        </w:tc>
      </w:tr>
    </w:tbl>
    <w:p w:rsidR="00A52243" w:rsidRPr="008B58B4" w:rsidRDefault="00A52243" w:rsidP="00A52243">
      <w:pPr>
        <w:pStyle w:val="Default"/>
        <w:rPr>
          <w:rFonts w:ascii="Times New Roman" w:hAnsi="Times New Roman" w:cs="Times New Roman"/>
          <w:sz w:val="22"/>
          <w:szCs w:val="22"/>
        </w:rPr>
      </w:pPr>
    </w:p>
    <w:p w:rsidR="00A52243" w:rsidRDefault="00A52243" w:rsidP="00DE64A6">
      <w:pPr>
        <w:rPr>
          <w:sz w:val="22"/>
          <w:szCs w:val="22"/>
          <w:lang w:eastAsia="x-none"/>
        </w:rPr>
      </w:pPr>
    </w:p>
    <w:p w:rsidR="00A52243" w:rsidRPr="006872E9" w:rsidRDefault="00A52243" w:rsidP="00DE64A6">
      <w:pPr>
        <w:rPr>
          <w:sz w:val="22"/>
          <w:szCs w:val="22"/>
          <w:lang w:eastAsia="x-none"/>
        </w:rPr>
      </w:pPr>
    </w:p>
    <w:p w:rsidR="00EA3F17" w:rsidRDefault="00EA3F17" w:rsidP="00EA3F17">
      <w:pPr>
        <w:rPr>
          <w:b/>
          <w:bCs/>
          <w:kern w:val="32"/>
          <w:sz w:val="22"/>
          <w:szCs w:val="22"/>
        </w:rPr>
      </w:pPr>
    </w:p>
    <w:p w:rsidR="00B35F30" w:rsidRDefault="00B35F30">
      <w:pPr>
        <w:rPr>
          <w:b/>
          <w:bCs/>
          <w:kern w:val="32"/>
          <w:sz w:val="22"/>
          <w:szCs w:val="22"/>
        </w:rPr>
      </w:pPr>
      <w:r>
        <w:rPr>
          <w:b/>
          <w:bCs/>
          <w:kern w:val="32"/>
          <w:sz w:val="22"/>
          <w:szCs w:val="22"/>
        </w:rPr>
        <w:br w:type="page"/>
      </w:r>
    </w:p>
    <w:p w:rsidR="00B35F30" w:rsidRPr="006872E9" w:rsidRDefault="00B35F30" w:rsidP="00EA3F17">
      <w:pPr>
        <w:rPr>
          <w:b/>
          <w:bCs/>
          <w:kern w:val="32"/>
          <w:sz w:val="22"/>
          <w:szCs w:val="22"/>
        </w:rPr>
      </w:pPr>
    </w:p>
    <w:p w:rsidR="003E5D42" w:rsidRDefault="003E5D42" w:rsidP="003E5D42">
      <w:pPr>
        <w:pStyle w:val="Title"/>
        <w:outlineLvl w:val="0"/>
        <w:rPr>
          <w:rFonts w:ascii="Times New Roman" w:hAnsi="Times New Roman"/>
          <w:sz w:val="22"/>
          <w:szCs w:val="22"/>
        </w:rPr>
      </w:pPr>
      <w:bookmarkStart w:id="68" w:name="_Toc414269190"/>
      <w:r>
        <w:rPr>
          <w:rFonts w:ascii="Times New Roman" w:hAnsi="Times New Roman"/>
          <w:sz w:val="22"/>
          <w:szCs w:val="22"/>
        </w:rPr>
        <w:t>Appendix B</w:t>
      </w:r>
      <w:r w:rsidR="00850485">
        <w:rPr>
          <w:rFonts w:ascii="Times New Roman" w:hAnsi="Times New Roman"/>
          <w:sz w:val="22"/>
          <w:szCs w:val="22"/>
        </w:rPr>
        <w:t>—</w:t>
      </w:r>
      <w:r w:rsidR="00A52243" w:rsidRPr="00A52243">
        <w:rPr>
          <w:rFonts w:ascii="Times New Roman" w:hAnsi="Times New Roman"/>
          <w:sz w:val="22"/>
          <w:szCs w:val="22"/>
        </w:rPr>
        <w:t xml:space="preserve"> </w:t>
      </w:r>
      <w:r w:rsidR="00A52243" w:rsidRPr="006872E9">
        <w:rPr>
          <w:rFonts w:ascii="Times New Roman" w:hAnsi="Times New Roman"/>
          <w:sz w:val="22"/>
          <w:szCs w:val="22"/>
        </w:rPr>
        <w:t>Document History</w:t>
      </w:r>
      <w:bookmarkEnd w:id="68"/>
    </w:p>
    <w:p w:rsidR="00850485" w:rsidRDefault="00850485" w:rsidP="00850485">
      <w:pPr>
        <w:autoSpaceDE w:val="0"/>
        <w:autoSpaceDN w:val="0"/>
        <w:adjustRightInd w:val="0"/>
        <w:rPr>
          <w:color w:val="000000"/>
          <w:sz w:val="22"/>
          <w:szCs w:val="22"/>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170"/>
        <w:gridCol w:w="2970"/>
        <w:gridCol w:w="3780"/>
      </w:tblGrid>
      <w:tr w:rsidR="00A52243" w:rsidRPr="006872E9" w:rsidTr="000F0FAF">
        <w:trPr>
          <w:trHeight w:val="432"/>
        </w:trPr>
        <w:tc>
          <w:tcPr>
            <w:tcW w:w="1440" w:type="dxa"/>
            <w:shd w:val="clear" w:color="auto" w:fill="FFFFFF"/>
            <w:vAlign w:val="center"/>
          </w:tcPr>
          <w:p w:rsidR="00A52243" w:rsidRPr="006872E9" w:rsidRDefault="00A52243" w:rsidP="000F0FAF">
            <w:pPr>
              <w:jc w:val="center"/>
              <w:rPr>
                <w:b/>
                <w:sz w:val="22"/>
                <w:szCs w:val="22"/>
              </w:rPr>
            </w:pPr>
            <w:r w:rsidRPr="006872E9">
              <w:rPr>
                <w:b/>
                <w:sz w:val="22"/>
                <w:szCs w:val="22"/>
              </w:rPr>
              <w:t>Date</w:t>
            </w:r>
          </w:p>
        </w:tc>
        <w:tc>
          <w:tcPr>
            <w:tcW w:w="1170" w:type="dxa"/>
            <w:shd w:val="clear" w:color="auto" w:fill="FFFFFF"/>
            <w:vAlign w:val="center"/>
          </w:tcPr>
          <w:p w:rsidR="00A52243" w:rsidRPr="006872E9" w:rsidRDefault="00A52243" w:rsidP="000F0FAF">
            <w:pPr>
              <w:jc w:val="center"/>
              <w:rPr>
                <w:b/>
                <w:sz w:val="22"/>
                <w:szCs w:val="22"/>
              </w:rPr>
            </w:pPr>
            <w:r w:rsidRPr="006872E9">
              <w:rPr>
                <w:b/>
                <w:sz w:val="22"/>
                <w:szCs w:val="22"/>
              </w:rPr>
              <w:t>Version</w:t>
            </w:r>
          </w:p>
        </w:tc>
        <w:tc>
          <w:tcPr>
            <w:tcW w:w="2970" w:type="dxa"/>
            <w:shd w:val="clear" w:color="auto" w:fill="FFFFFF"/>
            <w:vAlign w:val="center"/>
          </w:tcPr>
          <w:p w:rsidR="00A52243" w:rsidRPr="006872E9" w:rsidRDefault="00A52243" w:rsidP="000F0FAF">
            <w:pPr>
              <w:jc w:val="center"/>
              <w:rPr>
                <w:b/>
                <w:sz w:val="22"/>
                <w:szCs w:val="22"/>
              </w:rPr>
            </w:pPr>
            <w:r w:rsidRPr="006872E9">
              <w:rPr>
                <w:b/>
                <w:sz w:val="22"/>
                <w:szCs w:val="22"/>
              </w:rPr>
              <w:t>Editor</w:t>
            </w:r>
          </w:p>
        </w:tc>
        <w:tc>
          <w:tcPr>
            <w:tcW w:w="3780" w:type="dxa"/>
            <w:shd w:val="clear" w:color="auto" w:fill="FFFFFF"/>
            <w:vAlign w:val="center"/>
          </w:tcPr>
          <w:p w:rsidR="00A52243" w:rsidRPr="006872E9" w:rsidRDefault="00A52243" w:rsidP="000F0FAF">
            <w:pPr>
              <w:jc w:val="center"/>
              <w:rPr>
                <w:b/>
                <w:sz w:val="22"/>
                <w:szCs w:val="22"/>
              </w:rPr>
            </w:pPr>
            <w:r w:rsidRPr="006872E9">
              <w:rPr>
                <w:b/>
                <w:sz w:val="22"/>
                <w:szCs w:val="22"/>
              </w:rPr>
              <w:t>Change</w:t>
            </w:r>
          </w:p>
        </w:tc>
      </w:tr>
      <w:tr w:rsidR="00A52243" w:rsidRPr="006872E9" w:rsidTr="000F0FAF">
        <w:tc>
          <w:tcPr>
            <w:tcW w:w="1440" w:type="dxa"/>
          </w:tcPr>
          <w:p w:rsidR="00A52243" w:rsidRPr="006872E9" w:rsidRDefault="00A52243" w:rsidP="000F0FAF">
            <w:pPr>
              <w:rPr>
                <w:sz w:val="22"/>
                <w:szCs w:val="22"/>
              </w:rPr>
            </w:pPr>
          </w:p>
        </w:tc>
        <w:tc>
          <w:tcPr>
            <w:tcW w:w="1170" w:type="dxa"/>
          </w:tcPr>
          <w:p w:rsidR="00A52243" w:rsidRPr="006872E9" w:rsidRDefault="00A52243" w:rsidP="000F0FAF">
            <w:pPr>
              <w:jc w:val="center"/>
              <w:rPr>
                <w:sz w:val="22"/>
                <w:szCs w:val="22"/>
              </w:rPr>
            </w:pPr>
          </w:p>
        </w:tc>
        <w:tc>
          <w:tcPr>
            <w:tcW w:w="2970" w:type="dxa"/>
          </w:tcPr>
          <w:p w:rsidR="00A52243" w:rsidRPr="006872E9" w:rsidRDefault="00A52243" w:rsidP="000F0FAF">
            <w:pPr>
              <w:rPr>
                <w:sz w:val="22"/>
                <w:szCs w:val="22"/>
              </w:rPr>
            </w:pPr>
          </w:p>
        </w:tc>
        <w:tc>
          <w:tcPr>
            <w:tcW w:w="3780" w:type="dxa"/>
          </w:tcPr>
          <w:p w:rsidR="00A52243" w:rsidRPr="006872E9" w:rsidRDefault="00A52243" w:rsidP="000F0FAF">
            <w:pPr>
              <w:rPr>
                <w:sz w:val="22"/>
                <w:szCs w:val="22"/>
              </w:rPr>
            </w:pPr>
          </w:p>
        </w:tc>
      </w:tr>
      <w:tr w:rsidR="00A52243" w:rsidRPr="006872E9" w:rsidTr="000F0FAF">
        <w:tc>
          <w:tcPr>
            <w:tcW w:w="1440" w:type="dxa"/>
          </w:tcPr>
          <w:p w:rsidR="00A52243" w:rsidRPr="006872E9" w:rsidRDefault="00A52243" w:rsidP="000F0FAF">
            <w:pPr>
              <w:rPr>
                <w:sz w:val="22"/>
                <w:szCs w:val="22"/>
              </w:rPr>
            </w:pPr>
          </w:p>
        </w:tc>
        <w:tc>
          <w:tcPr>
            <w:tcW w:w="1170" w:type="dxa"/>
          </w:tcPr>
          <w:p w:rsidR="00A52243" w:rsidRPr="006872E9" w:rsidRDefault="00A52243" w:rsidP="000F0FAF">
            <w:pPr>
              <w:jc w:val="center"/>
              <w:rPr>
                <w:sz w:val="22"/>
                <w:szCs w:val="22"/>
              </w:rPr>
            </w:pPr>
          </w:p>
        </w:tc>
        <w:tc>
          <w:tcPr>
            <w:tcW w:w="2970" w:type="dxa"/>
          </w:tcPr>
          <w:p w:rsidR="00A52243" w:rsidRPr="006872E9" w:rsidRDefault="00A52243" w:rsidP="000F0FAF">
            <w:pPr>
              <w:rPr>
                <w:sz w:val="22"/>
                <w:szCs w:val="22"/>
              </w:rPr>
            </w:pPr>
          </w:p>
        </w:tc>
        <w:tc>
          <w:tcPr>
            <w:tcW w:w="3780" w:type="dxa"/>
          </w:tcPr>
          <w:p w:rsidR="00A52243" w:rsidRPr="006872E9" w:rsidRDefault="00A52243" w:rsidP="000F0FAF">
            <w:pPr>
              <w:rPr>
                <w:sz w:val="22"/>
                <w:szCs w:val="22"/>
              </w:rPr>
            </w:pPr>
          </w:p>
        </w:tc>
      </w:tr>
      <w:tr w:rsidR="00A52243" w:rsidRPr="006872E9" w:rsidTr="000F0FAF">
        <w:tc>
          <w:tcPr>
            <w:tcW w:w="1440" w:type="dxa"/>
          </w:tcPr>
          <w:p w:rsidR="00A52243" w:rsidRPr="006872E9" w:rsidRDefault="00A52243" w:rsidP="000F0FAF">
            <w:pPr>
              <w:rPr>
                <w:sz w:val="22"/>
                <w:szCs w:val="22"/>
              </w:rPr>
            </w:pPr>
          </w:p>
        </w:tc>
        <w:tc>
          <w:tcPr>
            <w:tcW w:w="1170" w:type="dxa"/>
          </w:tcPr>
          <w:p w:rsidR="00A52243" w:rsidRPr="006872E9" w:rsidRDefault="00A52243" w:rsidP="000F0FAF">
            <w:pPr>
              <w:jc w:val="center"/>
              <w:rPr>
                <w:sz w:val="22"/>
                <w:szCs w:val="22"/>
              </w:rPr>
            </w:pPr>
          </w:p>
        </w:tc>
        <w:tc>
          <w:tcPr>
            <w:tcW w:w="2970" w:type="dxa"/>
          </w:tcPr>
          <w:p w:rsidR="00A52243" w:rsidRPr="006872E9" w:rsidRDefault="00A52243" w:rsidP="000F0FAF">
            <w:pPr>
              <w:rPr>
                <w:sz w:val="22"/>
                <w:szCs w:val="22"/>
              </w:rPr>
            </w:pPr>
          </w:p>
        </w:tc>
        <w:tc>
          <w:tcPr>
            <w:tcW w:w="3780" w:type="dxa"/>
          </w:tcPr>
          <w:p w:rsidR="00A52243" w:rsidRPr="006872E9" w:rsidRDefault="00A52243" w:rsidP="000F0FAF">
            <w:pPr>
              <w:rPr>
                <w:sz w:val="22"/>
                <w:szCs w:val="22"/>
              </w:rPr>
            </w:pPr>
          </w:p>
        </w:tc>
      </w:tr>
      <w:tr w:rsidR="00A52243" w:rsidRPr="006872E9" w:rsidTr="000F0FAF">
        <w:tc>
          <w:tcPr>
            <w:tcW w:w="1440" w:type="dxa"/>
          </w:tcPr>
          <w:p w:rsidR="00A52243" w:rsidRPr="006872E9" w:rsidRDefault="00A52243" w:rsidP="000F0FAF">
            <w:pPr>
              <w:rPr>
                <w:sz w:val="22"/>
                <w:szCs w:val="22"/>
              </w:rPr>
            </w:pPr>
          </w:p>
        </w:tc>
        <w:tc>
          <w:tcPr>
            <w:tcW w:w="1170" w:type="dxa"/>
          </w:tcPr>
          <w:p w:rsidR="00A52243" w:rsidRPr="006872E9" w:rsidRDefault="00A52243" w:rsidP="000F0FAF">
            <w:pPr>
              <w:jc w:val="center"/>
              <w:rPr>
                <w:sz w:val="22"/>
                <w:szCs w:val="22"/>
              </w:rPr>
            </w:pPr>
          </w:p>
        </w:tc>
        <w:tc>
          <w:tcPr>
            <w:tcW w:w="2970" w:type="dxa"/>
          </w:tcPr>
          <w:p w:rsidR="00A52243" w:rsidRPr="006872E9" w:rsidRDefault="00A52243" w:rsidP="000F0FAF">
            <w:pPr>
              <w:rPr>
                <w:sz w:val="22"/>
                <w:szCs w:val="22"/>
              </w:rPr>
            </w:pPr>
          </w:p>
        </w:tc>
        <w:tc>
          <w:tcPr>
            <w:tcW w:w="3780" w:type="dxa"/>
          </w:tcPr>
          <w:p w:rsidR="00A52243" w:rsidRPr="006872E9" w:rsidRDefault="00A52243" w:rsidP="000F0FAF">
            <w:pPr>
              <w:rPr>
                <w:sz w:val="22"/>
                <w:szCs w:val="22"/>
              </w:rPr>
            </w:pPr>
          </w:p>
        </w:tc>
      </w:tr>
      <w:tr w:rsidR="00A52243" w:rsidRPr="006872E9" w:rsidTr="000F0FAF">
        <w:tc>
          <w:tcPr>
            <w:tcW w:w="1440" w:type="dxa"/>
          </w:tcPr>
          <w:p w:rsidR="00A52243" w:rsidRPr="006872E9" w:rsidRDefault="00A52243" w:rsidP="000F0FAF">
            <w:pPr>
              <w:rPr>
                <w:sz w:val="22"/>
                <w:szCs w:val="22"/>
              </w:rPr>
            </w:pPr>
          </w:p>
        </w:tc>
        <w:tc>
          <w:tcPr>
            <w:tcW w:w="1170" w:type="dxa"/>
          </w:tcPr>
          <w:p w:rsidR="00A52243" w:rsidRPr="006872E9" w:rsidRDefault="00A52243" w:rsidP="000F0FAF">
            <w:pPr>
              <w:jc w:val="center"/>
              <w:rPr>
                <w:sz w:val="22"/>
                <w:szCs w:val="22"/>
              </w:rPr>
            </w:pPr>
          </w:p>
        </w:tc>
        <w:tc>
          <w:tcPr>
            <w:tcW w:w="2970" w:type="dxa"/>
          </w:tcPr>
          <w:p w:rsidR="00A52243" w:rsidRPr="006872E9" w:rsidRDefault="00A52243" w:rsidP="000F0FAF">
            <w:pPr>
              <w:rPr>
                <w:sz w:val="22"/>
                <w:szCs w:val="22"/>
              </w:rPr>
            </w:pPr>
          </w:p>
        </w:tc>
        <w:tc>
          <w:tcPr>
            <w:tcW w:w="3780" w:type="dxa"/>
          </w:tcPr>
          <w:p w:rsidR="00A52243" w:rsidRPr="006872E9" w:rsidRDefault="00A52243" w:rsidP="000F0FAF">
            <w:pPr>
              <w:rPr>
                <w:sz w:val="22"/>
                <w:szCs w:val="22"/>
              </w:rPr>
            </w:pPr>
          </w:p>
        </w:tc>
      </w:tr>
      <w:tr w:rsidR="00A52243" w:rsidRPr="006872E9" w:rsidTr="000F0FAF">
        <w:tc>
          <w:tcPr>
            <w:tcW w:w="1440" w:type="dxa"/>
          </w:tcPr>
          <w:p w:rsidR="00A52243" w:rsidRPr="006872E9" w:rsidRDefault="00A52243" w:rsidP="000F0FAF">
            <w:pPr>
              <w:rPr>
                <w:sz w:val="22"/>
                <w:szCs w:val="22"/>
              </w:rPr>
            </w:pPr>
          </w:p>
        </w:tc>
        <w:tc>
          <w:tcPr>
            <w:tcW w:w="1170" w:type="dxa"/>
          </w:tcPr>
          <w:p w:rsidR="00A52243" w:rsidRPr="006872E9" w:rsidRDefault="00A52243" w:rsidP="000F0FAF">
            <w:pPr>
              <w:jc w:val="center"/>
              <w:rPr>
                <w:sz w:val="22"/>
                <w:szCs w:val="22"/>
              </w:rPr>
            </w:pPr>
          </w:p>
        </w:tc>
        <w:tc>
          <w:tcPr>
            <w:tcW w:w="2970" w:type="dxa"/>
          </w:tcPr>
          <w:p w:rsidR="00A52243" w:rsidRPr="006872E9" w:rsidRDefault="00A52243" w:rsidP="000F0FAF">
            <w:pPr>
              <w:rPr>
                <w:sz w:val="22"/>
                <w:szCs w:val="22"/>
              </w:rPr>
            </w:pPr>
          </w:p>
        </w:tc>
        <w:tc>
          <w:tcPr>
            <w:tcW w:w="3780" w:type="dxa"/>
          </w:tcPr>
          <w:p w:rsidR="00A52243" w:rsidRPr="006872E9" w:rsidRDefault="00A52243" w:rsidP="000F0FAF">
            <w:pPr>
              <w:rPr>
                <w:sz w:val="22"/>
                <w:szCs w:val="22"/>
              </w:rPr>
            </w:pPr>
          </w:p>
        </w:tc>
      </w:tr>
      <w:tr w:rsidR="00A52243" w:rsidRPr="006872E9" w:rsidTr="000F0FAF">
        <w:tc>
          <w:tcPr>
            <w:tcW w:w="1440" w:type="dxa"/>
          </w:tcPr>
          <w:p w:rsidR="00A52243" w:rsidRPr="006872E9" w:rsidRDefault="00A52243" w:rsidP="000F0FAF">
            <w:pPr>
              <w:rPr>
                <w:sz w:val="22"/>
                <w:szCs w:val="22"/>
              </w:rPr>
            </w:pPr>
          </w:p>
        </w:tc>
        <w:tc>
          <w:tcPr>
            <w:tcW w:w="1170" w:type="dxa"/>
          </w:tcPr>
          <w:p w:rsidR="00A52243" w:rsidRPr="006872E9" w:rsidRDefault="00A52243" w:rsidP="000F0FAF">
            <w:pPr>
              <w:jc w:val="center"/>
              <w:rPr>
                <w:sz w:val="22"/>
                <w:szCs w:val="22"/>
              </w:rPr>
            </w:pPr>
          </w:p>
        </w:tc>
        <w:tc>
          <w:tcPr>
            <w:tcW w:w="2970" w:type="dxa"/>
          </w:tcPr>
          <w:p w:rsidR="00A52243" w:rsidRPr="006872E9" w:rsidRDefault="00A52243" w:rsidP="000F0FAF">
            <w:pPr>
              <w:rPr>
                <w:sz w:val="22"/>
                <w:szCs w:val="22"/>
              </w:rPr>
            </w:pPr>
          </w:p>
        </w:tc>
        <w:tc>
          <w:tcPr>
            <w:tcW w:w="3780" w:type="dxa"/>
          </w:tcPr>
          <w:p w:rsidR="00A52243" w:rsidRPr="006872E9" w:rsidRDefault="00A52243" w:rsidP="000F0FAF">
            <w:pPr>
              <w:rPr>
                <w:sz w:val="22"/>
                <w:szCs w:val="22"/>
              </w:rPr>
            </w:pPr>
          </w:p>
        </w:tc>
      </w:tr>
      <w:tr w:rsidR="00A52243" w:rsidRPr="006872E9" w:rsidTr="000F0FAF">
        <w:tc>
          <w:tcPr>
            <w:tcW w:w="1440" w:type="dxa"/>
          </w:tcPr>
          <w:p w:rsidR="00A52243" w:rsidRPr="006872E9" w:rsidRDefault="00A52243" w:rsidP="000F0FAF">
            <w:pPr>
              <w:rPr>
                <w:sz w:val="22"/>
                <w:szCs w:val="22"/>
              </w:rPr>
            </w:pPr>
          </w:p>
        </w:tc>
        <w:tc>
          <w:tcPr>
            <w:tcW w:w="1170" w:type="dxa"/>
          </w:tcPr>
          <w:p w:rsidR="00A52243" w:rsidRPr="006872E9" w:rsidRDefault="00A52243" w:rsidP="000F0FAF">
            <w:pPr>
              <w:jc w:val="center"/>
              <w:rPr>
                <w:sz w:val="22"/>
                <w:szCs w:val="22"/>
              </w:rPr>
            </w:pPr>
          </w:p>
        </w:tc>
        <w:tc>
          <w:tcPr>
            <w:tcW w:w="2970" w:type="dxa"/>
          </w:tcPr>
          <w:p w:rsidR="00A52243" w:rsidRPr="006872E9" w:rsidRDefault="00A52243" w:rsidP="000F0FAF">
            <w:pPr>
              <w:rPr>
                <w:sz w:val="22"/>
                <w:szCs w:val="22"/>
              </w:rPr>
            </w:pPr>
          </w:p>
        </w:tc>
        <w:tc>
          <w:tcPr>
            <w:tcW w:w="3780" w:type="dxa"/>
          </w:tcPr>
          <w:p w:rsidR="00A52243" w:rsidRPr="006872E9" w:rsidRDefault="00A52243" w:rsidP="000F0FAF">
            <w:pPr>
              <w:rPr>
                <w:sz w:val="22"/>
                <w:szCs w:val="22"/>
              </w:rPr>
            </w:pPr>
          </w:p>
        </w:tc>
      </w:tr>
      <w:tr w:rsidR="00A52243" w:rsidRPr="006872E9" w:rsidTr="000F0FAF">
        <w:tc>
          <w:tcPr>
            <w:tcW w:w="1440" w:type="dxa"/>
          </w:tcPr>
          <w:p w:rsidR="00A52243" w:rsidRPr="006872E9" w:rsidRDefault="00A52243" w:rsidP="000F0FAF">
            <w:pPr>
              <w:rPr>
                <w:sz w:val="22"/>
                <w:szCs w:val="22"/>
              </w:rPr>
            </w:pPr>
          </w:p>
        </w:tc>
        <w:tc>
          <w:tcPr>
            <w:tcW w:w="1170" w:type="dxa"/>
          </w:tcPr>
          <w:p w:rsidR="00A52243" w:rsidRPr="006872E9" w:rsidRDefault="00A52243" w:rsidP="000F0FAF">
            <w:pPr>
              <w:jc w:val="center"/>
              <w:rPr>
                <w:sz w:val="22"/>
                <w:szCs w:val="22"/>
              </w:rPr>
            </w:pPr>
          </w:p>
        </w:tc>
        <w:tc>
          <w:tcPr>
            <w:tcW w:w="2970" w:type="dxa"/>
          </w:tcPr>
          <w:p w:rsidR="00A52243" w:rsidRPr="006872E9" w:rsidRDefault="00A52243" w:rsidP="000F0FAF">
            <w:pPr>
              <w:rPr>
                <w:sz w:val="22"/>
                <w:szCs w:val="22"/>
              </w:rPr>
            </w:pPr>
          </w:p>
        </w:tc>
        <w:tc>
          <w:tcPr>
            <w:tcW w:w="3780" w:type="dxa"/>
          </w:tcPr>
          <w:p w:rsidR="00A52243" w:rsidRPr="006872E9" w:rsidRDefault="00A52243" w:rsidP="000F0FAF">
            <w:pPr>
              <w:rPr>
                <w:sz w:val="22"/>
                <w:szCs w:val="22"/>
              </w:rPr>
            </w:pPr>
          </w:p>
        </w:tc>
      </w:tr>
    </w:tbl>
    <w:p w:rsidR="00850485" w:rsidRPr="00F5451B" w:rsidRDefault="00850485" w:rsidP="00F5451B">
      <w:pPr>
        <w:rPr>
          <w:lang w:val="x-none" w:eastAsia="x-none"/>
        </w:rPr>
      </w:pPr>
    </w:p>
    <w:p w:rsidR="00311F5E" w:rsidRDefault="00311F5E" w:rsidP="00F5451B">
      <w:pPr>
        <w:pStyle w:val="Title"/>
      </w:pPr>
      <w:r>
        <w:br w:type="page"/>
      </w:r>
    </w:p>
    <w:p w:rsidR="00311F5E" w:rsidRPr="00311F5E" w:rsidRDefault="00311F5E" w:rsidP="00311F5E">
      <w:pPr>
        <w:pStyle w:val="Title"/>
        <w:outlineLvl w:val="0"/>
        <w:rPr>
          <w:rFonts w:ascii="Times New Roman" w:hAnsi="Times New Roman"/>
          <w:sz w:val="22"/>
          <w:szCs w:val="22"/>
          <w:lang w:val="en-US"/>
        </w:rPr>
      </w:pPr>
      <w:bookmarkStart w:id="69" w:name="_Toc414269191"/>
      <w:bookmarkStart w:id="70" w:name="_Toc412789489"/>
      <w:r w:rsidRPr="006872E9">
        <w:rPr>
          <w:rFonts w:ascii="Times New Roman" w:hAnsi="Times New Roman"/>
          <w:sz w:val="22"/>
          <w:szCs w:val="22"/>
        </w:rPr>
        <w:t xml:space="preserve">Appendix </w:t>
      </w:r>
      <w:r w:rsidR="00B35F30">
        <w:rPr>
          <w:rFonts w:ascii="Times New Roman" w:hAnsi="Times New Roman"/>
          <w:sz w:val="22"/>
          <w:szCs w:val="22"/>
          <w:lang w:val="en-US"/>
        </w:rPr>
        <w:t>C</w:t>
      </w:r>
      <w:r w:rsidRPr="006872E9">
        <w:rPr>
          <w:rFonts w:ascii="Times New Roman" w:hAnsi="Times New Roman"/>
          <w:sz w:val="22"/>
          <w:szCs w:val="22"/>
        </w:rPr>
        <w:t>—</w:t>
      </w:r>
      <w:r w:rsidR="00B35F30">
        <w:rPr>
          <w:rFonts w:ascii="Times New Roman" w:hAnsi="Times New Roman"/>
          <w:sz w:val="22"/>
          <w:szCs w:val="22"/>
          <w:lang w:val="en-US"/>
        </w:rPr>
        <w:t>Fusion Center Cyber Information Sharing</w:t>
      </w:r>
      <w:bookmarkEnd w:id="69"/>
      <w:bookmarkEnd w:id="70"/>
    </w:p>
    <w:p w:rsidR="003254D1" w:rsidRDefault="003254D1" w:rsidP="00DE64A6">
      <w:pPr>
        <w:jc w:val="center"/>
        <w:rPr>
          <w:b/>
          <w:sz w:val="22"/>
          <w:szCs w:val="22"/>
        </w:rPr>
      </w:pPr>
    </w:p>
    <w:p w:rsidR="00311F5E" w:rsidRDefault="00311F5E" w:rsidP="00F5451B">
      <w:pPr>
        <w:rPr>
          <w:b/>
          <w:sz w:val="22"/>
          <w:szCs w:val="22"/>
        </w:rPr>
      </w:pPr>
    </w:p>
    <w:p w:rsidR="00B35F30" w:rsidRPr="008B58B4" w:rsidRDefault="00B35F30" w:rsidP="00B35F30">
      <w:pPr>
        <w:pStyle w:val="Heading4"/>
        <w:numPr>
          <w:ilvl w:val="0"/>
          <w:numId w:val="0"/>
        </w:numPr>
        <w:ind w:left="864"/>
        <w:rPr>
          <w:highlight w:val="red"/>
        </w:rPr>
      </w:pPr>
      <w:bookmarkStart w:id="71" w:name="_Toc414269192"/>
      <w:commentRangeStart w:id="72"/>
      <w:r w:rsidRPr="008B58B4">
        <w:rPr>
          <w:highlight w:val="red"/>
        </w:rPr>
        <w:t>Fusion Center Cross-Domain Sharing</w:t>
      </w:r>
      <w:commentRangeEnd w:id="72"/>
      <w:r>
        <w:rPr>
          <w:rStyle w:val="CommentReference"/>
          <w:rFonts w:ascii="Calibri" w:hAnsi="Calibri"/>
          <w:lang w:bidi="en-US"/>
        </w:rPr>
        <w:commentReference w:id="72"/>
      </w:r>
      <w:bookmarkEnd w:id="71"/>
    </w:p>
    <w:p w:rsidR="00B35F30" w:rsidRPr="00A045B3" w:rsidRDefault="00B35F30" w:rsidP="00B35F30"/>
    <w:tbl>
      <w:tblPr>
        <w:tblW w:w="9483" w:type="dxa"/>
        <w:tblInd w:w="93" w:type="dxa"/>
        <w:tblLayout w:type="fixed"/>
        <w:tblLook w:val="04A0" w:firstRow="1" w:lastRow="0" w:firstColumn="1" w:lastColumn="0" w:noHBand="0" w:noVBand="1"/>
      </w:tblPr>
      <w:tblGrid>
        <w:gridCol w:w="1348"/>
        <w:gridCol w:w="107"/>
        <w:gridCol w:w="81"/>
        <w:gridCol w:w="1161"/>
        <w:gridCol w:w="1349"/>
        <w:gridCol w:w="1164"/>
        <w:gridCol w:w="184"/>
        <w:gridCol w:w="1349"/>
        <w:gridCol w:w="1349"/>
        <w:gridCol w:w="1349"/>
        <w:gridCol w:w="42"/>
      </w:tblGrid>
      <w:tr w:rsidR="00B35F30" w:rsidRPr="006872E9" w:rsidTr="0033793D">
        <w:trPr>
          <w:trHeight w:val="152"/>
        </w:trPr>
        <w:tc>
          <w:tcPr>
            <w:tcW w:w="9483" w:type="dxa"/>
            <w:gridSpan w:val="11"/>
            <w:tcBorders>
              <w:top w:val="single" w:sz="4" w:space="0" w:color="auto"/>
              <w:left w:val="single" w:sz="8" w:space="0" w:color="auto"/>
              <w:bottom w:val="single" w:sz="4" w:space="0" w:color="auto"/>
              <w:right w:val="single" w:sz="8" w:space="0" w:color="000000"/>
            </w:tcBorders>
            <w:shd w:val="clear" w:color="auto" w:fill="1F497D" w:themeFill="text2"/>
          </w:tcPr>
          <w:p w:rsidR="00B35F30" w:rsidRPr="006872E9" w:rsidRDefault="00B35F30" w:rsidP="0033793D">
            <w:pPr>
              <w:jc w:val="center"/>
              <w:rPr>
                <w:color w:val="FFFFFF" w:themeColor="background1"/>
                <w:sz w:val="22"/>
                <w:szCs w:val="22"/>
              </w:rPr>
            </w:pPr>
            <w:r w:rsidRPr="006872E9">
              <w:rPr>
                <w:color w:val="FFFFFF" w:themeColor="background1"/>
                <w:sz w:val="22"/>
                <w:szCs w:val="22"/>
              </w:rPr>
              <w:t>Use Case Description</w:t>
            </w:r>
          </w:p>
        </w:tc>
      </w:tr>
      <w:tr w:rsidR="00B35F30" w:rsidRPr="006872E9" w:rsidTr="0033793D">
        <w:trPr>
          <w:trHeight w:val="88"/>
        </w:trPr>
        <w:tc>
          <w:tcPr>
            <w:tcW w:w="1455" w:type="dxa"/>
            <w:gridSpan w:val="2"/>
            <w:tcBorders>
              <w:top w:val="single" w:sz="8" w:space="0" w:color="auto"/>
              <w:left w:val="single" w:sz="8" w:space="0" w:color="auto"/>
              <w:bottom w:val="single" w:sz="4" w:space="0" w:color="auto"/>
              <w:right w:val="single" w:sz="8" w:space="0" w:color="auto"/>
            </w:tcBorders>
          </w:tcPr>
          <w:p w:rsidR="00B35F30" w:rsidRPr="006872E9" w:rsidRDefault="00B35F30" w:rsidP="0033793D">
            <w:pPr>
              <w:rPr>
                <w:sz w:val="22"/>
                <w:szCs w:val="22"/>
              </w:rPr>
            </w:pPr>
            <w:r w:rsidRPr="006872E9">
              <w:rPr>
                <w:sz w:val="22"/>
                <w:szCs w:val="22"/>
              </w:rPr>
              <w:t>Title</w:t>
            </w:r>
          </w:p>
        </w:tc>
        <w:tc>
          <w:tcPr>
            <w:tcW w:w="8028" w:type="dxa"/>
            <w:gridSpan w:val="9"/>
            <w:tcBorders>
              <w:top w:val="single" w:sz="4" w:space="0" w:color="auto"/>
              <w:left w:val="nil"/>
              <w:bottom w:val="single" w:sz="4" w:space="0" w:color="auto"/>
              <w:right w:val="single" w:sz="8" w:space="0" w:color="000000"/>
            </w:tcBorders>
          </w:tcPr>
          <w:p w:rsidR="00B35F30" w:rsidRPr="006872E9" w:rsidRDefault="00B35F30" w:rsidP="0033793D">
            <w:pPr>
              <w:rPr>
                <w:sz w:val="22"/>
                <w:szCs w:val="22"/>
              </w:rPr>
            </w:pPr>
            <w:r w:rsidRPr="00F5451B">
              <w:rPr>
                <w:szCs w:val="22"/>
              </w:rPr>
              <w:t>Fusion Center Cross-Domain Sharing</w:t>
            </w:r>
          </w:p>
        </w:tc>
      </w:tr>
      <w:tr w:rsidR="00B35F30" w:rsidRPr="006872E9" w:rsidTr="0033793D">
        <w:trPr>
          <w:trHeight w:val="50"/>
        </w:trPr>
        <w:tc>
          <w:tcPr>
            <w:tcW w:w="1455" w:type="dxa"/>
            <w:gridSpan w:val="2"/>
            <w:tcBorders>
              <w:top w:val="single" w:sz="8" w:space="0" w:color="auto"/>
              <w:left w:val="single" w:sz="8" w:space="0" w:color="auto"/>
              <w:bottom w:val="single" w:sz="4" w:space="0" w:color="auto"/>
              <w:right w:val="single" w:sz="8" w:space="0" w:color="auto"/>
            </w:tcBorders>
          </w:tcPr>
          <w:p w:rsidR="00B35F30" w:rsidRPr="006872E9" w:rsidRDefault="00B35F30" w:rsidP="0033793D">
            <w:pPr>
              <w:rPr>
                <w:sz w:val="22"/>
                <w:szCs w:val="22"/>
              </w:rPr>
            </w:pPr>
            <w:r w:rsidRPr="006872E9">
              <w:rPr>
                <w:sz w:val="22"/>
                <w:szCs w:val="22"/>
              </w:rPr>
              <w:t>Organization</w:t>
            </w:r>
          </w:p>
        </w:tc>
        <w:tc>
          <w:tcPr>
            <w:tcW w:w="8028" w:type="dxa"/>
            <w:gridSpan w:val="9"/>
            <w:tcBorders>
              <w:top w:val="single" w:sz="4" w:space="0" w:color="auto"/>
              <w:left w:val="nil"/>
              <w:bottom w:val="single" w:sz="4" w:space="0" w:color="auto"/>
              <w:right w:val="single" w:sz="8" w:space="0" w:color="000000"/>
            </w:tcBorders>
          </w:tcPr>
          <w:p w:rsidR="00B35F30" w:rsidRPr="00F5451B" w:rsidRDefault="00B35F30" w:rsidP="0033793D">
            <w:r w:rsidRPr="00F5451B">
              <w:t>Fusion Center</w:t>
            </w:r>
          </w:p>
        </w:tc>
      </w:tr>
      <w:tr w:rsidR="00B35F30" w:rsidRPr="006872E9" w:rsidTr="0033793D">
        <w:trPr>
          <w:trHeight w:val="50"/>
        </w:trPr>
        <w:tc>
          <w:tcPr>
            <w:tcW w:w="1455" w:type="dxa"/>
            <w:gridSpan w:val="2"/>
            <w:tcBorders>
              <w:top w:val="single" w:sz="8" w:space="0" w:color="auto"/>
              <w:left w:val="single" w:sz="8" w:space="0" w:color="auto"/>
              <w:bottom w:val="single" w:sz="4" w:space="0" w:color="auto"/>
              <w:right w:val="single" w:sz="8" w:space="0" w:color="auto"/>
            </w:tcBorders>
          </w:tcPr>
          <w:p w:rsidR="00B35F30" w:rsidRPr="006872E9" w:rsidRDefault="00B35F30" w:rsidP="0033793D">
            <w:pPr>
              <w:rPr>
                <w:sz w:val="22"/>
                <w:szCs w:val="22"/>
              </w:rPr>
            </w:pPr>
            <w:r w:rsidRPr="006872E9">
              <w:rPr>
                <w:sz w:val="22"/>
                <w:szCs w:val="22"/>
              </w:rPr>
              <w:t>Security Classification</w:t>
            </w:r>
          </w:p>
        </w:tc>
        <w:tc>
          <w:tcPr>
            <w:tcW w:w="8028" w:type="dxa"/>
            <w:gridSpan w:val="9"/>
            <w:tcBorders>
              <w:top w:val="single" w:sz="4" w:space="0" w:color="auto"/>
              <w:left w:val="nil"/>
              <w:bottom w:val="single" w:sz="4" w:space="0" w:color="auto"/>
              <w:right w:val="single" w:sz="8" w:space="0" w:color="000000"/>
            </w:tcBorders>
          </w:tcPr>
          <w:p w:rsidR="00B35F30" w:rsidRPr="00F5451B" w:rsidRDefault="00B35F30" w:rsidP="0033793D">
            <w:r w:rsidRPr="00F5451B">
              <w:t>Law Enforcement Sensitive</w:t>
            </w:r>
          </w:p>
        </w:tc>
      </w:tr>
      <w:tr w:rsidR="00B35F30" w:rsidRPr="006872E9" w:rsidTr="0033793D">
        <w:trPr>
          <w:trHeight w:val="493"/>
        </w:trPr>
        <w:tc>
          <w:tcPr>
            <w:tcW w:w="1455" w:type="dxa"/>
            <w:gridSpan w:val="2"/>
            <w:tcBorders>
              <w:top w:val="single" w:sz="8" w:space="0" w:color="auto"/>
              <w:left w:val="single" w:sz="8" w:space="0" w:color="auto"/>
              <w:bottom w:val="single" w:sz="4" w:space="0" w:color="auto"/>
              <w:right w:val="single" w:sz="8" w:space="0" w:color="auto"/>
            </w:tcBorders>
            <w:hideMark/>
          </w:tcPr>
          <w:p w:rsidR="00B35F30" w:rsidRPr="006872E9" w:rsidRDefault="00B35F30" w:rsidP="0033793D">
            <w:pPr>
              <w:rPr>
                <w:sz w:val="22"/>
                <w:szCs w:val="22"/>
              </w:rPr>
            </w:pPr>
            <w:r w:rsidRPr="006872E9">
              <w:rPr>
                <w:sz w:val="22"/>
                <w:szCs w:val="22"/>
              </w:rPr>
              <w:t>Use Case Description</w:t>
            </w:r>
          </w:p>
        </w:tc>
        <w:tc>
          <w:tcPr>
            <w:tcW w:w="8028" w:type="dxa"/>
            <w:gridSpan w:val="9"/>
            <w:tcBorders>
              <w:top w:val="single" w:sz="4" w:space="0" w:color="auto"/>
              <w:left w:val="nil"/>
              <w:bottom w:val="single" w:sz="4" w:space="0" w:color="auto"/>
              <w:right w:val="single" w:sz="8" w:space="0" w:color="000000"/>
            </w:tcBorders>
          </w:tcPr>
          <w:p w:rsidR="00B35F30" w:rsidRPr="00F5451B" w:rsidRDefault="00B35F30" w:rsidP="0033793D">
            <w:r w:rsidRPr="00F5451B">
              <w:t>This use case describes scenarios where a fusion center supports multiple communities by bridging gaps in structure, format, protocol, and vocabularies to communicate intelligence products that may alert the community to a cross-domain incident while it is happening, or provide a more detailed product that advises the community about the issues, provides indicators that the community of practitioners may leverage to track the anomaly, or provide more detailed recommendations on mitigation strategies, or actions that the community could take to help address the issue</w:t>
            </w:r>
          </w:p>
          <w:p w:rsidR="00B35F30" w:rsidRPr="006872E9" w:rsidRDefault="00B35F30" w:rsidP="0033793D">
            <w:pPr>
              <w:rPr>
                <w:sz w:val="22"/>
                <w:szCs w:val="22"/>
              </w:rPr>
            </w:pPr>
          </w:p>
        </w:tc>
      </w:tr>
      <w:tr w:rsidR="00B35F30" w:rsidRPr="006872E9" w:rsidTr="0033793D">
        <w:trPr>
          <w:gridAfter w:val="1"/>
          <w:wAfter w:w="42" w:type="dxa"/>
          <w:trHeight w:val="152"/>
        </w:trPr>
        <w:tc>
          <w:tcPr>
            <w:tcW w:w="9441" w:type="dxa"/>
            <w:gridSpan w:val="10"/>
            <w:tcBorders>
              <w:top w:val="single" w:sz="4" w:space="0" w:color="auto"/>
              <w:left w:val="single" w:sz="8" w:space="0" w:color="auto"/>
              <w:bottom w:val="single" w:sz="4" w:space="0" w:color="auto"/>
              <w:right w:val="single" w:sz="8" w:space="0" w:color="000000"/>
            </w:tcBorders>
            <w:shd w:val="clear" w:color="auto" w:fill="1F497D" w:themeFill="text2"/>
          </w:tcPr>
          <w:p w:rsidR="00B35F30" w:rsidRPr="006872E9" w:rsidRDefault="00B35F30" w:rsidP="0033793D">
            <w:pPr>
              <w:jc w:val="center"/>
              <w:rPr>
                <w:color w:val="FFFFFF" w:themeColor="background1"/>
                <w:sz w:val="22"/>
                <w:szCs w:val="22"/>
              </w:rPr>
            </w:pPr>
            <w:r>
              <w:rPr>
                <w:color w:val="FFFFFF" w:themeColor="background1"/>
                <w:sz w:val="22"/>
                <w:szCs w:val="22"/>
              </w:rPr>
              <w:t>COIs</w:t>
            </w:r>
          </w:p>
        </w:tc>
      </w:tr>
      <w:tr w:rsidR="00B35F30" w:rsidRPr="006313E5" w:rsidTr="0033793D">
        <w:trPr>
          <w:gridAfter w:val="1"/>
          <w:wAfter w:w="42" w:type="dxa"/>
          <w:trHeight w:val="60"/>
        </w:trPr>
        <w:tc>
          <w:tcPr>
            <w:tcW w:w="1348" w:type="dxa"/>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847683651"/>
                <w14:checkbox>
                  <w14:checked w14:val="0"/>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Pr>
                <w:sz w:val="22"/>
                <w:szCs w:val="22"/>
              </w:rPr>
              <w:t xml:space="preserve"> </w:t>
            </w:r>
            <w:r w:rsidR="00B35F30" w:rsidRPr="006313E5">
              <w:rPr>
                <w:sz w:val="22"/>
                <w:szCs w:val="22"/>
              </w:rPr>
              <w:t>P&lt;&gt;F</w:t>
            </w:r>
          </w:p>
        </w:tc>
        <w:tc>
          <w:tcPr>
            <w:tcW w:w="1349" w:type="dxa"/>
            <w:gridSpan w:val="3"/>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2011441784"/>
                <w14:checkbox>
                  <w14:checked w14:val="0"/>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P&lt;&gt;S</w:t>
            </w:r>
          </w:p>
        </w:tc>
        <w:tc>
          <w:tcPr>
            <w:tcW w:w="1349" w:type="dxa"/>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843908194"/>
                <w14:checkbox>
                  <w14:checked w14:val="0"/>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P&lt;&gt;I</w:t>
            </w:r>
          </w:p>
        </w:tc>
        <w:tc>
          <w:tcPr>
            <w:tcW w:w="1348"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1789391841"/>
                <w14:checkbox>
                  <w14:checked w14:val="1"/>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F&lt;&gt;S</w:t>
            </w:r>
          </w:p>
        </w:tc>
        <w:tc>
          <w:tcPr>
            <w:tcW w:w="1349" w:type="dxa"/>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1847053410"/>
                <w14:checkbox>
                  <w14:checked w14:val="1"/>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F&lt;&gt;I</w:t>
            </w:r>
          </w:p>
        </w:tc>
        <w:tc>
          <w:tcPr>
            <w:tcW w:w="1349" w:type="dxa"/>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976337181"/>
                <w14:checkbox>
                  <w14:checked w14:val="0"/>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S&lt;&gt;I</w:t>
            </w:r>
          </w:p>
        </w:tc>
        <w:tc>
          <w:tcPr>
            <w:tcW w:w="1349" w:type="dxa"/>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225608591"/>
                <w14:checkbox>
                  <w14:checked w14:val="0"/>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P&lt;&gt;P</w:t>
            </w:r>
          </w:p>
        </w:tc>
      </w:tr>
      <w:tr w:rsidR="00B35F30" w:rsidRPr="006313E5" w:rsidTr="0033793D">
        <w:trPr>
          <w:gridAfter w:val="1"/>
          <w:wAfter w:w="42" w:type="dxa"/>
          <w:trHeight w:val="89"/>
        </w:trPr>
        <w:tc>
          <w:tcPr>
            <w:tcW w:w="1348" w:type="dxa"/>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1218698452"/>
                <w14:checkbox>
                  <w14:checked w14:val="1"/>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F&lt;&gt;F</w:t>
            </w:r>
          </w:p>
        </w:tc>
        <w:tc>
          <w:tcPr>
            <w:tcW w:w="1349" w:type="dxa"/>
            <w:gridSpan w:val="3"/>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389610532"/>
                <w14:checkbox>
                  <w14:checked w14:val="1"/>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S&lt;&gt;S</w:t>
            </w:r>
          </w:p>
        </w:tc>
        <w:tc>
          <w:tcPr>
            <w:tcW w:w="1349" w:type="dxa"/>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1312912475"/>
                <w14:checkbox>
                  <w14:checked w14:val="0"/>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I&lt;&gt;I</w:t>
            </w:r>
          </w:p>
        </w:tc>
        <w:tc>
          <w:tcPr>
            <w:tcW w:w="1348" w:type="dxa"/>
            <w:gridSpan w:val="2"/>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870883323"/>
                <w14:checkbox>
                  <w14:checked w14:val="0"/>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F&lt;&gt;C</w:t>
            </w:r>
          </w:p>
        </w:tc>
        <w:tc>
          <w:tcPr>
            <w:tcW w:w="1349" w:type="dxa"/>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953252692"/>
                <w14:checkbox>
                  <w14:checked w14:val="0"/>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P&lt;&gt;C</w:t>
            </w:r>
          </w:p>
        </w:tc>
        <w:tc>
          <w:tcPr>
            <w:tcW w:w="1349" w:type="dxa"/>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580565898"/>
                <w14:checkbox>
                  <w14:checked w14:val="0"/>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S&lt;&gt;C</w:t>
            </w:r>
          </w:p>
        </w:tc>
        <w:tc>
          <w:tcPr>
            <w:tcW w:w="1349" w:type="dxa"/>
            <w:tcBorders>
              <w:top w:val="single" w:sz="4" w:space="0" w:color="auto"/>
              <w:left w:val="single" w:sz="8" w:space="0" w:color="auto"/>
              <w:bottom w:val="single" w:sz="4" w:space="0" w:color="auto"/>
              <w:right w:val="single" w:sz="8" w:space="0" w:color="000000"/>
            </w:tcBorders>
            <w:shd w:val="clear" w:color="auto" w:fill="FFFFFF" w:themeFill="background1"/>
          </w:tcPr>
          <w:p w:rsidR="00B35F30" w:rsidRPr="006313E5" w:rsidRDefault="0013687B" w:rsidP="0033793D">
            <w:pPr>
              <w:jc w:val="center"/>
              <w:rPr>
                <w:sz w:val="22"/>
                <w:szCs w:val="22"/>
              </w:rPr>
            </w:pPr>
            <w:sdt>
              <w:sdtPr>
                <w:rPr>
                  <w:sz w:val="22"/>
                  <w:szCs w:val="22"/>
                </w:rPr>
                <w:id w:val="-252510095"/>
                <w14:checkbox>
                  <w14:checked w14:val="0"/>
                  <w14:checkedState w14:val="2612" w14:font="MS Gothic"/>
                  <w14:uncheckedState w14:val="2610" w14:font="MS Gothic"/>
                </w14:checkbox>
              </w:sdtPr>
              <w:sdtContent>
                <w:r w:rsidR="00B35F30">
                  <w:rPr>
                    <w:rFonts w:ascii="MS Gothic" w:eastAsia="MS Gothic" w:hAnsi="MS Gothic" w:hint="eastAsia"/>
                    <w:sz w:val="22"/>
                    <w:szCs w:val="22"/>
                  </w:rPr>
                  <w:t>☐</w:t>
                </w:r>
              </w:sdtContent>
            </w:sdt>
            <w:r w:rsidR="00B35F30" w:rsidRPr="006313E5">
              <w:rPr>
                <w:sz w:val="22"/>
                <w:szCs w:val="22"/>
              </w:rPr>
              <w:t xml:space="preserve"> C&lt;&gt;C</w:t>
            </w:r>
          </w:p>
        </w:tc>
      </w:tr>
      <w:tr w:rsidR="00B35F30" w:rsidRPr="006872E9" w:rsidTr="0033793D">
        <w:trPr>
          <w:trHeight w:val="152"/>
        </w:trPr>
        <w:tc>
          <w:tcPr>
            <w:tcW w:w="9483" w:type="dxa"/>
            <w:gridSpan w:val="11"/>
            <w:tcBorders>
              <w:top w:val="single" w:sz="4" w:space="0" w:color="auto"/>
              <w:left w:val="single" w:sz="8" w:space="0" w:color="auto"/>
              <w:bottom w:val="single" w:sz="4" w:space="0" w:color="auto"/>
              <w:right w:val="single" w:sz="8" w:space="0" w:color="000000"/>
            </w:tcBorders>
            <w:shd w:val="clear" w:color="auto" w:fill="1F497D" w:themeFill="text2"/>
          </w:tcPr>
          <w:p w:rsidR="00B35F30" w:rsidRPr="006872E9" w:rsidRDefault="00B35F30" w:rsidP="0033793D">
            <w:pPr>
              <w:jc w:val="center"/>
              <w:rPr>
                <w:color w:val="FFFFFF" w:themeColor="background1"/>
                <w:sz w:val="22"/>
                <w:szCs w:val="22"/>
              </w:rPr>
            </w:pPr>
            <w:r w:rsidRPr="006872E9">
              <w:rPr>
                <w:color w:val="FFFFFF" w:themeColor="background1"/>
                <w:sz w:val="22"/>
                <w:szCs w:val="22"/>
              </w:rPr>
              <w:t>Key Stakeholders</w:t>
            </w:r>
          </w:p>
        </w:tc>
      </w:tr>
      <w:tr w:rsidR="00B35F30" w:rsidRPr="006872E9" w:rsidTr="0033793D">
        <w:trPr>
          <w:trHeight w:val="80"/>
        </w:trPr>
        <w:tc>
          <w:tcPr>
            <w:tcW w:w="1455" w:type="dxa"/>
            <w:gridSpan w:val="2"/>
            <w:tcBorders>
              <w:top w:val="single" w:sz="4" w:space="0" w:color="auto"/>
              <w:left w:val="single" w:sz="8" w:space="0" w:color="auto"/>
              <w:bottom w:val="single" w:sz="4" w:space="0" w:color="auto"/>
              <w:right w:val="single" w:sz="8" w:space="0" w:color="auto"/>
            </w:tcBorders>
          </w:tcPr>
          <w:p w:rsidR="00B35F30" w:rsidRPr="006872E9" w:rsidRDefault="00B35F30" w:rsidP="0033793D">
            <w:pPr>
              <w:rPr>
                <w:sz w:val="22"/>
                <w:szCs w:val="22"/>
              </w:rPr>
            </w:pPr>
            <w:r w:rsidRPr="006872E9">
              <w:rPr>
                <w:sz w:val="22"/>
                <w:szCs w:val="22"/>
              </w:rPr>
              <w:t>Producers</w:t>
            </w:r>
          </w:p>
        </w:tc>
        <w:tc>
          <w:tcPr>
            <w:tcW w:w="8028" w:type="dxa"/>
            <w:gridSpan w:val="9"/>
            <w:tcBorders>
              <w:top w:val="single" w:sz="4" w:space="0" w:color="auto"/>
              <w:left w:val="nil"/>
              <w:bottom w:val="single" w:sz="4" w:space="0" w:color="auto"/>
              <w:right w:val="single" w:sz="8" w:space="0" w:color="000000"/>
            </w:tcBorders>
            <w:shd w:val="clear" w:color="auto" w:fill="FFFFFF"/>
          </w:tcPr>
          <w:p w:rsidR="00B35F30" w:rsidRPr="006872E9" w:rsidRDefault="00B35F30" w:rsidP="0033793D">
            <w:pPr>
              <w:rPr>
                <w:sz w:val="22"/>
                <w:szCs w:val="22"/>
              </w:rPr>
            </w:pPr>
          </w:p>
        </w:tc>
      </w:tr>
      <w:tr w:rsidR="00B35F30" w:rsidRPr="006872E9" w:rsidTr="0033793D">
        <w:trPr>
          <w:trHeight w:val="350"/>
        </w:trPr>
        <w:tc>
          <w:tcPr>
            <w:tcW w:w="1455" w:type="dxa"/>
            <w:gridSpan w:val="2"/>
            <w:tcBorders>
              <w:top w:val="single" w:sz="4" w:space="0" w:color="auto"/>
              <w:left w:val="single" w:sz="8" w:space="0" w:color="auto"/>
              <w:bottom w:val="single" w:sz="4" w:space="0" w:color="auto"/>
              <w:right w:val="single" w:sz="8" w:space="0" w:color="auto"/>
            </w:tcBorders>
          </w:tcPr>
          <w:p w:rsidR="00B35F30" w:rsidRPr="006872E9" w:rsidRDefault="00B35F30" w:rsidP="0033793D">
            <w:pPr>
              <w:rPr>
                <w:sz w:val="22"/>
                <w:szCs w:val="22"/>
              </w:rPr>
            </w:pPr>
            <w:r w:rsidRPr="006872E9">
              <w:rPr>
                <w:sz w:val="22"/>
                <w:szCs w:val="22"/>
              </w:rPr>
              <w:t>Consumer</w:t>
            </w:r>
            <w:r>
              <w:rPr>
                <w:sz w:val="22"/>
                <w:szCs w:val="22"/>
              </w:rPr>
              <w:t>s</w:t>
            </w:r>
          </w:p>
        </w:tc>
        <w:tc>
          <w:tcPr>
            <w:tcW w:w="8028" w:type="dxa"/>
            <w:gridSpan w:val="9"/>
            <w:tcBorders>
              <w:top w:val="single" w:sz="4" w:space="0" w:color="auto"/>
              <w:left w:val="nil"/>
              <w:bottom w:val="single" w:sz="4" w:space="0" w:color="auto"/>
              <w:right w:val="single" w:sz="8" w:space="0" w:color="000000"/>
            </w:tcBorders>
            <w:shd w:val="clear" w:color="auto" w:fill="FFFFFF"/>
          </w:tcPr>
          <w:p w:rsidR="00B35F30" w:rsidRPr="006872E9" w:rsidRDefault="00B35F30" w:rsidP="0033793D">
            <w:pPr>
              <w:rPr>
                <w:sz w:val="22"/>
                <w:szCs w:val="22"/>
              </w:rPr>
            </w:pPr>
          </w:p>
        </w:tc>
      </w:tr>
      <w:tr w:rsidR="00B35F30" w:rsidRPr="006872E9" w:rsidTr="0033793D">
        <w:trPr>
          <w:gridAfter w:val="1"/>
          <w:wAfter w:w="42" w:type="dxa"/>
          <w:trHeight w:val="152"/>
        </w:trPr>
        <w:tc>
          <w:tcPr>
            <w:tcW w:w="9441" w:type="dxa"/>
            <w:gridSpan w:val="10"/>
            <w:tcBorders>
              <w:top w:val="single" w:sz="4" w:space="0" w:color="auto"/>
              <w:left w:val="single" w:sz="8" w:space="0" w:color="auto"/>
              <w:bottom w:val="single" w:sz="4" w:space="0" w:color="auto"/>
              <w:right w:val="single" w:sz="8" w:space="0" w:color="000000"/>
            </w:tcBorders>
            <w:shd w:val="clear" w:color="auto" w:fill="1F497D" w:themeFill="text2"/>
          </w:tcPr>
          <w:p w:rsidR="00B35F30" w:rsidRPr="006872E9" w:rsidRDefault="00B35F30" w:rsidP="0033793D">
            <w:pPr>
              <w:jc w:val="center"/>
              <w:rPr>
                <w:color w:val="FFFFFF" w:themeColor="background1"/>
                <w:sz w:val="22"/>
                <w:szCs w:val="22"/>
              </w:rPr>
            </w:pPr>
            <w:r w:rsidRPr="006872E9">
              <w:rPr>
                <w:color w:val="FFFFFF" w:themeColor="background1"/>
                <w:sz w:val="22"/>
                <w:szCs w:val="22"/>
              </w:rPr>
              <w:t>Use Case Details</w:t>
            </w:r>
          </w:p>
        </w:tc>
      </w:tr>
      <w:tr w:rsidR="00B35F30" w:rsidRPr="006872E9" w:rsidTr="0033793D">
        <w:trPr>
          <w:gridAfter w:val="1"/>
          <w:wAfter w:w="42" w:type="dxa"/>
          <w:trHeight w:val="60"/>
        </w:trPr>
        <w:tc>
          <w:tcPr>
            <w:tcW w:w="1536" w:type="dxa"/>
            <w:gridSpan w:val="3"/>
            <w:tcBorders>
              <w:top w:val="single" w:sz="4" w:space="0" w:color="auto"/>
              <w:left w:val="single" w:sz="8" w:space="0" w:color="auto"/>
              <w:bottom w:val="single" w:sz="4" w:space="0" w:color="auto"/>
              <w:right w:val="single" w:sz="8" w:space="0" w:color="auto"/>
            </w:tcBorders>
            <w:hideMark/>
          </w:tcPr>
          <w:p w:rsidR="00B35F30" w:rsidRPr="006872E9" w:rsidRDefault="00B35F30" w:rsidP="0033793D">
            <w:pPr>
              <w:rPr>
                <w:sz w:val="22"/>
                <w:szCs w:val="22"/>
              </w:rPr>
            </w:pPr>
            <w:r w:rsidRPr="006872E9">
              <w:rPr>
                <w:sz w:val="22"/>
                <w:szCs w:val="22"/>
              </w:rPr>
              <w:t>Assumptions</w:t>
            </w:r>
          </w:p>
        </w:tc>
        <w:tc>
          <w:tcPr>
            <w:tcW w:w="7905" w:type="dxa"/>
            <w:gridSpan w:val="7"/>
            <w:tcBorders>
              <w:top w:val="single" w:sz="4" w:space="0" w:color="auto"/>
              <w:left w:val="nil"/>
              <w:bottom w:val="single" w:sz="4" w:space="0" w:color="auto"/>
              <w:right w:val="single" w:sz="8" w:space="0" w:color="000000"/>
            </w:tcBorders>
            <w:shd w:val="clear" w:color="auto" w:fill="FFFFFF"/>
            <w:hideMark/>
          </w:tcPr>
          <w:p w:rsidR="00B35F30" w:rsidRPr="006872E9" w:rsidRDefault="00B35F30" w:rsidP="0033793D"/>
        </w:tc>
      </w:tr>
      <w:tr w:rsidR="00B35F30" w:rsidRPr="006872E9" w:rsidTr="0033793D">
        <w:trPr>
          <w:gridAfter w:val="1"/>
          <w:wAfter w:w="42" w:type="dxa"/>
          <w:trHeight w:val="530"/>
        </w:trPr>
        <w:tc>
          <w:tcPr>
            <w:tcW w:w="1536" w:type="dxa"/>
            <w:gridSpan w:val="3"/>
            <w:tcBorders>
              <w:top w:val="single" w:sz="4" w:space="0" w:color="auto"/>
              <w:left w:val="single" w:sz="8" w:space="0" w:color="auto"/>
              <w:bottom w:val="single" w:sz="8" w:space="0" w:color="auto"/>
              <w:right w:val="single" w:sz="8" w:space="0" w:color="auto"/>
            </w:tcBorders>
            <w:hideMark/>
          </w:tcPr>
          <w:p w:rsidR="00B35F30" w:rsidRPr="006872E9" w:rsidRDefault="00B35F30" w:rsidP="0033793D">
            <w:pPr>
              <w:rPr>
                <w:sz w:val="22"/>
                <w:szCs w:val="22"/>
              </w:rPr>
            </w:pPr>
            <w:r w:rsidRPr="006872E9">
              <w:rPr>
                <w:sz w:val="22"/>
                <w:szCs w:val="22"/>
              </w:rPr>
              <w:t>Exchange Scenario</w:t>
            </w:r>
          </w:p>
        </w:tc>
        <w:tc>
          <w:tcPr>
            <w:tcW w:w="7905" w:type="dxa"/>
            <w:gridSpan w:val="7"/>
            <w:tcBorders>
              <w:top w:val="single" w:sz="4" w:space="0" w:color="auto"/>
              <w:left w:val="nil"/>
              <w:bottom w:val="single" w:sz="8" w:space="0" w:color="000000"/>
              <w:right w:val="single" w:sz="8" w:space="0" w:color="000000"/>
            </w:tcBorders>
          </w:tcPr>
          <w:p w:rsidR="00B35F30" w:rsidRPr="001114FD" w:rsidRDefault="00B35F30" w:rsidP="0033793D">
            <w:r>
              <w:t>PROBLEM/INCIDENT</w:t>
            </w:r>
            <w:r>
              <w:br/>
            </w:r>
            <w:r>
              <w:br/>
              <w:t>Wayland PD: Computer Crime Targeting Municipalities - Forward to IT Units</w:t>
            </w:r>
            <w:r>
              <w:br/>
            </w:r>
            <w:r>
              <w:br/>
              <w:t>Recently, the Town of Wayland, MA became a victim of a computer crime, in which, suspect(s) were able to access one of the Town of Wayland's bank accounts and attempted to wire $4,365,365.94 in three wires to China and Mongolia.</w:t>
            </w:r>
            <w:r>
              <w:br/>
            </w:r>
            <w:r>
              <w:br/>
              <w:t>Thankfully, the wires were not completed.  During the initial investigation, the IT department had located an email that contained 2 viruses sent from an outside Auditor to employees of the town.  At least one town employee opened the email and subsequently, malware was detected on the Towns server.</w:t>
            </w:r>
            <w:r>
              <w:br/>
            </w:r>
            <w:r>
              <w:br/>
              <w:t>The two malware files that you/your towns/cities should be aware of are:</w:t>
            </w:r>
            <w:r>
              <w:br/>
            </w:r>
            <w:r>
              <w:br/>
              <w:t>Trojan.Email.FakeDoc and Spyware.Dyre</w:t>
            </w:r>
            <w:r>
              <w:br/>
            </w:r>
            <w:r>
              <w:br/>
              <w:t>It is believed that what appears to be a bank website is a copy of one and once you input your login and password it is captured.</w:t>
            </w:r>
            <w:r>
              <w:br/>
            </w:r>
            <w:r>
              <w:br/>
              <w:t>The Wayland Police Department is working with the FBI Boston Division on this investigation.  The FBI reports that this complex criminal activity has not been seen in the Boston area before.  I am trying to get the word out so that other towns/cities do not fall victim.</w:t>
            </w:r>
            <w:r>
              <w:br/>
            </w:r>
            <w:r>
              <w:br/>
            </w:r>
            <w:r>
              <w:br/>
              <w:t>ASCIA FOLLOW UP QUESTIONS</w:t>
            </w:r>
            <w:r>
              <w:br/>
              <w:t xml:space="preserve">                </w:t>
            </w:r>
            <w:r>
              <w:br/>
              <w:t>•       How was the malware detected on the server?</w:t>
            </w:r>
            <w:r>
              <w:br/>
              <w:t>•       Was the email account that received the malicious email web based or client based?</w:t>
            </w:r>
            <w:r>
              <w:br/>
              <w:t>•       Did the computer network have software / filters to identify suspect email attachments?</w:t>
            </w:r>
            <w:r>
              <w:br/>
              <w:t>•       Where does the fake bank website resolve to / was a domain search done? If so, can we trace it to a server or payment source? Keep in mind that although the investigation may resolve out of county, the server may be located somewhere in the US and someone is paying for that service.</w:t>
            </w:r>
            <w:r>
              <w:br/>
              <w:t>•       What did the advanced email headers of the email reveal?Where did it come from (IP)?</w:t>
            </w:r>
            <w:r>
              <w:br/>
              <w:t>•       Does the town have a policy that addresses opening email from an unknown source?</w:t>
            </w:r>
            <w:r>
              <w:br/>
            </w:r>
            <w:r>
              <w:br/>
              <w:t>RESULTS FROM FOLLOW UP</w:t>
            </w:r>
            <w:r>
              <w:br/>
              <w:t>•       A user on the network reportedly opened an email that was from an outside contractor/auditor and did not open the attachment.</w:t>
            </w:r>
            <w:r>
              <w:br/>
              <w:t>•       The town treasurer reportedly then received an email (from the user who deleted the email and was an employee) that was not opened and deleted it without opening the attachment.</w:t>
            </w:r>
            <w:r>
              <w:br/>
              <w:t>•       The town treasurer then visited what he thought was the bank website which he tried to login.  The website said there were issues try back later.</w:t>
            </w:r>
            <w:r>
              <w:br/>
              <w:t>•       The town treasurer then received a call from what he thought was the bank verifying information for wire transfers, which he provided.</w:t>
            </w:r>
            <w:r>
              <w:br/>
              <w:t>•       A short time later the treasure then received an actual fraud call from the bank whereby he was asked why he was transferring money to China.</w:t>
            </w:r>
            <w:r>
              <w:br/>
              <w:t>•       At this point, the breach was determined.</w:t>
            </w:r>
            <w:r>
              <w:br/>
              <w:t>•       The FBI was involved in the breach and now stands at a lower priority since the funds were not lost.</w:t>
            </w:r>
            <w:r>
              <w:br/>
              <w:t>•       All machines were scanned and the malware was found.  The FBI was determining more information on ip addresses and destinations.</w:t>
            </w:r>
            <w:r>
              <w:br/>
              <w:t>•       Now, pro-actively all machines are scanned daily for anti-virus and malware.</w:t>
            </w:r>
            <w:r>
              <w:br/>
            </w:r>
          </w:p>
        </w:tc>
      </w:tr>
      <w:tr w:rsidR="00B35F30" w:rsidRPr="006872E9" w:rsidTr="0033793D">
        <w:trPr>
          <w:gridAfter w:val="1"/>
          <w:wAfter w:w="42" w:type="dxa"/>
          <w:trHeight w:val="115"/>
        </w:trPr>
        <w:tc>
          <w:tcPr>
            <w:tcW w:w="1536" w:type="dxa"/>
            <w:gridSpan w:val="3"/>
            <w:tcBorders>
              <w:top w:val="single" w:sz="4" w:space="0" w:color="auto"/>
              <w:left w:val="single" w:sz="8" w:space="0" w:color="auto"/>
              <w:bottom w:val="single" w:sz="4" w:space="0" w:color="auto"/>
              <w:right w:val="single" w:sz="8" w:space="0" w:color="auto"/>
            </w:tcBorders>
            <w:hideMark/>
          </w:tcPr>
          <w:p w:rsidR="00B35F30" w:rsidRPr="006872E9" w:rsidRDefault="00B35F30" w:rsidP="0033793D">
            <w:pPr>
              <w:rPr>
                <w:sz w:val="22"/>
                <w:szCs w:val="22"/>
              </w:rPr>
            </w:pPr>
            <w:r w:rsidRPr="006872E9">
              <w:rPr>
                <w:sz w:val="22"/>
                <w:szCs w:val="22"/>
              </w:rPr>
              <w:t>Business Rules</w:t>
            </w:r>
          </w:p>
        </w:tc>
        <w:tc>
          <w:tcPr>
            <w:tcW w:w="7905" w:type="dxa"/>
            <w:gridSpan w:val="7"/>
            <w:tcBorders>
              <w:top w:val="single" w:sz="4" w:space="0" w:color="auto"/>
              <w:left w:val="nil"/>
              <w:bottom w:val="single" w:sz="4" w:space="0" w:color="auto"/>
              <w:right w:val="single" w:sz="8" w:space="0" w:color="000000"/>
            </w:tcBorders>
          </w:tcPr>
          <w:p w:rsidR="00B35F30" w:rsidRPr="006872E9" w:rsidRDefault="00B35F30" w:rsidP="0033793D"/>
        </w:tc>
      </w:tr>
      <w:tr w:rsidR="00B35F30" w:rsidRPr="006872E9" w:rsidTr="0033793D">
        <w:trPr>
          <w:trHeight w:val="152"/>
        </w:trPr>
        <w:tc>
          <w:tcPr>
            <w:tcW w:w="9483" w:type="dxa"/>
            <w:gridSpan w:val="11"/>
            <w:tcBorders>
              <w:top w:val="single" w:sz="4" w:space="0" w:color="auto"/>
              <w:left w:val="single" w:sz="4" w:space="0" w:color="auto"/>
              <w:bottom w:val="single" w:sz="8" w:space="0" w:color="FFFFFF" w:themeColor="background1"/>
              <w:right w:val="single" w:sz="4" w:space="0" w:color="auto"/>
            </w:tcBorders>
            <w:shd w:val="clear" w:color="auto" w:fill="1F497D" w:themeFill="text2"/>
          </w:tcPr>
          <w:p w:rsidR="00B35F30" w:rsidRPr="006872E9" w:rsidRDefault="00B35F30" w:rsidP="0033793D">
            <w:pPr>
              <w:jc w:val="center"/>
              <w:rPr>
                <w:color w:val="FFFFFF" w:themeColor="background1"/>
                <w:sz w:val="22"/>
                <w:szCs w:val="22"/>
              </w:rPr>
            </w:pPr>
            <w:r w:rsidRPr="006872E9">
              <w:rPr>
                <w:color w:val="FFFFFF" w:themeColor="background1"/>
                <w:sz w:val="22"/>
                <w:szCs w:val="22"/>
              </w:rPr>
              <w:t>Data Elements</w:t>
            </w:r>
          </w:p>
        </w:tc>
      </w:tr>
      <w:tr w:rsidR="00B35F30" w:rsidRPr="006872E9" w:rsidTr="0033793D">
        <w:trPr>
          <w:trHeight w:val="50"/>
        </w:trPr>
        <w:tc>
          <w:tcPr>
            <w:tcW w:w="1455" w:type="dxa"/>
            <w:gridSpan w:val="2"/>
            <w:tcBorders>
              <w:top w:val="single" w:sz="8" w:space="0" w:color="FFFFFF" w:themeColor="background1"/>
              <w:left w:val="single" w:sz="8" w:space="0" w:color="auto"/>
              <w:bottom w:val="single" w:sz="8" w:space="0" w:color="FFFFFF" w:themeColor="background1"/>
              <w:right w:val="single" w:sz="4" w:space="0" w:color="auto"/>
            </w:tcBorders>
            <w:shd w:val="clear" w:color="auto" w:fill="1F497D" w:themeFill="text2"/>
            <w:hideMark/>
          </w:tcPr>
          <w:p w:rsidR="00B35F30" w:rsidRPr="006872E9" w:rsidRDefault="00B35F30" w:rsidP="0033793D">
            <w:pPr>
              <w:jc w:val="center"/>
              <w:rPr>
                <w:color w:val="FFFFFF" w:themeColor="background1"/>
                <w:sz w:val="22"/>
                <w:szCs w:val="22"/>
              </w:rPr>
            </w:pPr>
            <w:r w:rsidRPr="006872E9">
              <w:rPr>
                <w:color w:val="FFFFFF" w:themeColor="background1"/>
                <w:sz w:val="22"/>
                <w:szCs w:val="22"/>
              </w:rPr>
              <w:t>Action</w:t>
            </w:r>
          </w:p>
        </w:tc>
        <w:tc>
          <w:tcPr>
            <w:tcW w:w="3755" w:type="dxa"/>
            <w:gridSpan w:val="4"/>
            <w:tcBorders>
              <w:top w:val="single" w:sz="8" w:space="0" w:color="FFFFFF" w:themeColor="background1"/>
              <w:left w:val="single" w:sz="4" w:space="0" w:color="auto"/>
              <w:bottom w:val="single" w:sz="8" w:space="0" w:color="FFFFFF" w:themeColor="background1"/>
              <w:right w:val="single" w:sz="4" w:space="0" w:color="auto"/>
            </w:tcBorders>
            <w:shd w:val="clear" w:color="auto" w:fill="1F497D" w:themeFill="text2"/>
            <w:noWrap/>
            <w:hideMark/>
          </w:tcPr>
          <w:p w:rsidR="00B35F30" w:rsidRPr="006872E9" w:rsidRDefault="00B35F30" w:rsidP="0033793D">
            <w:pPr>
              <w:jc w:val="center"/>
              <w:rPr>
                <w:color w:val="FFFFFF" w:themeColor="background1"/>
                <w:sz w:val="22"/>
                <w:szCs w:val="22"/>
              </w:rPr>
            </w:pPr>
            <w:r w:rsidRPr="006872E9">
              <w:rPr>
                <w:color w:val="FFFFFF" w:themeColor="background1"/>
                <w:sz w:val="22"/>
                <w:szCs w:val="22"/>
              </w:rPr>
              <w:t>Data Elements</w:t>
            </w:r>
          </w:p>
        </w:tc>
        <w:tc>
          <w:tcPr>
            <w:tcW w:w="4273" w:type="dxa"/>
            <w:gridSpan w:val="5"/>
            <w:tcBorders>
              <w:top w:val="single" w:sz="8" w:space="0" w:color="FFFFFF" w:themeColor="background1"/>
              <w:left w:val="single" w:sz="4" w:space="0" w:color="auto"/>
              <w:bottom w:val="single" w:sz="8" w:space="0" w:color="FFFFFF" w:themeColor="background1"/>
              <w:right w:val="single" w:sz="8" w:space="0" w:color="auto"/>
            </w:tcBorders>
            <w:shd w:val="clear" w:color="auto" w:fill="1F497D" w:themeFill="text2"/>
            <w:noWrap/>
            <w:hideMark/>
          </w:tcPr>
          <w:p w:rsidR="00B35F30" w:rsidRPr="006872E9" w:rsidRDefault="00B35F30" w:rsidP="0033793D">
            <w:pPr>
              <w:jc w:val="center"/>
              <w:rPr>
                <w:color w:val="FFFFFF" w:themeColor="background1"/>
                <w:sz w:val="22"/>
                <w:szCs w:val="22"/>
              </w:rPr>
            </w:pPr>
            <w:r w:rsidRPr="006872E9">
              <w:rPr>
                <w:color w:val="FFFFFF" w:themeColor="background1"/>
                <w:sz w:val="22"/>
                <w:szCs w:val="22"/>
              </w:rPr>
              <w:t>Definitions</w:t>
            </w:r>
          </w:p>
        </w:tc>
      </w:tr>
      <w:tr w:rsidR="00B35F30" w:rsidRPr="006872E9" w:rsidTr="0033793D">
        <w:trPr>
          <w:trHeight w:val="50"/>
        </w:trPr>
        <w:tc>
          <w:tcPr>
            <w:tcW w:w="145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5F30" w:rsidRPr="006872E9" w:rsidRDefault="00B35F30" w:rsidP="0033793D">
            <w:pPr>
              <w:jc w:val="center"/>
              <w:rPr>
                <w:color w:val="FFFFFF" w:themeColor="background1"/>
                <w:sz w:val="22"/>
                <w:szCs w:val="22"/>
              </w:rPr>
            </w:pPr>
          </w:p>
        </w:tc>
        <w:tc>
          <w:tcPr>
            <w:tcW w:w="375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tcPr>
          <w:p w:rsidR="00B35F30" w:rsidRPr="006872E9" w:rsidRDefault="00B35F30" w:rsidP="0033793D">
            <w:pPr>
              <w:jc w:val="center"/>
              <w:rPr>
                <w:color w:val="FFFFFF" w:themeColor="background1"/>
                <w:sz w:val="22"/>
                <w:szCs w:val="22"/>
              </w:rPr>
            </w:pPr>
          </w:p>
        </w:tc>
        <w:tc>
          <w:tcPr>
            <w:tcW w:w="4273"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rsidR="00B35F30" w:rsidRPr="006872E9" w:rsidRDefault="00B35F30" w:rsidP="0033793D">
            <w:pPr>
              <w:jc w:val="center"/>
              <w:rPr>
                <w:color w:val="FFFFFF" w:themeColor="background1"/>
                <w:sz w:val="22"/>
                <w:szCs w:val="22"/>
              </w:rPr>
            </w:pPr>
          </w:p>
        </w:tc>
      </w:tr>
      <w:tr w:rsidR="00B35F30" w:rsidRPr="008E6C09" w:rsidTr="0033793D">
        <w:trPr>
          <w:trHeight w:val="50"/>
        </w:trPr>
        <w:tc>
          <w:tcPr>
            <w:tcW w:w="9483"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B35F30" w:rsidRPr="008E6C09" w:rsidRDefault="00B35F30" w:rsidP="00F5451B">
            <w:r w:rsidRPr="008E6C09">
              <w:t xml:space="preserve">Specific </w:t>
            </w:r>
            <w:r>
              <w:t xml:space="preserve">data elements are not available, but here are the ‘types’ of information that may be exchanged to meet the requirements for this use case (depending on the level of detail available at the time of </w:t>
            </w:r>
            <w:r w:rsidRPr="008E6C09">
              <w:t>publication of the intelligence product)</w:t>
            </w:r>
          </w:p>
          <w:p w:rsidR="00B35F30" w:rsidRPr="008E6C09" w:rsidRDefault="00B35F30" w:rsidP="00F5451B"/>
          <w:p w:rsidR="00B35F30" w:rsidRPr="00F5451B" w:rsidRDefault="00B35F30" w:rsidP="00F5451B">
            <w:pPr>
              <w:pStyle w:val="ListParagraph"/>
              <w:numPr>
                <w:ilvl w:val="0"/>
                <w:numId w:val="31"/>
              </w:numPr>
              <w:rPr>
                <w:rFonts w:ascii="Times New Roman" w:hAnsi="Times New Roman"/>
                <w:sz w:val="20"/>
                <w:szCs w:val="20"/>
              </w:rPr>
            </w:pPr>
            <w:r w:rsidRPr="00F5451B">
              <w:rPr>
                <w:rFonts w:ascii="Times New Roman" w:hAnsi="Times New Roman"/>
                <w:sz w:val="20"/>
                <w:szCs w:val="20"/>
              </w:rPr>
              <w:t>Details about the event including where and when observed, behavior indicators, etc.</w:t>
            </w:r>
          </w:p>
          <w:p w:rsidR="00B35F30" w:rsidRPr="00F5451B" w:rsidRDefault="00B35F30" w:rsidP="00F5451B">
            <w:pPr>
              <w:pStyle w:val="ListParagraph"/>
              <w:numPr>
                <w:ilvl w:val="0"/>
                <w:numId w:val="31"/>
              </w:numPr>
              <w:rPr>
                <w:rFonts w:ascii="Times New Roman" w:hAnsi="Times New Roman"/>
                <w:sz w:val="20"/>
                <w:szCs w:val="20"/>
              </w:rPr>
            </w:pPr>
            <w:r w:rsidRPr="00F5451B">
              <w:rPr>
                <w:rFonts w:ascii="Times New Roman" w:hAnsi="Times New Roman"/>
                <w:sz w:val="20"/>
                <w:szCs w:val="20"/>
              </w:rPr>
              <w:t>Specific details about the malware, behavior if available</w:t>
            </w:r>
          </w:p>
          <w:p w:rsidR="00B35F30" w:rsidRPr="00F5451B" w:rsidRDefault="00B35F30" w:rsidP="00F5451B">
            <w:pPr>
              <w:pStyle w:val="ListParagraph"/>
              <w:numPr>
                <w:ilvl w:val="0"/>
                <w:numId w:val="31"/>
              </w:numPr>
              <w:rPr>
                <w:rFonts w:ascii="Times New Roman" w:hAnsi="Times New Roman"/>
                <w:sz w:val="20"/>
                <w:szCs w:val="20"/>
              </w:rPr>
            </w:pPr>
            <w:r w:rsidRPr="00F5451B">
              <w:rPr>
                <w:rFonts w:ascii="Times New Roman" w:hAnsi="Times New Roman"/>
                <w:sz w:val="20"/>
                <w:szCs w:val="20"/>
              </w:rPr>
              <w:t>Mitigation strategy</w:t>
            </w:r>
          </w:p>
          <w:p w:rsidR="00B35F30" w:rsidRPr="00F5451B" w:rsidRDefault="00B35F30" w:rsidP="00F5451B">
            <w:pPr>
              <w:pStyle w:val="ListParagraph"/>
              <w:numPr>
                <w:ilvl w:val="0"/>
                <w:numId w:val="31"/>
              </w:numPr>
              <w:rPr>
                <w:rFonts w:ascii="Times New Roman" w:hAnsi="Times New Roman"/>
                <w:sz w:val="20"/>
                <w:szCs w:val="20"/>
              </w:rPr>
            </w:pPr>
            <w:r w:rsidRPr="00F5451B">
              <w:rPr>
                <w:rFonts w:ascii="Times New Roman" w:hAnsi="Times New Roman"/>
                <w:sz w:val="20"/>
                <w:szCs w:val="20"/>
              </w:rPr>
              <w:t xml:space="preserve">Mitigation steps </w:t>
            </w:r>
          </w:p>
          <w:p w:rsidR="00B35F30" w:rsidRPr="008E6C09" w:rsidRDefault="00B35F30" w:rsidP="00F5451B">
            <w:pPr>
              <w:pStyle w:val="ListParagraph"/>
              <w:numPr>
                <w:ilvl w:val="0"/>
                <w:numId w:val="31"/>
              </w:numPr>
            </w:pPr>
            <w:r w:rsidRPr="00F5451B">
              <w:rPr>
                <w:rFonts w:ascii="Times New Roman" w:hAnsi="Times New Roman"/>
                <w:sz w:val="20"/>
                <w:szCs w:val="20"/>
              </w:rPr>
              <w:t>Acknowledgement of receipt and confirmation of execution of steps</w:t>
            </w:r>
          </w:p>
        </w:tc>
      </w:tr>
    </w:tbl>
    <w:p w:rsidR="00B35F30" w:rsidRPr="006872E9" w:rsidRDefault="00B35F30" w:rsidP="00B35F30">
      <w:pPr>
        <w:pStyle w:val="Default"/>
        <w:rPr>
          <w:rFonts w:ascii="Times New Roman" w:hAnsi="Times New Roman" w:cs="Times New Roman"/>
          <w:sz w:val="22"/>
          <w:szCs w:val="22"/>
        </w:rPr>
      </w:pPr>
    </w:p>
    <w:p w:rsidR="00665C30" w:rsidRPr="00311F5E" w:rsidRDefault="00665C30" w:rsidP="00F5451B">
      <w:pPr>
        <w:rPr>
          <w:b/>
          <w:sz w:val="22"/>
          <w:szCs w:val="22"/>
        </w:rPr>
      </w:pPr>
    </w:p>
    <w:sectPr w:rsidR="00665C30" w:rsidRPr="00311F5E" w:rsidSect="00D3137D">
      <w:headerReference w:type="default" r:id="rId14"/>
      <w:footerReference w:type="default" r:id="rId15"/>
      <w:pgSz w:w="12240" w:h="15840" w:code="1"/>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eigh J Blackburn" w:date="2015-03-04T14:50:00Z" w:initials="LJB">
    <w:p w:rsidR="0013687B" w:rsidRDefault="0013687B">
      <w:pPr>
        <w:pStyle w:val="CommentText"/>
      </w:pPr>
      <w:r>
        <w:rPr>
          <w:rStyle w:val="CommentReference"/>
        </w:rPr>
        <w:annotationRef/>
      </w:r>
      <w:r>
        <w:t>Pamela has the original version of this picture.  Edit the title of this picture to say “Integrating Framework for Cross Domain Threat and Risk Information Sharing Use Cases”</w:t>
      </w:r>
    </w:p>
  </w:comment>
  <w:comment w:id="72" w:author="Leigh J Blackburn" w:date="2015-03-10T15:28:00Z" w:initials="LJB">
    <w:p w:rsidR="0013687B" w:rsidRDefault="0013687B" w:rsidP="00B35F30">
      <w:pPr>
        <w:pStyle w:val="CommentText"/>
      </w:pPr>
      <w:r>
        <w:rPr>
          <w:rStyle w:val="CommentReference"/>
        </w:rPr>
        <w:annotationRef/>
      </w:r>
      <w:r>
        <w:rPr>
          <w:noProof/>
        </w:rPr>
        <w:t>Vijay -- you didn't include this as a use case during our discussion wit the PM.  Do you want to add it back 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E0F" w:rsidRDefault="00B86E0F">
      <w:r>
        <w:separator/>
      </w:r>
    </w:p>
  </w:endnote>
  <w:endnote w:type="continuationSeparator" w:id="0">
    <w:p w:rsidR="00B86E0F" w:rsidRDefault="00B8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venir Lt BT">
    <w:altName w:val="Souvenir Lt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87B" w:rsidRPr="00EC07FD" w:rsidRDefault="0013687B" w:rsidP="00B20A0E">
    <w:pPr>
      <w:pStyle w:val="Footer"/>
      <w:pBdr>
        <w:top w:val="single" w:sz="4" w:space="1" w:color="auto"/>
      </w:pBdr>
      <w:jc w:val="center"/>
      <w:rPr>
        <w:rFonts w:ascii="Souvenir Lt BT" w:hAnsi="Souvenir Lt BT"/>
        <w:sz w:val="22"/>
        <w:szCs w:val="22"/>
      </w:rPr>
    </w:pPr>
    <w:r w:rsidRPr="00EC07FD">
      <w:rPr>
        <w:rFonts w:ascii="Souvenir Lt BT" w:hAnsi="Souvenir Lt BT"/>
        <w:sz w:val="22"/>
        <w:szCs w:val="22"/>
      </w:rPr>
      <w:fldChar w:fldCharType="begin"/>
    </w:r>
    <w:r w:rsidRPr="00EC07FD">
      <w:rPr>
        <w:rFonts w:ascii="Souvenir Lt BT" w:hAnsi="Souvenir Lt BT"/>
        <w:sz w:val="22"/>
        <w:szCs w:val="22"/>
      </w:rPr>
      <w:instrText xml:space="preserve"> PAGE   \* MERGEFORMAT </w:instrText>
    </w:r>
    <w:r w:rsidRPr="00EC07FD">
      <w:rPr>
        <w:rFonts w:ascii="Souvenir Lt BT" w:hAnsi="Souvenir Lt BT"/>
        <w:sz w:val="22"/>
        <w:szCs w:val="22"/>
      </w:rPr>
      <w:fldChar w:fldCharType="separate"/>
    </w:r>
    <w:r w:rsidR="00221E3D">
      <w:rPr>
        <w:rFonts w:ascii="Souvenir Lt BT" w:hAnsi="Souvenir Lt BT"/>
        <w:noProof/>
        <w:sz w:val="22"/>
        <w:szCs w:val="22"/>
      </w:rPr>
      <w:t>ii</w:t>
    </w:r>
    <w:r w:rsidRPr="00EC07FD">
      <w:rPr>
        <w:rFonts w:ascii="Souvenir Lt BT" w:hAnsi="Souvenir Lt BT"/>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87B" w:rsidRPr="00255AA4" w:rsidRDefault="0013687B" w:rsidP="00255AA4">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E0F" w:rsidRDefault="00B86E0F">
      <w:r>
        <w:separator/>
      </w:r>
    </w:p>
  </w:footnote>
  <w:footnote w:type="continuationSeparator" w:id="0">
    <w:p w:rsidR="00B86E0F" w:rsidRDefault="00B86E0F">
      <w:r>
        <w:continuationSeparator/>
      </w:r>
    </w:p>
  </w:footnote>
  <w:footnote w:id="1">
    <w:p w:rsidR="0013687B" w:rsidRPr="000A7DE7" w:rsidRDefault="0013687B" w:rsidP="00AA4498">
      <w:pPr>
        <w:rPr>
          <w:b/>
          <w:sz w:val="24"/>
        </w:rPr>
      </w:pPr>
      <w:r>
        <w:rPr>
          <w:rStyle w:val="FootnoteReference"/>
        </w:rPr>
        <w:footnoteRef/>
      </w:r>
      <w:r>
        <w:t xml:space="preserve"> It is important to note the cross domain use cases described in this document seek to align with the on-going efforts of the Federal Government’s </w:t>
      </w:r>
      <w:r w:rsidRPr="00D72530">
        <w:t xml:space="preserve">The Enhanced Shared Situational Awareness (ESSA) </w:t>
      </w:r>
      <w:r>
        <w:t xml:space="preserve">activity that was initiated in 2010 to </w:t>
      </w:r>
      <w:r w:rsidRPr="00681371">
        <w:rPr>
          <w:color w:val="000000"/>
        </w:rPr>
        <w:t>support planning, devel</w:t>
      </w:r>
      <w:r w:rsidRPr="00AA4498">
        <w:rPr>
          <w:color w:val="000000"/>
        </w:rPr>
        <w:t>opment, and implementation of a cybersecurity</w:t>
      </w:r>
      <w:r w:rsidRPr="00681371">
        <w:rPr>
          <w:color w:val="000000"/>
        </w:rPr>
        <w:t xml:space="preserve"> information sharing architecture that defines the functions, activities, and information exchanges within and among </w:t>
      </w:r>
      <w:r>
        <w:rPr>
          <w:color w:val="000000"/>
        </w:rPr>
        <w:t xml:space="preserve">the Federal Government’s </w:t>
      </w:r>
      <w:r w:rsidRPr="00681371">
        <w:rPr>
          <w:color w:val="000000"/>
        </w:rPr>
        <w:t>Cybersecurity Centers.</w:t>
      </w:r>
      <w:r w:rsidRPr="00C2123A">
        <w:rPr>
          <w:color w:val="000000"/>
          <w:sz w:val="22"/>
          <w:szCs w:val="22"/>
        </w:rPr>
        <w:t xml:space="preserve"> </w:t>
      </w:r>
      <w:r w:rsidRPr="000A7DE7">
        <w:t>The information exchanges identified through the ESSA effort are defined in terms of “enduring functional exchanges (EFE)</w:t>
      </w:r>
      <w:r>
        <w:t>.</w:t>
      </w:r>
      <w:r w:rsidRPr="000A7DE7">
        <w:t xml:space="preserve"> Within each EFE, there are a series of subcomponents that represent various data types. </w:t>
      </w:r>
      <w:r>
        <w:t>EFEs</w:t>
      </w:r>
      <w:r w:rsidRPr="000A7DE7">
        <w:t xml:space="preserve"> are categories of information that are exchanged on an ongoing basis to promote and enhance IOA, planning, and multiple levels of SSA. These categories contain a number of more specific information flows that would feed or be produced by center processes. The seven EFEs are </w:t>
      </w:r>
      <w:r w:rsidRPr="00D72530">
        <w:t>as follows and are further defined in Appendix A</w:t>
      </w:r>
      <w:r>
        <w:t>.</w:t>
      </w:r>
    </w:p>
    <w:p w:rsidR="0013687B" w:rsidRPr="000A7DE7" w:rsidRDefault="0013687B" w:rsidP="00AA4498">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87B" w:rsidRPr="00604E6A" w:rsidRDefault="0013687B" w:rsidP="003E4F1F">
    <w:pPr>
      <w:rPr>
        <w:b/>
        <w:bCs/>
        <w:color w:val="1F497D"/>
      </w:rPr>
    </w:pPr>
    <w:r w:rsidRPr="003E4F1F">
      <w:rPr>
        <w:b/>
        <w:bCs/>
        <w:color w:val="1F497D" w:themeColor="text2"/>
        <w:szCs w:val="22"/>
      </w:rPr>
      <w:t>Threat and Risk Information Sharing</w:t>
    </w:r>
    <w:r>
      <w:rPr>
        <w:b/>
        <w:bCs/>
        <w:color w:val="1F497D" w:themeColor="text2"/>
        <w:szCs w:val="22"/>
      </w:rPr>
      <w:t xml:space="preserve"> </w:t>
    </w:r>
    <w:r w:rsidRPr="003E4F1F">
      <w:rPr>
        <w:b/>
        <w:bCs/>
        <w:color w:val="1F497D" w:themeColor="text2"/>
        <w:szCs w:val="22"/>
      </w:rPr>
      <w:t>Use Cases</w:t>
    </w:r>
    <w:r w:rsidRPr="003E4F1F">
      <w:rPr>
        <w:b/>
        <w:bCs/>
        <w:color w:val="1F497D" w:themeColor="text2"/>
        <w:szCs w:val="22"/>
      </w:rPr>
      <w:tab/>
    </w:r>
    <w:r>
      <w:rPr>
        <w:b/>
        <w:bCs/>
      </w:rPr>
      <w:tab/>
    </w:r>
    <w:r>
      <w:rPr>
        <w:b/>
        <w:bCs/>
      </w:rPr>
      <w:tab/>
    </w:r>
    <w:r>
      <w:rPr>
        <w:b/>
        <w:bCs/>
      </w:rPr>
      <w:tab/>
    </w:r>
    <w:r>
      <w:rPr>
        <w:b/>
        <w:bCs/>
      </w:rPr>
      <w:tab/>
    </w:r>
    <w:r>
      <w:rPr>
        <w:b/>
        <w:bCs/>
      </w:rPr>
      <w:tab/>
    </w:r>
    <w:r w:rsidRPr="00604E6A">
      <w:rPr>
        <w:b/>
        <w:bCs/>
      </w:rPr>
      <w:t>Version 1.0.0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853524"/>
      <w:docPartObj>
        <w:docPartGallery w:val="Watermarks"/>
        <w:docPartUnique/>
      </w:docPartObj>
    </w:sdtPr>
    <w:sdtContent>
      <w:p w:rsidR="0013687B" w:rsidRPr="00255AA4" w:rsidRDefault="0013687B" w:rsidP="00255AA4">
        <w:pPr>
          <w:pStyle w:val="Header"/>
        </w:pPr>
        <w:r>
          <w:rPr>
            <w:noProof/>
            <w:lang w:eastAsia="zh-TW"/>
          </w:rPr>
          <w:pict w14:anchorId="2F988D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6"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0255"/>
    <w:multiLevelType w:val="hybridMultilevel"/>
    <w:tmpl w:val="2FF4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C34F2"/>
    <w:multiLevelType w:val="hybridMultilevel"/>
    <w:tmpl w:val="D598CA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F6980"/>
    <w:multiLevelType w:val="hybridMultilevel"/>
    <w:tmpl w:val="40E0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24EEF"/>
    <w:multiLevelType w:val="hybridMultilevel"/>
    <w:tmpl w:val="9D2E55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272E1"/>
    <w:multiLevelType w:val="hybridMultilevel"/>
    <w:tmpl w:val="A93A955C"/>
    <w:lvl w:ilvl="0" w:tplc="B58EAEB6">
      <w:numFmt w:val="bullet"/>
      <w:lvlText w:val="-"/>
      <w:lvlJc w:val="left"/>
      <w:pPr>
        <w:ind w:left="720" w:hanging="360"/>
      </w:pPr>
      <w:rPr>
        <w:rFonts w:ascii="Times New Roman" w:eastAsia="Times New Roman" w:hAnsi="Times New Roman" w:cs="Times New Roman" w:hint="default"/>
      </w:rPr>
    </w:lvl>
    <w:lvl w:ilvl="1" w:tplc="5BFC5ACE">
      <w:numFmt w:val="bullet"/>
      <w:lvlText w:val=""/>
      <w:lvlJc w:val="left"/>
      <w:pPr>
        <w:ind w:left="1440" w:hanging="360"/>
      </w:pPr>
      <w:rPr>
        <w:rFonts w:ascii="Calibri" w:eastAsia="Times New Roman" w:hAnsi="Calibri" w:cs="Times New Roman" w:hint="default"/>
      </w:rPr>
    </w:lvl>
    <w:lvl w:ilvl="2" w:tplc="8E2A6A1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03089"/>
    <w:multiLevelType w:val="hybridMultilevel"/>
    <w:tmpl w:val="4FBEB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30C9C"/>
    <w:multiLevelType w:val="hybridMultilevel"/>
    <w:tmpl w:val="D4C649BE"/>
    <w:lvl w:ilvl="0" w:tplc="B58EA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4624A"/>
    <w:multiLevelType w:val="multilevel"/>
    <w:tmpl w:val="AC862D24"/>
    <w:lvl w:ilvl="0">
      <w:start w:val="1"/>
      <w:numFmt w:val="decimal"/>
      <w:lvlText w:val="%1."/>
      <w:lvlJc w:val="left"/>
      <w:pPr>
        <w:ind w:left="900" w:hanging="360"/>
      </w:pPr>
      <w:rPr>
        <w:rFonts w:hint="default"/>
        <w:b/>
        <w:i w:val="0"/>
        <w:color w:val="auto"/>
        <w:sz w:val="24"/>
      </w:rPr>
    </w:lvl>
    <w:lvl w:ilvl="1">
      <w:start w:val="1"/>
      <w:numFmt w:val="decimal"/>
      <w:lvlText w:val="%1.%2"/>
      <w:lvlJc w:val="left"/>
      <w:pPr>
        <w:ind w:left="576" w:hanging="576"/>
      </w:p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E576FAE"/>
    <w:multiLevelType w:val="hybridMultilevel"/>
    <w:tmpl w:val="87CA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260D8"/>
    <w:multiLevelType w:val="hybridMultilevel"/>
    <w:tmpl w:val="28A4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D0957"/>
    <w:multiLevelType w:val="hybridMultilevel"/>
    <w:tmpl w:val="ED6A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8835B8"/>
    <w:multiLevelType w:val="hybridMultilevel"/>
    <w:tmpl w:val="156E7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B96ECF"/>
    <w:multiLevelType w:val="hybridMultilevel"/>
    <w:tmpl w:val="8600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A67A58"/>
    <w:multiLevelType w:val="hybridMultilevel"/>
    <w:tmpl w:val="A3D0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B1603"/>
    <w:multiLevelType w:val="hybridMultilevel"/>
    <w:tmpl w:val="5A109932"/>
    <w:lvl w:ilvl="0" w:tplc="B5B8D54A">
      <w:start w:val="1"/>
      <w:numFmt w:val="bullet"/>
      <w:lvlText w:val="-"/>
      <w:lvlJc w:val="left"/>
      <w:pPr>
        <w:tabs>
          <w:tab w:val="num" w:pos="720"/>
        </w:tabs>
        <w:ind w:left="720" w:hanging="360"/>
      </w:pPr>
      <w:rPr>
        <w:rFonts w:ascii="Times New Roman" w:hAnsi="Times New Roman" w:hint="default"/>
      </w:rPr>
    </w:lvl>
    <w:lvl w:ilvl="1" w:tplc="363A9C1E" w:tentative="1">
      <w:start w:val="1"/>
      <w:numFmt w:val="bullet"/>
      <w:lvlText w:val="-"/>
      <w:lvlJc w:val="left"/>
      <w:pPr>
        <w:tabs>
          <w:tab w:val="num" w:pos="1440"/>
        </w:tabs>
        <w:ind w:left="1440" w:hanging="360"/>
      </w:pPr>
      <w:rPr>
        <w:rFonts w:ascii="Times New Roman" w:hAnsi="Times New Roman" w:hint="default"/>
      </w:rPr>
    </w:lvl>
    <w:lvl w:ilvl="2" w:tplc="C7BE4AEE" w:tentative="1">
      <w:start w:val="1"/>
      <w:numFmt w:val="bullet"/>
      <w:lvlText w:val="-"/>
      <w:lvlJc w:val="left"/>
      <w:pPr>
        <w:tabs>
          <w:tab w:val="num" w:pos="2160"/>
        </w:tabs>
        <w:ind w:left="2160" w:hanging="360"/>
      </w:pPr>
      <w:rPr>
        <w:rFonts w:ascii="Times New Roman" w:hAnsi="Times New Roman" w:hint="default"/>
      </w:rPr>
    </w:lvl>
    <w:lvl w:ilvl="3" w:tplc="0434BB4E" w:tentative="1">
      <w:start w:val="1"/>
      <w:numFmt w:val="bullet"/>
      <w:lvlText w:val="-"/>
      <w:lvlJc w:val="left"/>
      <w:pPr>
        <w:tabs>
          <w:tab w:val="num" w:pos="2880"/>
        </w:tabs>
        <w:ind w:left="2880" w:hanging="360"/>
      </w:pPr>
      <w:rPr>
        <w:rFonts w:ascii="Times New Roman" w:hAnsi="Times New Roman" w:hint="default"/>
      </w:rPr>
    </w:lvl>
    <w:lvl w:ilvl="4" w:tplc="4FAE1B64" w:tentative="1">
      <w:start w:val="1"/>
      <w:numFmt w:val="bullet"/>
      <w:lvlText w:val="-"/>
      <w:lvlJc w:val="left"/>
      <w:pPr>
        <w:tabs>
          <w:tab w:val="num" w:pos="3600"/>
        </w:tabs>
        <w:ind w:left="3600" w:hanging="360"/>
      </w:pPr>
      <w:rPr>
        <w:rFonts w:ascii="Times New Roman" w:hAnsi="Times New Roman" w:hint="default"/>
      </w:rPr>
    </w:lvl>
    <w:lvl w:ilvl="5" w:tplc="263E8084" w:tentative="1">
      <w:start w:val="1"/>
      <w:numFmt w:val="bullet"/>
      <w:lvlText w:val="-"/>
      <w:lvlJc w:val="left"/>
      <w:pPr>
        <w:tabs>
          <w:tab w:val="num" w:pos="4320"/>
        </w:tabs>
        <w:ind w:left="4320" w:hanging="360"/>
      </w:pPr>
      <w:rPr>
        <w:rFonts w:ascii="Times New Roman" w:hAnsi="Times New Roman" w:hint="default"/>
      </w:rPr>
    </w:lvl>
    <w:lvl w:ilvl="6" w:tplc="AC20CA14" w:tentative="1">
      <w:start w:val="1"/>
      <w:numFmt w:val="bullet"/>
      <w:lvlText w:val="-"/>
      <w:lvlJc w:val="left"/>
      <w:pPr>
        <w:tabs>
          <w:tab w:val="num" w:pos="5040"/>
        </w:tabs>
        <w:ind w:left="5040" w:hanging="360"/>
      </w:pPr>
      <w:rPr>
        <w:rFonts w:ascii="Times New Roman" w:hAnsi="Times New Roman" w:hint="default"/>
      </w:rPr>
    </w:lvl>
    <w:lvl w:ilvl="7" w:tplc="06AC440A" w:tentative="1">
      <w:start w:val="1"/>
      <w:numFmt w:val="bullet"/>
      <w:lvlText w:val="-"/>
      <w:lvlJc w:val="left"/>
      <w:pPr>
        <w:tabs>
          <w:tab w:val="num" w:pos="5760"/>
        </w:tabs>
        <w:ind w:left="5760" w:hanging="360"/>
      </w:pPr>
      <w:rPr>
        <w:rFonts w:ascii="Times New Roman" w:hAnsi="Times New Roman" w:hint="default"/>
      </w:rPr>
    </w:lvl>
    <w:lvl w:ilvl="8" w:tplc="7F98697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0262AFA"/>
    <w:multiLevelType w:val="hybridMultilevel"/>
    <w:tmpl w:val="02282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C435A4"/>
    <w:multiLevelType w:val="hybridMultilevel"/>
    <w:tmpl w:val="1606414A"/>
    <w:lvl w:ilvl="0" w:tplc="B58EAEB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E65A2D"/>
    <w:multiLevelType w:val="hybridMultilevel"/>
    <w:tmpl w:val="87BC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D343A3"/>
    <w:multiLevelType w:val="hybridMultilevel"/>
    <w:tmpl w:val="A5428784"/>
    <w:lvl w:ilvl="0" w:tplc="04090001">
      <w:start w:val="1"/>
      <w:numFmt w:val="bullet"/>
      <w:lvlText w:val=""/>
      <w:lvlJc w:val="left"/>
      <w:pPr>
        <w:ind w:left="720" w:hanging="360"/>
      </w:pPr>
      <w:rPr>
        <w:rFonts w:ascii="Symbol" w:hAnsi="Symbol" w:hint="default"/>
      </w:rPr>
    </w:lvl>
    <w:lvl w:ilvl="1" w:tplc="5A4222FA">
      <w:start w:val="2"/>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494C10"/>
    <w:multiLevelType w:val="multilevel"/>
    <w:tmpl w:val="D294FF5A"/>
    <w:lvl w:ilvl="0">
      <w:start w:val="1"/>
      <w:numFmt w:val="decimal"/>
      <w:pStyle w:val="Heading1"/>
      <w:lvlText w:val="%1."/>
      <w:lvlJc w:val="left"/>
      <w:pPr>
        <w:ind w:left="900" w:hanging="360"/>
      </w:pPr>
      <w:rPr>
        <w:rFonts w:hint="default"/>
        <w:b/>
        <w:i w:val="0"/>
        <w:color w:val="auto"/>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6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541A4168"/>
    <w:multiLevelType w:val="hybridMultilevel"/>
    <w:tmpl w:val="FEACCFA0"/>
    <w:lvl w:ilvl="0" w:tplc="82BCDD0E">
      <w:start w:val="1"/>
      <w:numFmt w:val="bullet"/>
      <w:pStyle w:val="JRA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565573A"/>
    <w:multiLevelType w:val="hybridMultilevel"/>
    <w:tmpl w:val="463C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832E19"/>
    <w:multiLevelType w:val="hybridMultilevel"/>
    <w:tmpl w:val="656415FE"/>
    <w:lvl w:ilvl="0" w:tplc="B58EA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B0395C"/>
    <w:multiLevelType w:val="hybridMultilevel"/>
    <w:tmpl w:val="68BC7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E142D"/>
    <w:multiLevelType w:val="hybridMultilevel"/>
    <w:tmpl w:val="5DE6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0C66EB"/>
    <w:multiLevelType w:val="hybridMultilevel"/>
    <w:tmpl w:val="3DD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DA7998"/>
    <w:multiLevelType w:val="hybridMultilevel"/>
    <w:tmpl w:val="2B8AC0C8"/>
    <w:lvl w:ilvl="0" w:tplc="8E2A6A1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C5249CF"/>
    <w:multiLevelType w:val="hybridMultilevel"/>
    <w:tmpl w:val="842ADB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8271D3"/>
    <w:multiLevelType w:val="hybridMultilevel"/>
    <w:tmpl w:val="EC4E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90A25"/>
    <w:multiLevelType w:val="hybridMultilevel"/>
    <w:tmpl w:val="B4B4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AB5113"/>
    <w:multiLevelType w:val="hybridMultilevel"/>
    <w:tmpl w:val="2C620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488513C"/>
    <w:multiLevelType w:val="hybridMultilevel"/>
    <w:tmpl w:val="4DAC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DF1EDA"/>
    <w:multiLevelType w:val="hybridMultilevel"/>
    <w:tmpl w:val="B08C8044"/>
    <w:lvl w:ilvl="0" w:tplc="B58EAEB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8953AFF"/>
    <w:multiLevelType w:val="hybridMultilevel"/>
    <w:tmpl w:val="2ACA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D73B71"/>
    <w:multiLevelType w:val="multilevel"/>
    <w:tmpl w:val="26ACEDF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7D1976F7"/>
    <w:multiLevelType w:val="hybridMultilevel"/>
    <w:tmpl w:val="5E901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B82FC2"/>
    <w:multiLevelType w:val="hybridMultilevel"/>
    <w:tmpl w:val="4E0A417E"/>
    <w:lvl w:ilvl="0" w:tplc="D92616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34"/>
  </w:num>
  <w:num w:numId="4">
    <w:abstractNumId w:val="4"/>
  </w:num>
  <w:num w:numId="5">
    <w:abstractNumId w:val="5"/>
  </w:num>
  <w:num w:numId="6">
    <w:abstractNumId w:val="26"/>
  </w:num>
  <w:num w:numId="7">
    <w:abstractNumId w:val="32"/>
  </w:num>
  <w:num w:numId="8">
    <w:abstractNumId w:val="11"/>
  </w:num>
  <w:num w:numId="9">
    <w:abstractNumId w:val="14"/>
  </w:num>
  <w:num w:numId="10">
    <w:abstractNumId w:val="7"/>
  </w:num>
  <w:num w:numId="11">
    <w:abstractNumId w:val="7"/>
  </w:num>
  <w:num w:numId="12">
    <w:abstractNumId w:val="19"/>
  </w:num>
  <w:num w:numId="13">
    <w:abstractNumId w:val="27"/>
  </w:num>
  <w:num w:numId="14">
    <w:abstractNumId w:val="6"/>
  </w:num>
  <w:num w:numId="15">
    <w:abstractNumId w:val="16"/>
  </w:num>
  <w:num w:numId="16">
    <w:abstractNumId w:val="22"/>
  </w:num>
  <w:num w:numId="17">
    <w:abstractNumId w:val="23"/>
  </w:num>
  <w:num w:numId="18">
    <w:abstractNumId w:val="33"/>
  </w:num>
  <w:num w:numId="19">
    <w:abstractNumId w:val="29"/>
  </w:num>
  <w:num w:numId="20">
    <w:abstractNumId w:val="1"/>
  </w:num>
  <w:num w:numId="21">
    <w:abstractNumId w:val="2"/>
  </w:num>
  <w:num w:numId="22">
    <w:abstractNumId w:val="12"/>
  </w:num>
  <w:num w:numId="23">
    <w:abstractNumId w:val="8"/>
  </w:num>
  <w:num w:numId="24">
    <w:abstractNumId w:val="28"/>
  </w:num>
  <w:num w:numId="25">
    <w:abstractNumId w:val="0"/>
  </w:num>
  <w:num w:numId="26">
    <w:abstractNumId w:val="13"/>
  </w:num>
  <w:num w:numId="27">
    <w:abstractNumId w:val="21"/>
  </w:num>
  <w:num w:numId="28">
    <w:abstractNumId w:val="3"/>
  </w:num>
  <w:num w:numId="29">
    <w:abstractNumId w:val="31"/>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5"/>
  </w:num>
  <w:num w:numId="33">
    <w:abstractNumId w:val="25"/>
  </w:num>
  <w:num w:numId="34">
    <w:abstractNumId w:val="18"/>
  </w:num>
  <w:num w:numId="35">
    <w:abstractNumId w:val="36"/>
  </w:num>
  <w:num w:numId="36">
    <w:abstractNumId w:val="19"/>
    <w:lvlOverride w:ilvl="0">
      <w:startOverride w:val="1"/>
    </w:lvlOverride>
  </w:num>
  <w:num w:numId="37">
    <w:abstractNumId w:val="33"/>
  </w:num>
  <w:num w:numId="38">
    <w:abstractNumId w:val="30"/>
  </w:num>
  <w:num w:numId="39">
    <w:abstractNumId w:val="24"/>
  </w:num>
  <w:num w:numId="40">
    <w:abstractNumId w:val="35"/>
  </w:num>
  <w:num w:numId="41">
    <w:abstractNumId w:val="9"/>
  </w:num>
  <w:num w:numId="42">
    <w:abstractNumId w:val="1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igh J Blackburn">
    <w15:presenceInfo w15:providerId="None" w15:userId="Leigh J Blackbu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64"/>
    <w:rsid w:val="000047ED"/>
    <w:rsid w:val="00005BEC"/>
    <w:rsid w:val="0000732F"/>
    <w:rsid w:val="000078F5"/>
    <w:rsid w:val="0001188C"/>
    <w:rsid w:val="00011FC5"/>
    <w:rsid w:val="000120C4"/>
    <w:rsid w:val="0001242C"/>
    <w:rsid w:val="00014176"/>
    <w:rsid w:val="00014A40"/>
    <w:rsid w:val="00015EC1"/>
    <w:rsid w:val="00016035"/>
    <w:rsid w:val="00016D73"/>
    <w:rsid w:val="00017C03"/>
    <w:rsid w:val="00020E1C"/>
    <w:rsid w:val="000237D6"/>
    <w:rsid w:val="00023881"/>
    <w:rsid w:val="00025A93"/>
    <w:rsid w:val="00025B4C"/>
    <w:rsid w:val="0002668C"/>
    <w:rsid w:val="00026809"/>
    <w:rsid w:val="00030C03"/>
    <w:rsid w:val="00034EE4"/>
    <w:rsid w:val="000357B1"/>
    <w:rsid w:val="0003791E"/>
    <w:rsid w:val="00040220"/>
    <w:rsid w:val="00042A68"/>
    <w:rsid w:val="00042E4D"/>
    <w:rsid w:val="00044012"/>
    <w:rsid w:val="00046103"/>
    <w:rsid w:val="00047DC5"/>
    <w:rsid w:val="000517A0"/>
    <w:rsid w:val="00053E3B"/>
    <w:rsid w:val="000542D5"/>
    <w:rsid w:val="0005431C"/>
    <w:rsid w:val="00054546"/>
    <w:rsid w:val="00054BFA"/>
    <w:rsid w:val="00055C72"/>
    <w:rsid w:val="00055CBD"/>
    <w:rsid w:val="0005718B"/>
    <w:rsid w:val="00057393"/>
    <w:rsid w:val="00061922"/>
    <w:rsid w:val="000626E0"/>
    <w:rsid w:val="00062CFC"/>
    <w:rsid w:val="00065125"/>
    <w:rsid w:val="00066260"/>
    <w:rsid w:val="00072C98"/>
    <w:rsid w:val="000730DE"/>
    <w:rsid w:val="00073B76"/>
    <w:rsid w:val="000748CD"/>
    <w:rsid w:val="00074C0D"/>
    <w:rsid w:val="00076155"/>
    <w:rsid w:val="00076C11"/>
    <w:rsid w:val="000778F3"/>
    <w:rsid w:val="000811C8"/>
    <w:rsid w:val="0008372F"/>
    <w:rsid w:val="0008501A"/>
    <w:rsid w:val="00085629"/>
    <w:rsid w:val="00086334"/>
    <w:rsid w:val="00091FBA"/>
    <w:rsid w:val="0009290E"/>
    <w:rsid w:val="00094D2E"/>
    <w:rsid w:val="00095D65"/>
    <w:rsid w:val="00097E26"/>
    <w:rsid w:val="000A196C"/>
    <w:rsid w:val="000A2B11"/>
    <w:rsid w:val="000A6688"/>
    <w:rsid w:val="000A705F"/>
    <w:rsid w:val="000B000C"/>
    <w:rsid w:val="000B041C"/>
    <w:rsid w:val="000B14EB"/>
    <w:rsid w:val="000B35CD"/>
    <w:rsid w:val="000B3604"/>
    <w:rsid w:val="000B3A9A"/>
    <w:rsid w:val="000B3D46"/>
    <w:rsid w:val="000B6465"/>
    <w:rsid w:val="000B6BE7"/>
    <w:rsid w:val="000B73B6"/>
    <w:rsid w:val="000B77AF"/>
    <w:rsid w:val="000C078C"/>
    <w:rsid w:val="000C0A3B"/>
    <w:rsid w:val="000C1ECF"/>
    <w:rsid w:val="000C2249"/>
    <w:rsid w:val="000C2AD1"/>
    <w:rsid w:val="000C3817"/>
    <w:rsid w:val="000C65D2"/>
    <w:rsid w:val="000C6F2E"/>
    <w:rsid w:val="000D1F2B"/>
    <w:rsid w:val="000D5635"/>
    <w:rsid w:val="000D648C"/>
    <w:rsid w:val="000D6816"/>
    <w:rsid w:val="000D6969"/>
    <w:rsid w:val="000D736F"/>
    <w:rsid w:val="000D768B"/>
    <w:rsid w:val="000D7A5C"/>
    <w:rsid w:val="000E0178"/>
    <w:rsid w:val="000E0A9F"/>
    <w:rsid w:val="000E1495"/>
    <w:rsid w:val="000E18A3"/>
    <w:rsid w:val="000E234D"/>
    <w:rsid w:val="000E2DD9"/>
    <w:rsid w:val="000E302B"/>
    <w:rsid w:val="000E575E"/>
    <w:rsid w:val="000E6314"/>
    <w:rsid w:val="000E7B3A"/>
    <w:rsid w:val="000E7C40"/>
    <w:rsid w:val="000F0226"/>
    <w:rsid w:val="000F0FAF"/>
    <w:rsid w:val="000F2FFD"/>
    <w:rsid w:val="000F3F9E"/>
    <w:rsid w:val="000F6A22"/>
    <w:rsid w:val="0010041E"/>
    <w:rsid w:val="001053A0"/>
    <w:rsid w:val="00105C39"/>
    <w:rsid w:val="0010698D"/>
    <w:rsid w:val="00106AEF"/>
    <w:rsid w:val="00107BD0"/>
    <w:rsid w:val="001114FD"/>
    <w:rsid w:val="001117D4"/>
    <w:rsid w:val="00111D43"/>
    <w:rsid w:val="0011237D"/>
    <w:rsid w:val="00112DDC"/>
    <w:rsid w:val="00113A3D"/>
    <w:rsid w:val="00113FD1"/>
    <w:rsid w:val="0011608B"/>
    <w:rsid w:val="00116C09"/>
    <w:rsid w:val="00117580"/>
    <w:rsid w:val="001175FA"/>
    <w:rsid w:val="001178E9"/>
    <w:rsid w:val="001209DE"/>
    <w:rsid w:val="00124386"/>
    <w:rsid w:val="00124408"/>
    <w:rsid w:val="001249FF"/>
    <w:rsid w:val="00125035"/>
    <w:rsid w:val="001259FE"/>
    <w:rsid w:val="00126B72"/>
    <w:rsid w:val="00127AD5"/>
    <w:rsid w:val="00130C90"/>
    <w:rsid w:val="001322A8"/>
    <w:rsid w:val="0013234F"/>
    <w:rsid w:val="001325B4"/>
    <w:rsid w:val="00132D9F"/>
    <w:rsid w:val="001339CF"/>
    <w:rsid w:val="001348A9"/>
    <w:rsid w:val="00134992"/>
    <w:rsid w:val="00135FBE"/>
    <w:rsid w:val="0013687B"/>
    <w:rsid w:val="00136A80"/>
    <w:rsid w:val="00137642"/>
    <w:rsid w:val="00140823"/>
    <w:rsid w:val="0014180C"/>
    <w:rsid w:val="00142674"/>
    <w:rsid w:val="00144093"/>
    <w:rsid w:val="001465C0"/>
    <w:rsid w:val="00147629"/>
    <w:rsid w:val="00150AC0"/>
    <w:rsid w:val="00152970"/>
    <w:rsid w:val="00155087"/>
    <w:rsid w:val="0015557F"/>
    <w:rsid w:val="00156B21"/>
    <w:rsid w:val="0015744F"/>
    <w:rsid w:val="001577DE"/>
    <w:rsid w:val="00160634"/>
    <w:rsid w:val="00160F1C"/>
    <w:rsid w:val="001618A3"/>
    <w:rsid w:val="0016200C"/>
    <w:rsid w:val="001624E6"/>
    <w:rsid w:val="00162671"/>
    <w:rsid w:val="00162DD1"/>
    <w:rsid w:val="00162F73"/>
    <w:rsid w:val="00163F3B"/>
    <w:rsid w:val="00164FF6"/>
    <w:rsid w:val="0016593D"/>
    <w:rsid w:val="00170F26"/>
    <w:rsid w:val="001732E3"/>
    <w:rsid w:val="00173B99"/>
    <w:rsid w:val="00173ECA"/>
    <w:rsid w:val="00174BF8"/>
    <w:rsid w:val="00174E1A"/>
    <w:rsid w:val="00175222"/>
    <w:rsid w:val="00175A1A"/>
    <w:rsid w:val="00175EC4"/>
    <w:rsid w:val="001761C6"/>
    <w:rsid w:val="00177807"/>
    <w:rsid w:val="001845FD"/>
    <w:rsid w:val="00184C44"/>
    <w:rsid w:val="00185A8B"/>
    <w:rsid w:val="00187BFD"/>
    <w:rsid w:val="00187E8C"/>
    <w:rsid w:val="00191098"/>
    <w:rsid w:val="00192036"/>
    <w:rsid w:val="00192E57"/>
    <w:rsid w:val="00197C4E"/>
    <w:rsid w:val="00197D05"/>
    <w:rsid w:val="001A012B"/>
    <w:rsid w:val="001A1926"/>
    <w:rsid w:val="001A223B"/>
    <w:rsid w:val="001A605A"/>
    <w:rsid w:val="001A66D4"/>
    <w:rsid w:val="001A7981"/>
    <w:rsid w:val="001B04CD"/>
    <w:rsid w:val="001B25AA"/>
    <w:rsid w:val="001B4939"/>
    <w:rsid w:val="001B4E59"/>
    <w:rsid w:val="001C145D"/>
    <w:rsid w:val="001C19F7"/>
    <w:rsid w:val="001C287B"/>
    <w:rsid w:val="001C3D6A"/>
    <w:rsid w:val="001C3F0E"/>
    <w:rsid w:val="001C4886"/>
    <w:rsid w:val="001C58EC"/>
    <w:rsid w:val="001C7C5A"/>
    <w:rsid w:val="001D07F2"/>
    <w:rsid w:val="001D2652"/>
    <w:rsid w:val="001D4860"/>
    <w:rsid w:val="001D5939"/>
    <w:rsid w:val="001D5A40"/>
    <w:rsid w:val="001D5C85"/>
    <w:rsid w:val="001D6630"/>
    <w:rsid w:val="001D7F9C"/>
    <w:rsid w:val="001E0268"/>
    <w:rsid w:val="001E20F5"/>
    <w:rsid w:val="001E26B0"/>
    <w:rsid w:val="001E3248"/>
    <w:rsid w:val="001E53EF"/>
    <w:rsid w:val="001E582D"/>
    <w:rsid w:val="001E6277"/>
    <w:rsid w:val="001F14E1"/>
    <w:rsid w:val="001F2C11"/>
    <w:rsid w:val="001F4A10"/>
    <w:rsid w:val="001F5181"/>
    <w:rsid w:val="001F6468"/>
    <w:rsid w:val="001F7611"/>
    <w:rsid w:val="00201884"/>
    <w:rsid w:val="0020311D"/>
    <w:rsid w:val="00204802"/>
    <w:rsid w:val="00204B61"/>
    <w:rsid w:val="00206B4F"/>
    <w:rsid w:val="00206D86"/>
    <w:rsid w:val="00207027"/>
    <w:rsid w:val="00207A19"/>
    <w:rsid w:val="00211D8D"/>
    <w:rsid w:val="00212C48"/>
    <w:rsid w:val="00213276"/>
    <w:rsid w:val="00213AEA"/>
    <w:rsid w:val="00213DD5"/>
    <w:rsid w:val="00214121"/>
    <w:rsid w:val="00216B3C"/>
    <w:rsid w:val="00216FC1"/>
    <w:rsid w:val="002176EB"/>
    <w:rsid w:val="0021799C"/>
    <w:rsid w:val="00217AA0"/>
    <w:rsid w:val="00217CD5"/>
    <w:rsid w:val="00220973"/>
    <w:rsid w:val="00221E3D"/>
    <w:rsid w:val="00224836"/>
    <w:rsid w:val="002260D8"/>
    <w:rsid w:val="0022767A"/>
    <w:rsid w:val="00230AD5"/>
    <w:rsid w:val="00230DD6"/>
    <w:rsid w:val="002315B0"/>
    <w:rsid w:val="002343B6"/>
    <w:rsid w:val="0023550F"/>
    <w:rsid w:val="002359E9"/>
    <w:rsid w:val="00235F5E"/>
    <w:rsid w:val="00240F70"/>
    <w:rsid w:val="00245D08"/>
    <w:rsid w:val="0024635A"/>
    <w:rsid w:val="002467D8"/>
    <w:rsid w:val="00247B57"/>
    <w:rsid w:val="002500D4"/>
    <w:rsid w:val="002509B0"/>
    <w:rsid w:val="0025105A"/>
    <w:rsid w:val="002531F3"/>
    <w:rsid w:val="002556C3"/>
    <w:rsid w:val="00255AA4"/>
    <w:rsid w:val="002575F5"/>
    <w:rsid w:val="002609A9"/>
    <w:rsid w:val="00261788"/>
    <w:rsid w:val="00262C18"/>
    <w:rsid w:val="00263B8E"/>
    <w:rsid w:val="00263CC0"/>
    <w:rsid w:val="00263F00"/>
    <w:rsid w:val="002640F0"/>
    <w:rsid w:val="00265A7B"/>
    <w:rsid w:val="00267967"/>
    <w:rsid w:val="00271A2E"/>
    <w:rsid w:val="00275444"/>
    <w:rsid w:val="00276875"/>
    <w:rsid w:val="00276FA9"/>
    <w:rsid w:val="0028193F"/>
    <w:rsid w:val="0028420F"/>
    <w:rsid w:val="002855F1"/>
    <w:rsid w:val="00286ACB"/>
    <w:rsid w:val="002873ED"/>
    <w:rsid w:val="0029022B"/>
    <w:rsid w:val="002918F6"/>
    <w:rsid w:val="0029200F"/>
    <w:rsid w:val="00292873"/>
    <w:rsid w:val="00292A7B"/>
    <w:rsid w:val="00293D6B"/>
    <w:rsid w:val="002959C3"/>
    <w:rsid w:val="00295CCD"/>
    <w:rsid w:val="00297DF0"/>
    <w:rsid w:val="002A0136"/>
    <w:rsid w:val="002A1B92"/>
    <w:rsid w:val="002A4ED2"/>
    <w:rsid w:val="002A543A"/>
    <w:rsid w:val="002A6AC6"/>
    <w:rsid w:val="002A6F81"/>
    <w:rsid w:val="002A7510"/>
    <w:rsid w:val="002A7A2F"/>
    <w:rsid w:val="002B3CD3"/>
    <w:rsid w:val="002B3EC1"/>
    <w:rsid w:val="002B5B4A"/>
    <w:rsid w:val="002B62E6"/>
    <w:rsid w:val="002C08F7"/>
    <w:rsid w:val="002C49D9"/>
    <w:rsid w:val="002C4D95"/>
    <w:rsid w:val="002C6C1C"/>
    <w:rsid w:val="002C6DA4"/>
    <w:rsid w:val="002C7596"/>
    <w:rsid w:val="002C78E6"/>
    <w:rsid w:val="002D4DCB"/>
    <w:rsid w:val="002D5510"/>
    <w:rsid w:val="002D6159"/>
    <w:rsid w:val="002E0196"/>
    <w:rsid w:val="002E0D1D"/>
    <w:rsid w:val="002E0DF7"/>
    <w:rsid w:val="002E13DE"/>
    <w:rsid w:val="002E1C87"/>
    <w:rsid w:val="002E218E"/>
    <w:rsid w:val="002E327A"/>
    <w:rsid w:val="002E3CB2"/>
    <w:rsid w:val="002F0687"/>
    <w:rsid w:val="002F3685"/>
    <w:rsid w:val="002F3BF9"/>
    <w:rsid w:val="002F4A63"/>
    <w:rsid w:val="002F5071"/>
    <w:rsid w:val="002F69E4"/>
    <w:rsid w:val="002F7F9B"/>
    <w:rsid w:val="003006BB"/>
    <w:rsid w:val="003007A2"/>
    <w:rsid w:val="0030340D"/>
    <w:rsid w:val="0030385F"/>
    <w:rsid w:val="0030407A"/>
    <w:rsid w:val="0030589C"/>
    <w:rsid w:val="00307B37"/>
    <w:rsid w:val="00310EEA"/>
    <w:rsid w:val="00310F34"/>
    <w:rsid w:val="00311AB1"/>
    <w:rsid w:val="00311F5E"/>
    <w:rsid w:val="0031597C"/>
    <w:rsid w:val="003165F9"/>
    <w:rsid w:val="0031716E"/>
    <w:rsid w:val="00320946"/>
    <w:rsid w:val="00322831"/>
    <w:rsid w:val="003254D1"/>
    <w:rsid w:val="00325E33"/>
    <w:rsid w:val="0033074A"/>
    <w:rsid w:val="0033093E"/>
    <w:rsid w:val="00331110"/>
    <w:rsid w:val="00334EF4"/>
    <w:rsid w:val="00337446"/>
    <w:rsid w:val="003377C8"/>
    <w:rsid w:val="0033793D"/>
    <w:rsid w:val="0034266A"/>
    <w:rsid w:val="00342F58"/>
    <w:rsid w:val="00344901"/>
    <w:rsid w:val="00345622"/>
    <w:rsid w:val="00347622"/>
    <w:rsid w:val="00351712"/>
    <w:rsid w:val="00353683"/>
    <w:rsid w:val="00357524"/>
    <w:rsid w:val="00357A77"/>
    <w:rsid w:val="003612E6"/>
    <w:rsid w:val="00361AD9"/>
    <w:rsid w:val="00362C3F"/>
    <w:rsid w:val="00363BEF"/>
    <w:rsid w:val="00363BF4"/>
    <w:rsid w:val="00365AAC"/>
    <w:rsid w:val="003672D0"/>
    <w:rsid w:val="00367F06"/>
    <w:rsid w:val="00370C51"/>
    <w:rsid w:val="00371875"/>
    <w:rsid w:val="00371D69"/>
    <w:rsid w:val="00372317"/>
    <w:rsid w:val="00380057"/>
    <w:rsid w:val="0038249C"/>
    <w:rsid w:val="00382549"/>
    <w:rsid w:val="00383EBE"/>
    <w:rsid w:val="00384104"/>
    <w:rsid w:val="0038686D"/>
    <w:rsid w:val="00393072"/>
    <w:rsid w:val="00394209"/>
    <w:rsid w:val="00394FF7"/>
    <w:rsid w:val="00396835"/>
    <w:rsid w:val="00397A16"/>
    <w:rsid w:val="003A02C6"/>
    <w:rsid w:val="003A094B"/>
    <w:rsid w:val="003A246E"/>
    <w:rsid w:val="003A2849"/>
    <w:rsid w:val="003A49C3"/>
    <w:rsid w:val="003A646D"/>
    <w:rsid w:val="003B1DB0"/>
    <w:rsid w:val="003B1EF0"/>
    <w:rsid w:val="003B3A49"/>
    <w:rsid w:val="003B56A3"/>
    <w:rsid w:val="003B5A6A"/>
    <w:rsid w:val="003B61F6"/>
    <w:rsid w:val="003B6C57"/>
    <w:rsid w:val="003B6E10"/>
    <w:rsid w:val="003B783F"/>
    <w:rsid w:val="003B7BB7"/>
    <w:rsid w:val="003B7C7E"/>
    <w:rsid w:val="003C0CF7"/>
    <w:rsid w:val="003C0D31"/>
    <w:rsid w:val="003C3436"/>
    <w:rsid w:val="003C3F55"/>
    <w:rsid w:val="003C5D67"/>
    <w:rsid w:val="003C77F3"/>
    <w:rsid w:val="003D0117"/>
    <w:rsid w:val="003D12C4"/>
    <w:rsid w:val="003D2D41"/>
    <w:rsid w:val="003D2F98"/>
    <w:rsid w:val="003D31A4"/>
    <w:rsid w:val="003D3D1E"/>
    <w:rsid w:val="003D41E8"/>
    <w:rsid w:val="003E0FDE"/>
    <w:rsid w:val="003E186F"/>
    <w:rsid w:val="003E1B52"/>
    <w:rsid w:val="003E1D64"/>
    <w:rsid w:val="003E24E0"/>
    <w:rsid w:val="003E2D45"/>
    <w:rsid w:val="003E35A2"/>
    <w:rsid w:val="003E398B"/>
    <w:rsid w:val="003E4F1F"/>
    <w:rsid w:val="003E5D42"/>
    <w:rsid w:val="003E6746"/>
    <w:rsid w:val="003E67A1"/>
    <w:rsid w:val="003E7790"/>
    <w:rsid w:val="003F2441"/>
    <w:rsid w:val="003F252D"/>
    <w:rsid w:val="003F4902"/>
    <w:rsid w:val="003F56AA"/>
    <w:rsid w:val="003F6C19"/>
    <w:rsid w:val="003F7C60"/>
    <w:rsid w:val="00402C62"/>
    <w:rsid w:val="0040628A"/>
    <w:rsid w:val="00406AFC"/>
    <w:rsid w:val="00406D08"/>
    <w:rsid w:val="00414010"/>
    <w:rsid w:val="004146A6"/>
    <w:rsid w:val="00415C75"/>
    <w:rsid w:val="0042096F"/>
    <w:rsid w:val="0042101A"/>
    <w:rsid w:val="00421F46"/>
    <w:rsid w:val="00422D3E"/>
    <w:rsid w:val="0042427E"/>
    <w:rsid w:val="00424ACF"/>
    <w:rsid w:val="00425D93"/>
    <w:rsid w:val="0042733E"/>
    <w:rsid w:val="0042768D"/>
    <w:rsid w:val="004302B4"/>
    <w:rsid w:val="004303FF"/>
    <w:rsid w:val="00430CC9"/>
    <w:rsid w:val="00431771"/>
    <w:rsid w:val="004328D2"/>
    <w:rsid w:val="0043297F"/>
    <w:rsid w:val="00432CF1"/>
    <w:rsid w:val="00435B60"/>
    <w:rsid w:val="004364CF"/>
    <w:rsid w:val="00436DAA"/>
    <w:rsid w:val="00437027"/>
    <w:rsid w:val="004405C3"/>
    <w:rsid w:val="00440B44"/>
    <w:rsid w:val="0044260A"/>
    <w:rsid w:val="004447B6"/>
    <w:rsid w:val="004453AB"/>
    <w:rsid w:val="0044688A"/>
    <w:rsid w:val="00447917"/>
    <w:rsid w:val="00447E90"/>
    <w:rsid w:val="004516F7"/>
    <w:rsid w:val="00451D60"/>
    <w:rsid w:val="00454874"/>
    <w:rsid w:val="0045626A"/>
    <w:rsid w:val="004562F9"/>
    <w:rsid w:val="004569ED"/>
    <w:rsid w:val="00456FBE"/>
    <w:rsid w:val="00457D54"/>
    <w:rsid w:val="00463288"/>
    <w:rsid w:val="004632CC"/>
    <w:rsid w:val="004636B2"/>
    <w:rsid w:val="004637E1"/>
    <w:rsid w:val="00470476"/>
    <w:rsid w:val="00472709"/>
    <w:rsid w:val="0047483A"/>
    <w:rsid w:val="00477D1B"/>
    <w:rsid w:val="004805D4"/>
    <w:rsid w:val="004822FE"/>
    <w:rsid w:val="00482E2E"/>
    <w:rsid w:val="0048389C"/>
    <w:rsid w:val="0048643C"/>
    <w:rsid w:val="00487538"/>
    <w:rsid w:val="00491610"/>
    <w:rsid w:val="00492419"/>
    <w:rsid w:val="00497BB0"/>
    <w:rsid w:val="004A1807"/>
    <w:rsid w:val="004A2283"/>
    <w:rsid w:val="004A3512"/>
    <w:rsid w:val="004A4594"/>
    <w:rsid w:val="004A4C8D"/>
    <w:rsid w:val="004A53FC"/>
    <w:rsid w:val="004B06EF"/>
    <w:rsid w:val="004B0BB3"/>
    <w:rsid w:val="004B2112"/>
    <w:rsid w:val="004B243E"/>
    <w:rsid w:val="004B39F4"/>
    <w:rsid w:val="004B41D6"/>
    <w:rsid w:val="004B4F6A"/>
    <w:rsid w:val="004B5BEC"/>
    <w:rsid w:val="004B600B"/>
    <w:rsid w:val="004B7199"/>
    <w:rsid w:val="004C0792"/>
    <w:rsid w:val="004C0A63"/>
    <w:rsid w:val="004C2C76"/>
    <w:rsid w:val="004C320D"/>
    <w:rsid w:val="004C4B7A"/>
    <w:rsid w:val="004C4CB9"/>
    <w:rsid w:val="004C4F79"/>
    <w:rsid w:val="004C64B7"/>
    <w:rsid w:val="004D07A3"/>
    <w:rsid w:val="004D1620"/>
    <w:rsid w:val="004D7463"/>
    <w:rsid w:val="004D77EC"/>
    <w:rsid w:val="004D7D21"/>
    <w:rsid w:val="004E1D2B"/>
    <w:rsid w:val="004E2932"/>
    <w:rsid w:val="004E2C26"/>
    <w:rsid w:val="004E2CF5"/>
    <w:rsid w:val="004E36C0"/>
    <w:rsid w:val="004E4626"/>
    <w:rsid w:val="004E4A46"/>
    <w:rsid w:val="004E4C68"/>
    <w:rsid w:val="004F083F"/>
    <w:rsid w:val="004F1CD5"/>
    <w:rsid w:val="004F3F0C"/>
    <w:rsid w:val="004F4A33"/>
    <w:rsid w:val="004F4E61"/>
    <w:rsid w:val="004F4E78"/>
    <w:rsid w:val="004F5650"/>
    <w:rsid w:val="004F6354"/>
    <w:rsid w:val="004F6C4F"/>
    <w:rsid w:val="004F6DD8"/>
    <w:rsid w:val="005006F0"/>
    <w:rsid w:val="005007A7"/>
    <w:rsid w:val="00500A4F"/>
    <w:rsid w:val="00501EA9"/>
    <w:rsid w:val="00503BDA"/>
    <w:rsid w:val="00505E04"/>
    <w:rsid w:val="0051019A"/>
    <w:rsid w:val="00510729"/>
    <w:rsid w:val="00510AEF"/>
    <w:rsid w:val="00513F96"/>
    <w:rsid w:val="00514273"/>
    <w:rsid w:val="00514F86"/>
    <w:rsid w:val="005162C4"/>
    <w:rsid w:val="0051675B"/>
    <w:rsid w:val="005201EC"/>
    <w:rsid w:val="00521F9A"/>
    <w:rsid w:val="00522065"/>
    <w:rsid w:val="0052285B"/>
    <w:rsid w:val="00524BEB"/>
    <w:rsid w:val="00525CF5"/>
    <w:rsid w:val="00525DB8"/>
    <w:rsid w:val="00526F5B"/>
    <w:rsid w:val="0052783F"/>
    <w:rsid w:val="00527D52"/>
    <w:rsid w:val="00530787"/>
    <w:rsid w:val="00531735"/>
    <w:rsid w:val="00531AD6"/>
    <w:rsid w:val="0053437B"/>
    <w:rsid w:val="00534584"/>
    <w:rsid w:val="005373A5"/>
    <w:rsid w:val="00537CE1"/>
    <w:rsid w:val="005428E4"/>
    <w:rsid w:val="00545C00"/>
    <w:rsid w:val="00547BED"/>
    <w:rsid w:val="00550EEA"/>
    <w:rsid w:val="00551A04"/>
    <w:rsid w:val="00554FFF"/>
    <w:rsid w:val="00556D5E"/>
    <w:rsid w:val="005579A8"/>
    <w:rsid w:val="00561C09"/>
    <w:rsid w:val="00561EA8"/>
    <w:rsid w:val="00564B6E"/>
    <w:rsid w:val="0056562F"/>
    <w:rsid w:val="00565B7A"/>
    <w:rsid w:val="005665B5"/>
    <w:rsid w:val="00570DD4"/>
    <w:rsid w:val="00571DA2"/>
    <w:rsid w:val="0057223D"/>
    <w:rsid w:val="00572D10"/>
    <w:rsid w:val="00574D47"/>
    <w:rsid w:val="00575233"/>
    <w:rsid w:val="00575258"/>
    <w:rsid w:val="00576C04"/>
    <w:rsid w:val="00577AD7"/>
    <w:rsid w:val="00584BEC"/>
    <w:rsid w:val="005850F2"/>
    <w:rsid w:val="0058552A"/>
    <w:rsid w:val="00586442"/>
    <w:rsid w:val="00586B7A"/>
    <w:rsid w:val="00587230"/>
    <w:rsid w:val="00590C0D"/>
    <w:rsid w:val="00591987"/>
    <w:rsid w:val="005A07BD"/>
    <w:rsid w:val="005A3C5E"/>
    <w:rsid w:val="005A468E"/>
    <w:rsid w:val="005A5B62"/>
    <w:rsid w:val="005A6372"/>
    <w:rsid w:val="005A6759"/>
    <w:rsid w:val="005A7347"/>
    <w:rsid w:val="005B0A57"/>
    <w:rsid w:val="005B2EED"/>
    <w:rsid w:val="005B3511"/>
    <w:rsid w:val="005B5ACB"/>
    <w:rsid w:val="005B5AF8"/>
    <w:rsid w:val="005B6C9C"/>
    <w:rsid w:val="005B7E73"/>
    <w:rsid w:val="005C03D6"/>
    <w:rsid w:val="005C2327"/>
    <w:rsid w:val="005C3305"/>
    <w:rsid w:val="005C527D"/>
    <w:rsid w:val="005C667C"/>
    <w:rsid w:val="005C7125"/>
    <w:rsid w:val="005D1B15"/>
    <w:rsid w:val="005D4697"/>
    <w:rsid w:val="005D62E0"/>
    <w:rsid w:val="005E191E"/>
    <w:rsid w:val="005E38E4"/>
    <w:rsid w:val="005E39CA"/>
    <w:rsid w:val="005E3BE1"/>
    <w:rsid w:val="005E4D5F"/>
    <w:rsid w:val="005E7236"/>
    <w:rsid w:val="005F08F2"/>
    <w:rsid w:val="005F1B3F"/>
    <w:rsid w:val="005F1CA0"/>
    <w:rsid w:val="005F21F9"/>
    <w:rsid w:val="005F2881"/>
    <w:rsid w:val="005F2BD6"/>
    <w:rsid w:val="005F31F6"/>
    <w:rsid w:val="005F4672"/>
    <w:rsid w:val="005F4DC4"/>
    <w:rsid w:val="005F50B6"/>
    <w:rsid w:val="005F52D3"/>
    <w:rsid w:val="005F68D4"/>
    <w:rsid w:val="005F6A60"/>
    <w:rsid w:val="00601DAE"/>
    <w:rsid w:val="00601EF0"/>
    <w:rsid w:val="0060224E"/>
    <w:rsid w:val="00603008"/>
    <w:rsid w:val="006044E9"/>
    <w:rsid w:val="00604E6A"/>
    <w:rsid w:val="00605DEB"/>
    <w:rsid w:val="0060627C"/>
    <w:rsid w:val="00607486"/>
    <w:rsid w:val="00610525"/>
    <w:rsid w:val="006124C3"/>
    <w:rsid w:val="00612F4E"/>
    <w:rsid w:val="00613F14"/>
    <w:rsid w:val="00613F6B"/>
    <w:rsid w:val="006144CB"/>
    <w:rsid w:val="006206BE"/>
    <w:rsid w:val="006224DA"/>
    <w:rsid w:val="00624089"/>
    <w:rsid w:val="006249C8"/>
    <w:rsid w:val="0062589A"/>
    <w:rsid w:val="00625E67"/>
    <w:rsid w:val="00630F03"/>
    <w:rsid w:val="006313E5"/>
    <w:rsid w:val="00632CDB"/>
    <w:rsid w:val="0063410F"/>
    <w:rsid w:val="0063478F"/>
    <w:rsid w:val="00635DF0"/>
    <w:rsid w:val="006400C6"/>
    <w:rsid w:val="00641DE8"/>
    <w:rsid w:val="006420EC"/>
    <w:rsid w:val="006423BE"/>
    <w:rsid w:val="00642E5D"/>
    <w:rsid w:val="0064327B"/>
    <w:rsid w:val="00643857"/>
    <w:rsid w:val="00643CB2"/>
    <w:rsid w:val="00644B90"/>
    <w:rsid w:val="0064510A"/>
    <w:rsid w:val="006463BE"/>
    <w:rsid w:val="006503AE"/>
    <w:rsid w:val="00650FAF"/>
    <w:rsid w:val="00651865"/>
    <w:rsid w:val="006539FE"/>
    <w:rsid w:val="00653E14"/>
    <w:rsid w:val="00654EB7"/>
    <w:rsid w:val="00655540"/>
    <w:rsid w:val="00660E45"/>
    <w:rsid w:val="006617CC"/>
    <w:rsid w:val="00661B02"/>
    <w:rsid w:val="00663187"/>
    <w:rsid w:val="006631F1"/>
    <w:rsid w:val="00663506"/>
    <w:rsid w:val="0066452D"/>
    <w:rsid w:val="00665C30"/>
    <w:rsid w:val="00666258"/>
    <w:rsid w:val="00667AAA"/>
    <w:rsid w:val="006728FF"/>
    <w:rsid w:val="00672FC1"/>
    <w:rsid w:val="00681371"/>
    <w:rsid w:val="0068289B"/>
    <w:rsid w:val="00682DC4"/>
    <w:rsid w:val="00683258"/>
    <w:rsid w:val="006872E9"/>
    <w:rsid w:val="00687EB7"/>
    <w:rsid w:val="00691B17"/>
    <w:rsid w:val="00693B70"/>
    <w:rsid w:val="0069640D"/>
    <w:rsid w:val="00696431"/>
    <w:rsid w:val="006965F7"/>
    <w:rsid w:val="00696B80"/>
    <w:rsid w:val="00697192"/>
    <w:rsid w:val="006A0593"/>
    <w:rsid w:val="006A1314"/>
    <w:rsid w:val="006A1C90"/>
    <w:rsid w:val="006A241C"/>
    <w:rsid w:val="006A3013"/>
    <w:rsid w:val="006A4441"/>
    <w:rsid w:val="006A4574"/>
    <w:rsid w:val="006A5484"/>
    <w:rsid w:val="006A56EA"/>
    <w:rsid w:val="006A5B4B"/>
    <w:rsid w:val="006A70D8"/>
    <w:rsid w:val="006B0AFB"/>
    <w:rsid w:val="006B304B"/>
    <w:rsid w:val="006B4B44"/>
    <w:rsid w:val="006B4C12"/>
    <w:rsid w:val="006B6745"/>
    <w:rsid w:val="006B76D3"/>
    <w:rsid w:val="006C08E2"/>
    <w:rsid w:val="006C13A0"/>
    <w:rsid w:val="006C1E85"/>
    <w:rsid w:val="006C206D"/>
    <w:rsid w:val="006C2791"/>
    <w:rsid w:val="006C38F1"/>
    <w:rsid w:val="006C5F38"/>
    <w:rsid w:val="006C6FC1"/>
    <w:rsid w:val="006D04F3"/>
    <w:rsid w:val="006D1962"/>
    <w:rsid w:val="006D1C80"/>
    <w:rsid w:val="006D222C"/>
    <w:rsid w:val="006D463A"/>
    <w:rsid w:val="006D5046"/>
    <w:rsid w:val="006D5752"/>
    <w:rsid w:val="006D69D3"/>
    <w:rsid w:val="006D74B0"/>
    <w:rsid w:val="006D789A"/>
    <w:rsid w:val="006E0C6F"/>
    <w:rsid w:val="006E0CA7"/>
    <w:rsid w:val="006E2304"/>
    <w:rsid w:val="006E2C57"/>
    <w:rsid w:val="006E590A"/>
    <w:rsid w:val="006E6B59"/>
    <w:rsid w:val="006F03B9"/>
    <w:rsid w:val="006F05ED"/>
    <w:rsid w:val="006F2649"/>
    <w:rsid w:val="006F26C0"/>
    <w:rsid w:val="006F3580"/>
    <w:rsid w:val="006F3661"/>
    <w:rsid w:val="006F3734"/>
    <w:rsid w:val="006F4F75"/>
    <w:rsid w:val="006F5FBA"/>
    <w:rsid w:val="006F6455"/>
    <w:rsid w:val="006F7375"/>
    <w:rsid w:val="006F76CF"/>
    <w:rsid w:val="006F77CF"/>
    <w:rsid w:val="007008F4"/>
    <w:rsid w:val="007020CA"/>
    <w:rsid w:val="00702629"/>
    <w:rsid w:val="00703A86"/>
    <w:rsid w:val="00703EFB"/>
    <w:rsid w:val="0070441D"/>
    <w:rsid w:val="0070548C"/>
    <w:rsid w:val="00705EF1"/>
    <w:rsid w:val="0070727D"/>
    <w:rsid w:val="007077C1"/>
    <w:rsid w:val="007145FD"/>
    <w:rsid w:val="00715DF6"/>
    <w:rsid w:val="00717499"/>
    <w:rsid w:val="00721500"/>
    <w:rsid w:val="00721568"/>
    <w:rsid w:val="00722EDB"/>
    <w:rsid w:val="00723D37"/>
    <w:rsid w:val="007246A0"/>
    <w:rsid w:val="00725473"/>
    <w:rsid w:val="00726B17"/>
    <w:rsid w:val="00726FF6"/>
    <w:rsid w:val="00727C8A"/>
    <w:rsid w:val="0073046E"/>
    <w:rsid w:val="0073050D"/>
    <w:rsid w:val="00735177"/>
    <w:rsid w:val="007365D8"/>
    <w:rsid w:val="00737B88"/>
    <w:rsid w:val="00740B7E"/>
    <w:rsid w:val="00741374"/>
    <w:rsid w:val="00741608"/>
    <w:rsid w:val="0074234F"/>
    <w:rsid w:val="00742D74"/>
    <w:rsid w:val="007446AE"/>
    <w:rsid w:val="007465A5"/>
    <w:rsid w:val="0075128F"/>
    <w:rsid w:val="00752AB1"/>
    <w:rsid w:val="00752D80"/>
    <w:rsid w:val="00753178"/>
    <w:rsid w:val="00753895"/>
    <w:rsid w:val="00760394"/>
    <w:rsid w:val="0076508B"/>
    <w:rsid w:val="0076538A"/>
    <w:rsid w:val="007658B3"/>
    <w:rsid w:val="00765FD2"/>
    <w:rsid w:val="00767C2A"/>
    <w:rsid w:val="00771B29"/>
    <w:rsid w:val="00772826"/>
    <w:rsid w:val="00774E52"/>
    <w:rsid w:val="00774EC7"/>
    <w:rsid w:val="007754AF"/>
    <w:rsid w:val="007766B7"/>
    <w:rsid w:val="00776997"/>
    <w:rsid w:val="00780754"/>
    <w:rsid w:val="007813EE"/>
    <w:rsid w:val="007816E8"/>
    <w:rsid w:val="0078193E"/>
    <w:rsid w:val="0078201F"/>
    <w:rsid w:val="00783C39"/>
    <w:rsid w:val="00784449"/>
    <w:rsid w:val="00786391"/>
    <w:rsid w:val="0079188B"/>
    <w:rsid w:val="00792C4B"/>
    <w:rsid w:val="00792F3F"/>
    <w:rsid w:val="00793FE6"/>
    <w:rsid w:val="00794578"/>
    <w:rsid w:val="007948C7"/>
    <w:rsid w:val="00794D60"/>
    <w:rsid w:val="00794D96"/>
    <w:rsid w:val="007A0388"/>
    <w:rsid w:val="007A064F"/>
    <w:rsid w:val="007A09CD"/>
    <w:rsid w:val="007A3123"/>
    <w:rsid w:val="007A3409"/>
    <w:rsid w:val="007A347F"/>
    <w:rsid w:val="007A3886"/>
    <w:rsid w:val="007A4361"/>
    <w:rsid w:val="007A55CA"/>
    <w:rsid w:val="007A5959"/>
    <w:rsid w:val="007A6309"/>
    <w:rsid w:val="007B116B"/>
    <w:rsid w:val="007B1F2A"/>
    <w:rsid w:val="007B52AF"/>
    <w:rsid w:val="007B65A3"/>
    <w:rsid w:val="007B76B6"/>
    <w:rsid w:val="007C207E"/>
    <w:rsid w:val="007C3FEA"/>
    <w:rsid w:val="007C42E5"/>
    <w:rsid w:val="007C516E"/>
    <w:rsid w:val="007C5D2B"/>
    <w:rsid w:val="007C6B9E"/>
    <w:rsid w:val="007C6F73"/>
    <w:rsid w:val="007D0875"/>
    <w:rsid w:val="007D12F3"/>
    <w:rsid w:val="007D15F5"/>
    <w:rsid w:val="007D1667"/>
    <w:rsid w:val="007D39F0"/>
    <w:rsid w:val="007D7F49"/>
    <w:rsid w:val="007E0184"/>
    <w:rsid w:val="007E0DE7"/>
    <w:rsid w:val="007E21AF"/>
    <w:rsid w:val="007E25EC"/>
    <w:rsid w:val="007E263F"/>
    <w:rsid w:val="007E3B4F"/>
    <w:rsid w:val="007E3F7B"/>
    <w:rsid w:val="007E4AE4"/>
    <w:rsid w:val="007E57B2"/>
    <w:rsid w:val="007E599B"/>
    <w:rsid w:val="007E5D30"/>
    <w:rsid w:val="007E5F09"/>
    <w:rsid w:val="007E73BA"/>
    <w:rsid w:val="007E747C"/>
    <w:rsid w:val="007E7F9F"/>
    <w:rsid w:val="007F0887"/>
    <w:rsid w:val="007F276C"/>
    <w:rsid w:val="007F2893"/>
    <w:rsid w:val="007F4C3B"/>
    <w:rsid w:val="007F6562"/>
    <w:rsid w:val="007F7232"/>
    <w:rsid w:val="007F7C4A"/>
    <w:rsid w:val="00800E0F"/>
    <w:rsid w:val="008015CE"/>
    <w:rsid w:val="00802586"/>
    <w:rsid w:val="00802A36"/>
    <w:rsid w:val="00803731"/>
    <w:rsid w:val="00803873"/>
    <w:rsid w:val="008052F6"/>
    <w:rsid w:val="0080556F"/>
    <w:rsid w:val="0080610A"/>
    <w:rsid w:val="00812760"/>
    <w:rsid w:val="008160E2"/>
    <w:rsid w:val="0081666A"/>
    <w:rsid w:val="00817803"/>
    <w:rsid w:val="00817FC8"/>
    <w:rsid w:val="008211E0"/>
    <w:rsid w:val="0082165E"/>
    <w:rsid w:val="0082255D"/>
    <w:rsid w:val="008228FD"/>
    <w:rsid w:val="00822B89"/>
    <w:rsid w:val="00823CA1"/>
    <w:rsid w:val="00826080"/>
    <w:rsid w:val="008272B9"/>
    <w:rsid w:val="00827559"/>
    <w:rsid w:val="00827FE7"/>
    <w:rsid w:val="0083492F"/>
    <w:rsid w:val="00836623"/>
    <w:rsid w:val="008370B2"/>
    <w:rsid w:val="00837F8D"/>
    <w:rsid w:val="0084004A"/>
    <w:rsid w:val="00844CA7"/>
    <w:rsid w:val="00844DDB"/>
    <w:rsid w:val="00844EEF"/>
    <w:rsid w:val="00844FC3"/>
    <w:rsid w:val="00847748"/>
    <w:rsid w:val="008478D1"/>
    <w:rsid w:val="00850485"/>
    <w:rsid w:val="008509D7"/>
    <w:rsid w:val="00850B84"/>
    <w:rsid w:val="00850EB4"/>
    <w:rsid w:val="00851E96"/>
    <w:rsid w:val="00852D67"/>
    <w:rsid w:val="00852FE7"/>
    <w:rsid w:val="00853527"/>
    <w:rsid w:val="008565A1"/>
    <w:rsid w:val="00856CEE"/>
    <w:rsid w:val="00856E65"/>
    <w:rsid w:val="0086059C"/>
    <w:rsid w:val="00860677"/>
    <w:rsid w:val="008606E1"/>
    <w:rsid w:val="00860ABB"/>
    <w:rsid w:val="00861A7D"/>
    <w:rsid w:val="00862CE5"/>
    <w:rsid w:val="00865332"/>
    <w:rsid w:val="00865B80"/>
    <w:rsid w:val="00867B16"/>
    <w:rsid w:val="00870456"/>
    <w:rsid w:val="00871CE8"/>
    <w:rsid w:val="0087234D"/>
    <w:rsid w:val="00874333"/>
    <w:rsid w:val="00874B7B"/>
    <w:rsid w:val="00875309"/>
    <w:rsid w:val="008762CF"/>
    <w:rsid w:val="008763F6"/>
    <w:rsid w:val="00876D96"/>
    <w:rsid w:val="00876E08"/>
    <w:rsid w:val="00877721"/>
    <w:rsid w:val="00877AD8"/>
    <w:rsid w:val="00880BFD"/>
    <w:rsid w:val="008812E2"/>
    <w:rsid w:val="00882F9B"/>
    <w:rsid w:val="00882F9C"/>
    <w:rsid w:val="00885B9F"/>
    <w:rsid w:val="00885FDA"/>
    <w:rsid w:val="008868F2"/>
    <w:rsid w:val="00887CBE"/>
    <w:rsid w:val="00887D1E"/>
    <w:rsid w:val="00890D9F"/>
    <w:rsid w:val="0089100C"/>
    <w:rsid w:val="00892A0A"/>
    <w:rsid w:val="008965D3"/>
    <w:rsid w:val="008A026F"/>
    <w:rsid w:val="008A0D3A"/>
    <w:rsid w:val="008A0E52"/>
    <w:rsid w:val="008A0F6F"/>
    <w:rsid w:val="008A2872"/>
    <w:rsid w:val="008A2B0B"/>
    <w:rsid w:val="008A2C14"/>
    <w:rsid w:val="008A7E1B"/>
    <w:rsid w:val="008A7F72"/>
    <w:rsid w:val="008B0F0E"/>
    <w:rsid w:val="008B0F3C"/>
    <w:rsid w:val="008B12E8"/>
    <w:rsid w:val="008B1386"/>
    <w:rsid w:val="008B13A2"/>
    <w:rsid w:val="008B2165"/>
    <w:rsid w:val="008B3950"/>
    <w:rsid w:val="008B4A8F"/>
    <w:rsid w:val="008B5CFF"/>
    <w:rsid w:val="008B6BBA"/>
    <w:rsid w:val="008C2923"/>
    <w:rsid w:val="008C36C2"/>
    <w:rsid w:val="008C458E"/>
    <w:rsid w:val="008C566F"/>
    <w:rsid w:val="008C66E6"/>
    <w:rsid w:val="008D1E04"/>
    <w:rsid w:val="008D48E6"/>
    <w:rsid w:val="008D4BDC"/>
    <w:rsid w:val="008D54B9"/>
    <w:rsid w:val="008D57B9"/>
    <w:rsid w:val="008D5CDF"/>
    <w:rsid w:val="008E1E4D"/>
    <w:rsid w:val="008E50E2"/>
    <w:rsid w:val="008E5480"/>
    <w:rsid w:val="008E647F"/>
    <w:rsid w:val="008E6B4B"/>
    <w:rsid w:val="008E6C09"/>
    <w:rsid w:val="008E799B"/>
    <w:rsid w:val="008F1A96"/>
    <w:rsid w:val="008F394A"/>
    <w:rsid w:val="009010EE"/>
    <w:rsid w:val="009027C9"/>
    <w:rsid w:val="0090459C"/>
    <w:rsid w:val="009068F0"/>
    <w:rsid w:val="00907993"/>
    <w:rsid w:val="00910EB1"/>
    <w:rsid w:val="00914999"/>
    <w:rsid w:val="009152D9"/>
    <w:rsid w:val="00915A5D"/>
    <w:rsid w:val="00915B55"/>
    <w:rsid w:val="0091728E"/>
    <w:rsid w:val="009179FB"/>
    <w:rsid w:val="00920358"/>
    <w:rsid w:val="00920C51"/>
    <w:rsid w:val="00921363"/>
    <w:rsid w:val="009225AC"/>
    <w:rsid w:val="00922BF9"/>
    <w:rsid w:val="00923B70"/>
    <w:rsid w:val="00924E34"/>
    <w:rsid w:val="00925B5B"/>
    <w:rsid w:val="00926365"/>
    <w:rsid w:val="00926422"/>
    <w:rsid w:val="009271A1"/>
    <w:rsid w:val="009304AD"/>
    <w:rsid w:val="00931F08"/>
    <w:rsid w:val="009331CE"/>
    <w:rsid w:val="009346A6"/>
    <w:rsid w:val="0093545C"/>
    <w:rsid w:val="009411D8"/>
    <w:rsid w:val="0094260F"/>
    <w:rsid w:val="009426D4"/>
    <w:rsid w:val="00942F30"/>
    <w:rsid w:val="009438F4"/>
    <w:rsid w:val="00943C9A"/>
    <w:rsid w:val="00944CF9"/>
    <w:rsid w:val="009455DA"/>
    <w:rsid w:val="00946AB8"/>
    <w:rsid w:val="009535B7"/>
    <w:rsid w:val="00953A12"/>
    <w:rsid w:val="00954668"/>
    <w:rsid w:val="00954C33"/>
    <w:rsid w:val="0095555C"/>
    <w:rsid w:val="00956D68"/>
    <w:rsid w:val="00960142"/>
    <w:rsid w:val="00960255"/>
    <w:rsid w:val="00961869"/>
    <w:rsid w:val="00964C9A"/>
    <w:rsid w:val="009653F9"/>
    <w:rsid w:val="00965B6E"/>
    <w:rsid w:val="00966EF1"/>
    <w:rsid w:val="009677CC"/>
    <w:rsid w:val="00967CAF"/>
    <w:rsid w:val="00970AB4"/>
    <w:rsid w:val="00970C9E"/>
    <w:rsid w:val="00970CB0"/>
    <w:rsid w:val="00971D1D"/>
    <w:rsid w:val="0097413E"/>
    <w:rsid w:val="009743C3"/>
    <w:rsid w:val="0097482E"/>
    <w:rsid w:val="0097661F"/>
    <w:rsid w:val="00976CD7"/>
    <w:rsid w:val="009772D1"/>
    <w:rsid w:val="009804EA"/>
    <w:rsid w:val="0098191B"/>
    <w:rsid w:val="00983158"/>
    <w:rsid w:val="00983B12"/>
    <w:rsid w:val="00983D52"/>
    <w:rsid w:val="00984808"/>
    <w:rsid w:val="00985705"/>
    <w:rsid w:val="0098633A"/>
    <w:rsid w:val="009878EE"/>
    <w:rsid w:val="00991036"/>
    <w:rsid w:val="00991CF4"/>
    <w:rsid w:val="00993CA5"/>
    <w:rsid w:val="00993D3B"/>
    <w:rsid w:val="00995887"/>
    <w:rsid w:val="009A077A"/>
    <w:rsid w:val="009A1457"/>
    <w:rsid w:val="009A1CE9"/>
    <w:rsid w:val="009A1D5D"/>
    <w:rsid w:val="009A4270"/>
    <w:rsid w:val="009A592E"/>
    <w:rsid w:val="009A5D71"/>
    <w:rsid w:val="009A5DBE"/>
    <w:rsid w:val="009A7242"/>
    <w:rsid w:val="009A78A2"/>
    <w:rsid w:val="009B0166"/>
    <w:rsid w:val="009B1242"/>
    <w:rsid w:val="009B193B"/>
    <w:rsid w:val="009B2456"/>
    <w:rsid w:val="009B2E3D"/>
    <w:rsid w:val="009B50BE"/>
    <w:rsid w:val="009B50E4"/>
    <w:rsid w:val="009B58B5"/>
    <w:rsid w:val="009B6FD7"/>
    <w:rsid w:val="009B7991"/>
    <w:rsid w:val="009C0968"/>
    <w:rsid w:val="009C10F8"/>
    <w:rsid w:val="009C24F4"/>
    <w:rsid w:val="009C2BEC"/>
    <w:rsid w:val="009C2CAE"/>
    <w:rsid w:val="009C2EFE"/>
    <w:rsid w:val="009C583C"/>
    <w:rsid w:val="009D05CD"/>
    <w:rsid w:val="009D0C7D"/>
    <w:rsid w:val="009D1448"/>
    <w:rsid w:val="009D1CBD"/>
    <w:rsid w:val="009D25F0"/>
    <w:rsid w:val="009D35A2"/>
    <w:rsid w:val="009D48F9"/>
    <w:rsid w:val="009D4F62"/>
    <w:rsid w:val="009D5675"/>
    <w:rsid w:val="009D6CA5"/>
    <w:rsid w:val="009D74DA"/>
    <w:rsid w:val="009D7C4D"/>
    <w:rsid w:val="009E070F"/>
    <w:rsid w:val="009E1E23"/>
    <w:rsid w:val="009E4EFF"/>
    <w:rsid w:val="009F0344"/>
    <w:rsid w:val="009F0DDB"/>
    <w:rsid w:val="009F2460"/>
    <w:rsid w:val="009F5868"/>
    <w:rsid w:val="009F6A26"/>
    <w:rsid w:val="00A009E2"/>
    <w:rsid w:val="00A02965"/>
    <w:rsid w:val="00A045B3"/>
    <w:rsid w:val="00A05E71"/>
    <w:rsid w:val="00A1213C"/>
    <w:rsid w:val="00A14C56"/>
    <w:rsid w:val="00A20044"/>
    <w:rsid w:val="00A2103B"/>
    <w:rsid w:val="00A24F4B"/>
    <w:rsid w:val="00A257DF"/>
    <w:rsid w:val="00A25C2F"/>
    <w:rsid w:val="00A26A18"/>
    <w:rsid w:val="00A270DC"/>
    <w:rsid w:val="00A2755A"/>
    <w:rsid w:val="00A3160D"/>
    <w:rsid w:val="00A31D7B"/>
    <w:rsid w:val="00A32C50"/>
    <w:rsid w:val="00A35E6B"/>
    <w:rsid w:val="00A37EA9"/>
    <w:rsid w:val="00A40568"/>
    <w:rsid w:val="00A4096F"/>
    <w:rsid w:val="00A43C4A"/>
    <w:rsid w:val="00A44EFE"/>
    <w:rsid w:val="00A45652"/>
    <w:rsid w:val="00A45F41"/>
    <w:rsid w:val="00A50708"/>
    <w:rsid w:val="00A51E8A"/>
    <w:rsid w:val="00A52243"/>
    <w:rsid w:val="00A5348D"/>
    <w:rsid w:val="00A558CA"/>
    <w:rsid w:val="00A605A4"/>
    <w:rsid w:val="00A60651"/>
    <w:rsid w:val="00A62F2D"/>
    <w:rsid w:val="00A7131E"/>
    <w:rsid w:val="00A71A94"/>
    <w:rsid w:val="00A728DE"/>
    <w:rsid w:val="00A750C3"/>
    <w:rsid w:val="00A76DB9"/>
    <w:rsid w:val="00A77416"/>
    <w:rsid w:val="00A80FF9"/>
    <w:rsid w:val="00A819B6"/>
    <w:rsid w:val="00A82070"/>
    <w:rsid w:val="00A82EBC"/>
    <w:rsid w:val="00A832F7"/>
    <w:rsid w:val="00A84FCD"/>
    <w:rsid w:val="00A856A4"/>
    <w:rsid w:val="00A90EB3"/>
    <w:rsid w:val="00A9550E"/>
    <w:rsid w:val="00A97180"/>
    <w:rsid w:val="00AA0BCE"/>
    <w:rsid w:val="00AA2007"/>
    <w:rsid w:val="00AA30B7"/>
    <w:rsid w:val="00AA3501"/>
    <w:rsid w:val="00AA3A00"/>
    <w:rsid w:val="00AA4498"/>
    <w:rsid w:val="00AA4B92"/>
    <w:rsid w:val="00AA4C92"/>
    <w:rsid w:val="00AA4F86"/>
    <w:rsid w:val="00AA5E3D"/>
    <w:rsid w:val="00AA5FC4"/>
    <w:rsid w:val="00AA7C97"/>
    <w:rsid w:val="00AB006B"/>
    <w:rsid w:val="00AB0BC5"/>
    <w:rsid w:val="00AB17C5"/>
    <w:rsid w:val="00AB2746"/>
    <w:rsid w:val="00AB36B6"/>
    <w:rsid w:val="00AB376B"/>
    <w:rsid w:val="00AB7800"/>
    <w:rsid w:val="00AC1970"/>
    <w:rsid w:val="00AC2657"/>
    <w:rsid w:val="00AC27C9"/>
    <w:rsid w:val="00AC2AF0"/>
    <w:rsid w:val="00AC3251"/>
    <w:rsid w:val="00AC53F5"/>
    <w:rsid w:val="00AC6F77"/>
    <w:rsid w:val="00AD001D"/>
    <w:rsid w:val="00AD09E7"/>
    <w:rsid w:val="00AD253C"/>
    <w:rsid w:val="00AD4512"/>
    <w:rsid w:val="00AD492F"/>
    <w:rsid w:val="00AD6849"/>
    <w:rsid w:val="00AD68E1"/>
    <w:rsid w:val="00AE2B34"/>
    <w:rsid w:val="00AE63BD"/>
    <w:rsid w:val="00AE6E90"/>
    <w:rsid w:val="00AF0B28"/>
    <w:rsid w:val="00AF1214"/>
    <w:rsid w:val="00AF16BD"/>
    <w:rsid w:val="00AF2620"/>
    <w:rsid w:val="00AF3263"/>
    <w:rsid w:val="00AF4A62"/>
    <w:rsid w:val="00AF4E80"/>
    <w:rsid w:val="00AF506B"/>
    <w:rsid w:val="00AF5F61"/>
    <w:rsid w:val="00B0040F"/>
    <w:rsid w:val="00B00500"/>
    <w:rsid w:val="00B030C0"/>
    <w:rsid w:val="00B033CD"/>
    <w:rsid w:val="00B036C4"/>
    <w:rsid w:val="00B05F5D"/>
    <w:rsid w:val="00B128D3"/>
    <w:rsid w:val="00B143D5"/>
    <w:rsid w:val="00B159D7"/>
    <w:rsid w:val="00B16A87"/>
    <w:rsid w:val="00B20A0E"/>
    <w:rsid w:val="00B23857"/>
    <w:rsid w:val="00B253D0"/>
    <w:rsid w:val="00B27660"/>
    <w:rsid w:val="00B27E41"/>
    <w:rsid w:val="00B30118"/>
    <w:rsid w:val="00B31079"/>
    <w:rsid w:val="00B33877"/>
    <w:rsid w:val="00B34F52"/>
    <w:rsid w:val="00B3511E"/>
    <w:rsid w:val="00B35318"/>
    <w:rsid w:val="00B35F30"/>
    <w:rsid w:val="00B3613B"/>
    <w:rsid w:val="00B372E2"/>
    <w:rsid w:val="00B41E4E"/>
    <w:rsid w:val="00B42584"/>
    <w:rsid w:val="00B42D01"/>
    <w:rsid w:val="00B43EB3"/>
    <w:rsid w:val="00B44875"/>
    <w:rsid w:val="00B455D1"/>
    <w:rsid w:val="00B45773"/>
    <w:rsid w:val="00B460EF"/>
    <w:rsid w:val="00B526FC"/>
    <w:rsid w:val="00B52C2A"/>
    <w:rsid w:val="00B53D94"/>
    <w:rsid w:val="00B55BD6"/>
    <w:rsid w:val="00B565CC"/>
    <w:rsid w:val="00B57C6E"/>
    <w:rsid w:val="00B63517"/>
    <w:rsid w:val="00B640DC"/>
    <w:rsid w:val="00B646A1"/>
    <w:rsid w:val="00B65133"/>
    <w:rsid w:val="00B66F64"/>
    <w:rsid w:val="00B70709"/>
    <w:rsid w:val="00B70C71"/>
    <w:rsid w:val="00B72C57"/>
    <w:rsid w:val="00B73302"/>
    <w:rsid w:val="00B7414B"/>
    <w:rsid w:val="00B7449C"/>
    <w:rsid w:val="00B74931"/>
    <w:rsid w:val="00B74CC9"/>
    <w:rsid w:val="00B7528E"/>
    <w:rsid w:val="00B76188"/>
    <w:rsid w:val="00B76754"/>
    <w:rsid w:val="00B772EE"/>
    <w:rsid w:val="00B77E8B"/>
    <w:rsid w:val="00B831AE"/>
    <w:rsid w:val="00B842F8"/>
    <w:rsid w:val="00B860A1"/>
    <w:rsid w:val="00B86E0F"/>
    <w:rsid w:val="00B92CCF"/>
    <w:rsid w:val="00B93323"/>
    <w:rsid w:val="00B939A4"/>
    <w:rsid w:val="00B963C1"/>
    <w:rsid w:val="00B9671B"/>
    <w:rsid w:val="00B97ACF"/>
    <w:rsid w:val="00B97CD4"/>
    <w:rsid w:val="00BA04CA"/>
    <w:rsid w:val="00BA07F2"/>
    <w:rsid w:val="00BA09AA"/>
    <w:rsid w:val="00BA2A4F"/>
    <w:rsid w:val="00BA2A6B"/>
    <w:rsid w:val="00BA47F3"/>
    <w:rsid w:val="00BA4C74"/>
    <w:rsid w:val="00BA6B80"/>
    <w:rsid w:val="00BB0EBD"/>
    <w:rsid w:val="00BB1611"/>
    <w:rsid w:val="00BB2CE3"/>
    <w:rsid w:val="00BB3641"/>
    <w:rsid w:val="00BB61FA"/>
    <w:rsid w:val="00BB6B79"/>
    <w:rsid w:val="00BC0660"/>
    <w:rsid w:val="00BC0880"/>
    <w:rsid w:val="00BC10B3"/>
    <w:rsid w:val="00BC2BC5"/>
    <w:rsid w:val="00BC3FF8"/>
    <w:rsid w:val="00BC5523"/>
    <w:rsid w:val="00BC6D0D"/>
    <w:rsid w:val="00BC6DB5"/>
    <w:rsid w:val="00BC7CC5"/>
    <w:rsid w:val="00BD24A5"/>
    <w:rsid w:val="00BD3A0C"/>
    <w:rsid w:val="00BD41D7"/>
    <w:rsid w:val="00BD48EC"/>
    <w:rsid w:val="00BD4E9A"/>
    <w:rsid w:val="00BD6049"/>
    <w:rsid w:val="00BD6192"/>
    <w:rsid w:val="00BD68AD"/>
    <w:rsid w:val="00BD6972"/>
    <w:rsid w:val="00BD6F7B"/>
    <w:rsid w:val="00BE0327"/>
    <w:rsid w:val="00BE0599"/>
    <w:rsid w:val="00BE5B9D"/>
    <w:rsid w:val="00BE5EB4"/>
    <w:rsid w:val="00BE63BD"/>
    <w:rsid w:val="00BE6505"/>
    <w:rsid w:val="00BE78F7"/>
    <w:rsid w:val="00BF1450"/>
    <w:rsid w:val="00BF40C6"/>
    <w:rsid w:val="00BF5157"/>
    <w:rsid w:val="00BF75BE"/>
    <w:rsid w:val="00C01D50"/>
    <w:rsid w:val="00C02170"/>
    <w:rsid w:val="00C0369E"/>
    <w:rsid w:val="00C03791"/>
    <w:rsid w:val="00C0595C"/>
    <w:rsid w:val="00C10252"/>
    <w:rsid w:val="00C106E0"/>
    <w:rsid w:val="00C115E3"/>
    <w:rsid w:val="00C157F2"/>
    <w:rsid w:val="00C1583C"/>
    <w:rsid w:val="00C160EB"/>
    <w:rsid w:val="00C16551"/>
    <w:rsid w:val="00C16F2B"/>
    <w:rsid w:val="00C17CD4"/>
    <w:rsid w:val="00C17F7C"/>
    <w:rsid w:val="00C201D9"/>
    <w:rsid w:val="00C22203"/>
    <w:rsid w:val="00C22BB0"/>
    <w:rsid w:val="00C24377"/>
    <w:rsid w:val="00C26774"/>
    <w:rsid w:val="00C27F7B"/>
    <w:rsid w:val="00C305ED"/>
    <w:rsid w:val="00C323E4"/>
    <w:rsid w:val="00C35072"/>
    <w:rsid w:val="00C37D02"/>
    <w:rsid w:val="00C409A5"/>
    <w:rsid w:val="00C42E5D"/>
    <w:rsid w:val="00C538A2"/>
    <w:rsid w:val="00C54C57"/>
    <w:rsid w:val="00C5537B"/>
    <w:rsid w:val="00C556D3"/>
    <w:rsid w:val="00C5685A"/>
    <w:rsid w:val="00C568F5"/>
    <w:rsid w:val="00C578CC"/>
    <w:rsid w:val="00C60084"/>
    <w:rsid w:val="00C609DE"/>
    <w:rsid w:val="00C63677"/>
    <w:rsid w:val="00C63B43"/>
    <w:rsid w:val="00C65A89"/>
    <w:rsid w:val="00C65EC8"/>
    <w:rsid w:val="00C66B16"/>
    <w:rsid w:val="00C71DE4"/>
    <w:rsid w:val="00C722E0"/>
    <w:rsid w:val="00C72E8B"/>
    <w:rsid w:val="00C74014"/>
    <w:rsid w:val="00C74732"/>
    <w:rsid w:val="00C74834"/>
    <w:rsid w:val="00C74E2D"/>
    <w:rsid w:val="00C769A9"/>
    <w:rsid w:val="00C77480"/>
    <w:rsid w:val="00C81BF2"/>
    <w:rsid w:val="00C82751"/>
    <w:rsid w:val="00C8370D"/>
    <w:rsid w:val="00C83DF4"/>
    <w:rsid w:val="00C8458A"/>
    <w:rsid w:val="00C84652"/>
    <w:rsid w:val="00C847A7"/>
    <w:rsid w:val="00C84D64"/>
    <w:rsid w:val="00C85068"/>
    <w:rsid w:val="00C85836"/>
    <w:rsid w:val="00C85C4A"/>
    <w:rsid w:val="00C87882"/>
    <w:rsid w:val="00C87D90"/>
    <w:rsid w:val="00C9014C"/>
    <w:rsid w:val="00C9183E"/>
    <w:rsid w:val="00C95B96"/>
    <w:rsid w:val="00C95D9F"/>
    <w:rsid w:val="00C96CF6"/>
    <w:rsid w:val="00CA179E"/>
    <w:rsid w:val="00CA1C2C"/>
    <w:rsid w:val="00CA4E2C"/>
    <w:rsid w:val="00CA5B25"/>
    <w:rsid w:val="00CA6378"/>
    <w:rsid w:val="00CB138F"/>
    <w:rsid w:val="00CB2290"/>
    <w:rsid w:val="00CB27AA"/>
    <w:rsid w:val="00CB4EC8"/>
    <w:rsid w:val="00CB7F2A"/>
    <w:rsid w:val="00CC0D9C"/>
    <w:rsid w:val="00CC1E45"/>
    <w:rsid w:val="00CC24EF"/>
    <w:rsid w:val="00CC27E2"/>
    <w:rsid w:val="00CC2F5D"/>
    <w:rsid w:val="00CC3AF4"/>
    <w:rsid w:val="00CC55E6"/>
    <w:rsid w:val="00CC5F9D"/>
    <w:rsid w:val="00CD0CBE"/>
    <w:rsid w:val="00CD137C"/>
    <w:rsid w:val="00CD168B"/>
    <w:rsid w:val="00CD1E66"/>
    <w:rsid w:val="00CD2D85"/>
    <w:rsid w:val="00CD4FE6"/>
    <w:rsid w:val="00CD588E"/>
    <w:rsid w:val="00CD752B"/>
    <w:rsid w:val="00CE1079"/>
    <w:rsid w:val="00CE766A"/>
    <w:rsid w:val="00CE7B04"/>
    <w:rsid w:val="00CE7F04"/>
    <w:rsid w:val="00CF118A"/>
    <w:rsid w:val="00CF59B8"/>
    <w:rsid w:val="00CF601B"/>
    <w:rsid w:val="00CF6CEC"/>
    <w:rsid w:val="00CF7C41"/>
    <w:rsid w:val="00D017E8"/>
    <w:rsid w:val="00D0226A"/>
    <w:rsid w:val="00D022C5"/>
    <w:rsid w:val="00D02CDB"/>
    <w:rsid w:val="00D03395"/>
    <w:rsid w:val="00D0394F"/>
    <w:rsid w:val="00D0407D"/>
    <w:rsid w:val="00D0410E"/>
    <w:rsid w:val="00D05A44"/>
    <w:rsid w:val="00D0636C"/>
    <w:rsid w:val="00D070C1"/>
    <w:rsid w:val="00D07BA1"/>
    <w:rsid w:val="00D116C7"/>
    <w:rsid w:val="00D12879"/>
    <w:rsid w:val="00D13AE7"/>
    <w:rsid w:val="00D14240"/>
    <w:rsid w:val="00D17321"/>
    <w:rsid w:val="00D208DB"/>
    <w:rsid w:val="00D2167C"/>
    <w:rsid w:val="00D229FA"/>
    <w:rsid w:val="00D23762"/>
    <w:rsid w:val="00D24A16"/>
    <w:rsid w:val="00D2649C"/>
    <w:rsid w:val="00D269A5"/>
    <w:rsid w:val="00D303F2"/>
    <w:rsid w:val="00D308A4"/>
    <w:rsid w:val="00D3137D"/>
    <w:rsid w:val="00D373CC"/>
    <w:rsid w:val="00D4168F"/>
    <w:rsid w:val="00D42598"/>
    <w:rsid w:val="00D42C60"/>
    <w:rsid w:val="00D42DDD"/>
    <w:rsid w:val="00D43B2C"/>
    <w:rsid w:val="00D43E0E"/>
    <w:rsid w:val="00D448F4"/>
    <w:rsid w:val="00D4510D"/>
    <w:rsid w:val="00D50151"/>
    <w:rsid w:val="00D5065A"/>
    <w:rsid w:val="00D50E02"/>
    <w:rsid w:val="00D531C5"/>
    <w:rsid w:val="00D53C75"/>
    <w:rsid w:val="00D53F53"/>
    <w:rsid w:val="00D55308"/>
    <w:rsid w:val="00D577F6"/>
    <w:rsid w:val="00D57B1C"/>
    <w:rsid w:val="00D57EB5"/>
    <w:rsid w:val="00D60829"/>
    <w:rsid w:val="00D619F0"/>
    <w:rsid w:val="00D624B0"/>
    <w:rsid w:val="00D62C5C"/>
    <w:rsid w:val="00D638C5"/>
    <w:rsid w:val="00D6419E"/>
    <w:rsid w:val="00D6573A"/>
    <w:rsid w:val="00D67C6C"/>
    <w:rsid w:val="00D72530"/>
    <w:rsid w:val="00D75A1A"/>
    <w:rsid w:val="00D815B6"/>
    <w:rsid w:val="00D82A6A"/>
    <w:rsid w:val="00D8494C"/>
    <w:rsid w:val="00D853B5"/>
    <w:rsid w:val="00D87A2F"/>
    <w:rsid w:val="00D90D99"/>
    <w:rsid w:val="00D919DC"/>
    <w:rsid w:val="00D91A2E"/>
    <w:rsid w:val="00D92583"/>
    <w:rsid w:val="00D92720"/>
    <w:rsid w:val="00D96237"/>
    <w:rsid w:val="00DA3441"/>
    <w:rsid w:val="00DA39B8"/>
    <w:rsid w:val="00DA4141"/>
    <w:rsid w:val="00DA4BA9"/>
    <w:rsid w:val="00DA6667"/>
    <w:rsid w:val="00DB0634"/>
    <w:rsid w:val="00DB14E4"/>
    <w:rsid w:val="00DB360B"/>
    <w:rsid w:val="00DB4FB3"/>
    <w:rsid w:val="00DB5A6A"/>
    <w:rsid w:val="00DC0B36"/>
    <w:rsid w:val="00DC0E92"/>
    <w:rsid w:val="00DC2B01"/>
    <w:rsid w:val="00DC36FC"/>
    <w:rsid w:val="00DC3F5B"/>
    <w:rsid w:val="00DC7068"/>
    <w:rsid w:val="00DC7219"/>
    <w:rsid w:val="00DD0E00"/>
    <w:rsid w:val="00DD0FCF"/>
    <w:rsid w:val="00DD6EB9"/>
    <w:rsid w:val="00DD78B4"/>
    <w:rsid w:val="00DE12EE"/>
    <w:rsid w:val="00DE179B"/>
    <w:rsid w:val="00DE33D3"/>
    <w:rsid w:val="00DE34DB"/>
    <w:rsid w:val="00DE38C5"/>
    <w:rsid w:val="00DE4B99"/>
    <w:rsid w:val="00DE4F1D"/>
    <w:rsid w:val="00DE6433"/>
    <w:rsid w:val="00DE64A6"/>
    <w:rsid w:val="00DF2051"/>
    <w:rsid w:val="00DF2B26"/>
    <w:rsid w:val="00DF2EE9"/>
    <w:rsid w:val="00DF3FF7"/>
    <w:rsid w:val="00DF53D1"/>
    <w:rsid w:val="00DF783E"/>
    <w:rsid w:val="00E001C2"/>
    <w:rsid w:val="00E010C7"/>
    <w:rsid w:val="00E040C0"/>
    <w:rsid w:val="00E05E55"/>
    <w:rsid w:val="00E07318"/>
    <w:rsid w:val="00E0767D"/>
    <w:rsid w:val="00E077EF"/>
    <w:rsid w:val="00E10A92"/>
    <w:rsid w:val="00E136AB"/>
    <w:rsid w:val="00E1646E"/>
    <w:rsid w:val="00E16ED6"/>
    <w:rsid w:val="00E20F9A"/>
    <w:rsid w:val="00E22CCE"/>
    <w:rsid w:val="00E250C8"/>
    <w:rsid w:val="00E25672"/>
    <w:rsid w:val="00E25E9C"/>
    <w:rsid w:val="00E400F4"/>
    <w:rsid w:val="00E40A9B"/>
    <w:rsid w:val="00E435E5"/>
    <w:rsid w:val="00E43A70"/>
    <w:rsid w:val="00E43E56"/>
    <w:rsid w:val="00E446E4"/>
    <w:rsid w:val="00E474B4"/>
    <w:rsid w:val="00E47774"/>
    <w:rsid w:val="00E5040E"/>
    <w:rsid w:val="00E51E70"/>
    <w:rsid w:val="00E52807"/>
    <w:rsid w:val="00E5470B"/>
    <w:rsid w:val="00E55178"/>
    <w:rsid w:val="00E555D0"/>
    <w:rsid w:val="00E55B4A"/>
    <w:rsid w:val="00E5650C"/>
    <w:rsid w:val="00E57A9B"/>
    <w:rsid w:val="00E61709"/>
    <w:rsid w:val="00E620FC"/>
    <w:rsid w:val="00E62389"/>
    <w:rsid w:val="00E63352"/>
    <w:rsid w:val="00E6430B"/>
    <w:rsid w:val="00E652E6"/>
    <w:rsid w:val="00E70F69"/>
    <w:rsid w:val="00E7197D"/>
    <w:rsid w:val="00E73DDC"/>
    <w:rsid w:val="00E75051"/>
    <w:rsid w:val="00E75535"/>
    <w:rsid w:val="00E80073"/>
    <w:rsid w:val="00E81191"/>
    <w:rsid w:val="00E8151C"/>
    <w:rsid w:val="00E81585"/>
    <w:rsid w:val="00E82F85"/>
    <w:rsid w:val="00E83891"/>
    <w:rsid w:val="00E8466E"/>
    <w:rsid w:val="00E84B2B"/>
    <w:rsid w:val="00E853A1"/>
    <w:rsid w:val="00E85ABA"/>
    <w:rsid w:val="00E85EF4"/>
    <w:rsid w:val="00E86697"/>
    <w:rsid w:val="00E873F5"/>
    <w:rsid w:val="00E9017E"/>
    <w:rsid w:val="00E907D2"/>
    <w:rsid w:val="00E90AAD"/>
    <w:rsid w:val="00E920BE"/>
    <w:rsid w:val="00E92348"/>
    <w:rsid w:val="00E9527E"/>
    <w:rsid w:val="00E95BA2"/>
    <w:rsid w:val="00EA023B"/>
    <w:rsid w:val="00EA1A32"/>
    <w:rsid w:val="00EA1B62"/>
    <w:rsid w:val="00EA2876"/>
    <w:rsid w:val="00EA3F17"/>
    <w:rsid w:val="00EA43D7"/>
    <w:rsid w:val="00EA62CC"/>
    <w:rsid w:val="00EA6A6E"/>
    <w:rsid w:val="00EB08DB"/>
    <w:rsid w:val="00EB0D0B"/>
    <w:rsid w:val="00EB11F1"/>
    <w:rsid w:val="00EB18EA"/>
    <w:rsid w:val="00EB2941"/>
    <w:rsid w:val="00EB4FF3"/>
    <w:rsid w:val="00EB6A46"/>
    <w:rsid w:val="00EB6AFD"/>
    <w:rsid w:val="00EC07FD"/>
    <w:rsid w:val="00EC0C37"/>
    <w:rsid w:val="00EC14B9"/>
    <w:rsid w:val="00EC2085"/>
    <w:rsid w:val="00EC40E7"/>
    <w:rsid w:val="00EC6A50"/>
    <w:rsid w:val="00EC782E"/>
    <w:rsid w:val="00ED11D8"/>
    <w:rsid w:val="00ED1486"/>
    <w:rsid w:val="00ED4117"/>
    <w:rsid w:val="00ED5510"/>
    <w:rsid w:val="00ED559E"/>
    <w:rsid w:val="00ED66BA"/>
    <w:rsid w:val="00ED68E3"/>
    <w:rsid w:val="00ED7017"/>
    <w:rsid w:val="00ED75E0"/>
    <w:rsid w:val="00EE77DA"/>
    <w:rsid w:val="00EE7C23"/>
    <w:rsid w:val="00EF2AC1"/>
    <w:rsid w:val="00EF2E3C"/>
    <w:rsid w:val="00EF4126"/>
    <w:rsid w:val="00EF4BDE"/>
    <w:rsid w:val="00EF4FE8"/>
    <w:rsid w:val="00EF5115"/>
    <w:rsid w:val="00EF5459"/>
    <w:rsid w:val="00EF5F0D"/>
    <w:rsid w:val="00EF62D7"/>
    <w:rsid w:val="00EF6FC6"/>
    <w:rsid w:val="00EF72C3"/>
    <w:rsid w:val="00F00135"/>
    <w:rsid w:val="00F00B39"/>
    <w:rsid w:val="00F032B1"/>
    <w:rsid w:val="00F04B08"/>
    <w:rsid w:val="00F04B91"/>
    <w:rsid w:val="00F05F8D"/>
    <w:rsid w:val="00F06394"/>
    <w:rsid w:val="00F0705E"/>
    <w:rsid w:val="00F0783C"/>
    <w:rsid w:val="00F078F2"/>
    <w:rsid w:val="00F1180E"/>
    <w:rsid w:val="00F15C20"/>
    <w:rsid w:val="00F163C0"/>
    <w:rsid w:val="00F16E9A"/>
    <w:rsid w:val="00F20B20"/>
    <w:rsid w:val="00F218AB"/>
    <w:rsid w:val="00F2261F"/>
    <w:rsid w:val="00F31405"/>
    <w:rsid w:val="00F36CCE"/>
    <w:rsid w:val="00F43703"/>
    <w:rsid w:val="00F445C7"/>
    <w:rsid w:val="00F447CA"/>
    <w:rsid w:val="00F454B8"/>
    <w:rsid w:val="00F4606F"/>
    <w:rsid w:val="00F46559"/>
    <w:rsid w:val="00F505C2"/>
    <w:rsid w:val="00F50FB1"/>
    <w:rsid w:val="00F513F9"/>
    <w:rsid w:val="00F515DB"/>
    <w:rsid w:val="00F5235E"/>
    <w:rsid w:val="00F532E4"/>
    <w:rsid w:val="00F536A4"/>
    <w:rsid w:val="00F53C10"/>
    <w:rsid w:val="00F53F86"/>
    <w:rsid w:val="00F5451B"/>
    <w:rsid w:val="00F56940"/>
    <w:rsid w:val="00F60D12"/>
    <w:rsid w:val="00F61191"/>
    <w:rsid w:val="00F6231B"/>
    <w:rsid w:val="00F63486"/>
    <w:rsid w:val="00F64DFB"/>
    <w:rsid w:val="00F65E90"/>
    <w:rsid w:val="00F65FFD"/>
    <w:rsid w:val="00F660B2"/>
    <w:rsid w:val="00F66323"/>
    <w:rsid w:val="00F670E3"/>
    <w:rsid w:val="00F674AB"/>
    <w:rsid w:val="00F704AD"/>
    <w:rsid w:val="00F70FF4"/>
    <w:rsid w:val="00F71E05"/>
    <w:rsid w:val="00F732D7"/>
    <w:rsid w:val="00F741BD"/>
    <w:rsid w:val="00F74E8C"/>
    <w:rsid w:val="00F777C9"/>
    <w:rsid w:val="00F80043"/>
    <w:rsid w:val="00F83BA0"/>
    <w:rsid w:val="00F84673"/>
    <w:rsid w:val="00F85F47"/>
    <w:rsid w:val="00F86CB2"/>
    <w:rsid w:val="00F87031"/>
    <w:rsid w:val="00F90AE9"/>
    <w:rsid w:val="00F90F83"/>
    <w:rsid w:val="00F90FCC"/>
    <w:rsid w:val="00F911C5"/>
    <w:rsid w:val="00F93CDE"/>
    <w:rsid w:val="00F93CDF"/>
    <w:rsid w:val="00F947E0"/>
    <w:rsid w:val="00F95041"/>
    <w:rsid w:val="00F9542C"/>
    <w:rsid w:val="00F95AFA"/>
    <w:rsid w:val="00F967E3"/>
    <w:rsid w:val="00FA015B"/>
    <w:rsid w:val="00FA1478"/>
    <w:rsid w:val="00FA1A61"/>
    <w:rsid w:val="00FA41BA"/>
    <w:rsid w:val="00FA5051"/>
    <w:rsid w:val="00FA7354"/>
    <w:rsid w:val="00FA78DF"/>
    <w:rsid w:val="00FB1EBA"/>
    <w:rsid w:val="00FB2549"/>
    <w:rsid w:val="00FB52C5"/>
    <w:rsid w:val="00FB711B"/>
    <w:rsid w:val="00FC0765"/>
    <w:rsid w:val="00FC0D5D"/>
    <w:rsid w:val="00FC0DBF"/>
    <w:rsid w:val="00FC3359"/>
    <w:rsid w:val="00FC3FB7"/>
    <w:rsid w:val="00FC4BA5"/>
    <w:rsid w:val="00FC59B7"/>
    <w:rsid w:val="00FC5CE5"/>
    <w:rsid w:val="00FD05DE"/>
    <w:rsid w:val="00FD09D0"/>
    <w:rsid w:val="00FD13F0"/>
    <w:rsid w:val="00FD2A52"/>
    <w:rsid w:val="00FD2DAE"/>
    <w:rsid w:val="00FD2FA5"/>
    <w:rsid w:val="00FD45CD"/>
    <w:rsid w:val="00FD5655"/>
    <w:rsid w:val="00FD61D8"/>
    <w:rsid w:val="00FD6911"/>
    <w:rsid w:val="00FE004B"/>
    <w:rsid w:val="00FE1799"/>
    <w:rsid w:val="00FE6B4E"/>
    <w:rsid w:val="00FF090A"/>
    <w:rsid w:val="00FF18F1"/>
    <w:rsid w:val="00FF33D1"/>
    <w:rsid w:val="00FF348F"/>
    <w:rsid w:val="00FF4AF4"/>
    <w:rsid w:val="00FF55CD"/>
    <w:rsid w:val="00FF629C"/>
    <w:rsid w:val="00FF660A"/>
    <w:rsid w:val="00FF6CC5"/>
    <w:rsid w:val="00FF6F87"/>
    <w:rsid w:val="00FF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4:docId w14:val="3DBB6223"/>
  <w15:docId w15:val="{2E56CF94-8EFB-42AA-8621-EC9B7564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CD4"/>
  </w:style>
  <w:style w:type="paragraph" w:styleId="Heading1">
    <w:name w:val="heading 1"/>
    <w:basedOn w:val="Normal"/>
    <w:next w:val="Normal"/>
    <w:link w:val="Heading1Char"/>
    <w:uiPriority w:val="9"/>
    <w:qFormat/>
    <w:rsid w:val="0034266A"/>
    <w:pPr>
      <w:numPr>
        <w:numId w:val="12"/>
      </w:numPr>
      <w:outlineLvl w:val="0"/>
    </w:pPr>
    <w:rPr>
      <w:rFonts w:ascii="Souvenir Lt BT" w:hAnsi="Souvenir Lt BT"/>
      <w:b/>
      <w:sz w:val="24"/>
    </w:rPr>
  </w:style>
  <w:style w:type="paragraph" w:styleId="Heading2">
    <w:name w:val="heading 2"/>
    <w:basedOn w:val="Heading1"/>
    <w:next w:val="Normal"/>
    <w:link w:val="Heading2Char"/>
    <w:uiPriority w:val="9"/>
    <w:qFormat/>
    <w:rsid w:val="00192E57"/>
    <w:pPr>
      <w:numPr>
        <w:ilvl w:val="1"/>
      </w:numPr>
      <w:outlineLvl w:val="1"/>
    </w:pPr>
  </w:style>
  <w:style w:type="paragraph" w:styleId="Heading3">
    <w:name w:val="heading 3"/>
    <w:basedOn w:val="Heading1"/>
    <w:next w:val="Normal"/>
    <w:link w:val="Heading3Char"/>
    <w:uiPriority w:val="9"/>
    <w:qFormat/>
    <w:rsid w:val="009A7242"/>
    <w:pPr>
      <w:numPr>
        <w:ilvl w:val="2"/>
      </w:numPr>
      <w:spacing w:before="120" w:after="120"/>
      <w:outlineLvl w:val="2"/>
    </w:pPr>
    <w:rPr>
      <w:i/>
    </w:rPr>
  </w:style>
  <w:style w:type="paragraph" w:styleId="Heading4">
    <w:name w:val="heading 4"/>
    <w:basedOn w:val="Heading1"/>
    <w:next w:val="Normal"/>
    <w:link w:val="Heading4Char"/>
    <w:uiPriority w:val="9"/>
    <w:qFormat/>
    <w:rsid w:val="0094260F"/>
    <w:pPr>
      <w:numPr>
        <w:ilvl w:val="3"/>
      </w:numPr>
      <w:outlineLvl w:val="3"/>
    </w:pPr>
    <w:rPr>
      <w:b w:val="0"/>
      <w:sz w:val="22"/>
    </w:rPr>
  </w:style>
  <w:style w:type="paragraph" w:styleId="Heading5">
    <w:name w:val="heading 5"/>
    <w:basedOn w:val="Normal"/>
    <w:next w:val="Normal"/>
    <w:link w:val="Heading5Char"/>
    <w:uiPriority w:val="9"/>
    <w:qFormat/>
    <w:pPr>
      <w:numPr>
        <w:ilvl w:val="4"/>
        <w:numId w:val="12"/>
      </w:numPr>
      <w:spacing w:before="240" w:after="60"/>
      <w:outlineLvl w:val="4"/>
    </w:pPr>
    <w:rPr>
      <w:sz w:val="22"/>
    </w:rPr>
  </w:style>
  <w:style w:type="paragraph" w:styleId="Heading6">
    <w:name w:val="heading 6"/>
    <w:basedOn w:val="Normal"/>
    <w:next w:val="Normal"/>
    <w:link w:val="Heading6Char"/>
    <w:uiPriority w:val="9"/>
    <w:qFormat/>
    <w:pPr>
      <w:numPr>
        <w:ilvl w:val="5"/>
        <w:numId w:val="12"/>
      </w:numPr>
      <w:spacing w:before="240" w:after="60"/>
      <w:outlineLvl w:val="5"/>
    </w:pPr>
    <w:rPr>
      <w:i/>
      <w:sz w:val="22"/>
    </w:rPr>
  </w:style>
  <w:style w:type="paragraph" w:styleId="Heading7">
    <w:name w:val="heading 7"/>
    <w:basedOn w:val="Normal"/>
    <w:next w:val="Normal"/>
    <w:link w:val="Heading7Char"/>
    <w:uiPriority w:val="9"/>
    <w:qFormat/>
    <w:pPr>
      <w:numPr>
        <w:ilvl w:val="6"/>
        <w:numId w:val="12"/>
      </w:numPr>
      <w:spacing w:before="240" w:after="60"/>
      <w:outlineLvl w:val="6"/>
    </w:pPr>
  </w:style>
  <w:style w:type="paragraph" w:styleId="Heading8">
    <w:name w:val="heading 8"/>
    <w:basedOn w:val="Normal"/>
    <w:next w:val="Normal"/>
    <w:link w:val="Heading8Char"/>
    <w:uiPriority w:val="9"/>
    <w:qFormat/>
    <w:pPr>
      <w:numPr>
        <w:ilvl w:val="7"/>
        <w:numId w:val="12"/>
      </w:numPr>
      <w:spacing w:before="240" w:after="60"/>
      <w:outlineLvl w:val="7"/>
    </w:pPr>
    <w:rPr>
      <w:i/>
    </w:rPr>
  </w:style>
  <w:style w:type="paragraph" w:styleId="Heading9">
    <w:name w:val="heading 9"/>
    <w:basedOn w:val="Normal"/>
    <w:next w:val="Normal"/>
    <w:link w:val="Heading9Char"/>
    <w:uiPriority w:val="9"/>
    <w:qFormat/>
    <w:pPr>
      <w:numPr>
        <w:ilvl w:val="8"/>
        <w:numId w:val="1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link w:val="TitleChar"/>
    <w:uiPriority w:val="10"/>
    <w:qFormat/>
    <w:rsid w:val="00DE34DB"/>
    <w:pPr>
      <w:jc w:val="center"/>
    </w:pPr>
    <w:rPr>
      <w:rFonts w:ascii="Souvenir Lt BT" w:hAnsi="Souvenir Lt BT"/>
      <w:b/>
      <w:color w:val="1F497D"/>
      <w:sz w:val="28"/>
      <w:lang w:val="x-none" w:eastAsia="x-none"/>
    </w:rPr>
  </w:style>
  <w:style w:type="paragraph" w:styleId="Subtitle">
    <w:name w:val="Subtitle"/>
    <w:basedOn w:val="Normal"/>
    <w:link w:val="SubtitleChar"/>
    <w:uiPriority w:val="11"/>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qFormat/>
    <w:rsid w:val="004E4C68"/>
    <w:pPr>
      <w:tabs>
        <w:tab w:val="right" w:leader="underscore" w:pos="9360"/>
      </w:tabs>
      <w:spacing w:before="240" w:after="60"/>
      <w:ind w:right="720"/>
    </w:pPr>
    <w:rPr>
      <w:rFonts w:ascii="Souvenir Lt BT" w:hAnsi="Souvenir Lt BT"/>
      <w:sz w:val="18"/>
    </w:rPr>
  </w:style>
  <w:style w:type="paragraph" w:styleId="TOC2">
    <w:name w:val="toc 2"/>
    <w:basedOn w:val="Normal"/>
    <w:next w:val="Normal"/>
    <w:uiPriority w:val="39"/>
    <w:qFormat/>
    <w:rsid w:val="00424ACF"/>
    <w:pPr>
      <w:tabs>
        <w:tab w:val="right" w:leader="dot" w:pos="9360"/>
      </w:tabs>
      <w:ind w:left="432" w:right="720"/>
    </w:pPr>
    <w:rPr>
      <w:rFonts w:ascii="Souvenir Lt BT" w:hAnsi="Souvenir Lt BT"/>
      <w:sz w:val="22"/>
    </w:rPr>
  </w:style>
  <w:style w:type="paragraph" w:styleId="TOC3">
    <w:name w:val="toc 3"/>
    <w:basedOn w:val="Normal"/>
    <w:next w:val="Normal"/>
    <w:uiPriority w:val="39"/>
    <w:qFormat/>
    <w:rsid w:val="00424ACF"/>
    <w:pPr>
      <w:tabs>
        <w:tab w:val="right" w:leader="dot" w:pos="9360"/>
      </w:tabs>
      <w:ind w:left="864"/>
    </w:pPr>
    <w:rPr>
      <w:rFonts w:ascii="Souvenir Lt BT" w:hAnsi="Souvenir Lt BT"/>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uiPriority w:val="99"/>
    <w:rPr>
      <w:sz w:val="20"/>
      <w:vertAlign w:val="superscript"/>
    </w:rPr>
  </w:style>
  <w:style w:type="paragraph" w:styleId="FootnoteText">
    <w:name w:val="footnote text"/>
    <w:basedOn w:val="Normal"/>
    <w:link w:val="FootnoteTextChar"/>
    <w:pPr>
      <w:keepNext/>
      <w:keepLines/>
      <w:pBdr>
        <w:bottom w:val="single" w:sz="6" w:space="0" w:color="000000"/>
      </w:pBdr>
      <w:spacing w:before="40" w:after="40"/>
      <w:ind w:left="360" w:hanging="360"/>
    </w:pPr>
    <w:rPr>
      <w:rFonts w:ascii="Helvetica" w:hAnsi="Helvetica"/>
      <w:sz w:val="16"/>
      <w:lang w:val="x-none" w:eastAsia="x-none"/>
    </w:rPr>
  </w:style>
  <w:style w:type="paragraph" w:customStyle="1" w:styleId="Paragraph1">
    <w:name w:val="Paragraph1"/>
    <w:basedOn w:val="Normal"/>
    <w:pPr>
      <w:spacing w:before="80"/>
    </w:pPr>
  </w:style>
  <w:style w:type="paragraph" w:customStyle="1" w:styleId="Paragraph3">
    <w:name w:val="Paragraph3"/>
    <w:basedOn w:val="Normal"/>
    <w:pPr>
      <w:spacing w:before="80"/>
      <w:ind w:left="1530"/>
    </w:pPr>
  </w:style>
  <w:style w:type="paragraph" w:customStyle="1" w:styleId="Paragraph4">
    <w:name w:val="Paragraph4"/>
    <w:basedOn w:val="Normal"/>
    <w:pPr>
      <w:spacing w:before="80"/>
      <w:ind w:left="2250"/>
    </w:pPr>
  </w:style>
  <w:style w:type="paragraph" w:styleId="TOC4">
    <w:name w:val="toc 4"/>
    <w:basedOn w:val="Normal"/>
    <w:next w:val="Normal"/>
    <w:uiPriority w:val="39"/>
    <w:rsid w:val="004E4C68"/>
    <w:pPr>
      <w:tabs>
        <w:tab w:val="right" w:leader="dot" w:pos="9360"/>
      </w:tabs>
      <w:ind w:left="1008"/>
    </w:pPr>
    <w:rPr>
      <w:rFonts w:ascii="Souvenir Lt BT" w:hAnsi="Souvenir Lt BT"/>
      <w:sz w:val="18"/>
    </w:rPr>
  </w:style>
  <w:style w:type="paragraph" w:styleId="TOC5">
    <w:name w:val="toc 5"/>
    <w:basedOn w:val="Normal"/>
    <w:next w:val="Normal"/>
    <w:uiPriority w:val="39"/>
    <w:rsid w:val="00424ACF"/>
    <w:pPr>
      <w:tabs>
        <w:tab w:val="right" w:leader="dot" w:pos="9360"/>
      </w:tabs>
      <w:ind w:left="800"/>
    </w:pPr>
    <w:rPr>
      <w:rFonts w:ascii="Souvenir Lt BT" w:hAnsi="Souvenir Lt BT"/>
      <w:sz w:val="22"/>
    </w:rPr>
  </w:style>
  <w:style w:type="paragraph" w:styleId="TOC6">
    <w:name w:val="toc 6"/>
    <w:basedOn w:val="Normal"/>
    <w:next w:val="Normal"/>
    <w:semiHidden/>
    <w:rsid w:val="00424ACF"/>
    <w:pPr>
      <w:tabs>
        <w:tab w:val="right" w:leader="dot" w:pos="9360"/>
      </w:tabs>
      <w:ind w:left="1000"/>
    </w:pPr>
    <w:rPr>
      <w:rFonts w:ascii="Souvenir Lt BT" w:hAnsi="Souvenir Lt BT"/>
      <w:sz w:val="22"/>
    </w:r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spacing w:before="120"/>
    </w:pPr>
    <w:rPr>
      <w:rFonts w:ascii="Book Antiqua" w:hAnsi="Book Antiqua"/>
    </w:rPr>
  </w:style>
  <w:style w:type="paragraph" w:customStyle="1" w:styleId="Bullet">
    <w:name w:val="Bullet"/>
    <w:basedOn w:val="Normal"/>
    <w:pPr>
      <w:numPr>
        <w:numId w:val="3"/>
      </w:numPr>
      <w:tabs>
        <w:tab w:val="left" w:pos="720"/>
      </w:tabs>
      <w:spacing w:before="120"/>
      <w:ind w:right="360"/>
    </w:pPr>
    <w:rPr>
      <w:rFonts w:ascii="Book Antiqua" w:hAnsi="Book Antiqua"/>
    </w:rPr>
  </w:style>
  <w:style w:type="paragraph" w:customStyle="1" w:styleId="InfoBlue">
    <w:name w:val="InfoBlue"/>
    <w:basedOn w:val="Normal"/>
    <w:next w:val="BodyText"/>
    <w:autoRedefine/>
    <w:rsid w:val="00641DE8"/>
    <w:rPr>
      <w:rFonts w:ascii="Souvenir Lt BT" w:hAnsi="Souvenir Lt BT"/>
      <w:i/>
      <w:color w:val="1F497D"/>
      <w:sz w:val="24"/>
      <w:szCs w:val="24"/>
    </w:rPr>
  </w:style>
  <w:style w:type="character" w:styleId="Hyperlink">
    <w:name w:val="Hyperlink"/>
    <w:uiPriority w:val="99"/>
    <w:rPr>
      <w:color w:val="0000FF"/>
      <w:u w:val="single"/>
    </w:rPr>
  </w:style>
  <w:style w:type="paragraph" w:styleId="BodyTextIndent2">
    <w:name w:val="Body Text Indent 2"/>
    <w:basedOn w:val="Normal"/>
    <w:pPr>
      <w:ind w:left="720"/>
    </w:pPr>
  </w:style>
  <w:style w:type="paragraph" w:styleId="BodyTextIndent3">
    <w:name w:val="Body Text Indent 3"/>
    <w:basedOn w:val="Normal"/>
    <w:pPr>
      <w:ind w:left="720"/>
    </w:pPr>
    <w:rPr>
      <w:color w:val="0000FF"/>
    </w:rPr>
  </w:style>
  <w:style w:type="paragraph" w:styleId="BodyText3">
    <w:name w:val="Body Text 3"/>
    <w:basedOn w:val="Normal"/>
    <w:rPr>
      <w:b/>
      <w:bCs/>
    </w:rPr>
  </w:style>
  <w:style w:type="character" w:styleId="FollowedHyperlink">
    <w:name w:val="FollowedHyperlink"/>
    <w:rPr>
      <w:color w:val="800080"/>
      <w:u w:val="single"/>
    </w:rPr>
  </w:style>
  <w:style w:type="paragraph" w:styleId="NormalWeb">
    <w:name w:val="Normal (Web)"/>
    <w:basedOn w:val="Normal"/>
    <w:uiPriority w:val="99"/>
    <w:pPr>
      <w:spacing w:before="120" w:after="240" w:line="360" w:lineRule="atLeast"/>
    </w:pPr>
    <w:rPr>
      <w:sz w:val="24"/>
      <w:szCs w:val="24"/>
    </w:rPr>
  </w:style>
  <w:style w:type="paragraph" w:styleId="List2">
    <w:name w:val="List 2"/>
    <w:basedOn w:val="Normal"/>
    <w:pPr>
      <w:ind w:left="720" w:hanging="360"/>
    </w:pPr>
  </w:style>
  <w:style w:type="paragraph" w:styleId="ListBullet2">
    <w:name w:val="List Bullet 2"/>
    <w:basedOn w:val="Normal"/>
    <w:autoRedefine/>
    <w:pPr>
      <w:tabs>
        <w:tab w:val="num" w:pos="720"/>
      </w:tabs>
      <w:ind w:left="720" w:hanging="360"/>
    </w:pPr>
  </w:style>
  <w:style w:type="table" w:styleId="TableGrid">
    <w:name w:val="Table Grid"/>
    <w:basedOn w:val="TableNormal"/>
    <w:rsid w:val="00C84D6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EC14B9"/>
    <w:pPr>
      <w:spacing w:before="100" w:beforeAutospacing="1" w:after="100" w:afterAutospacing="1"/>
    </w:pPr>
    <w:rPr>
      <w:i/>
      <w:iCs/>
      <w:color w:val="0000FF"/>
    </w:rPr>
  </w:style>
  <w:style w:type="paragraph" w:customStyle="1" w:styleId="TitleTimesNewRoman">
    <w:name w:val="Title + Times New Roman"/>
    <w:aliases w:val="10 pt,Not Bold,Black,Left,Left:  0.5&quot;"/>
    <w:basedOn w:val="Heading1"/>
    <w:rsid w:val="009B6FD7"/>
    <w:pPr>
      <w:numPr>
        <w:numId w:val="0"/>
      </w:numPr>
      <w:ind w:left="720"/>
    </w:pPr>
    <w:rPr>
      <w:rFonts w:ascii="Times New Roman" w:hAnsi="Times New Roman"/>
      <w:b w:val="0"/>
      <w:color w:val="000000"/>
      <w:sz w:val="20"/>
    </w:rPr>
  </w:style>
  <w:style w:type="character" w:styleId="Strong">
    <w:name w:val="Strong"/>
    <w:uiPriority w:val="22"/>
    <w:qFormat/>
    <w:rsid w:val="00953A12"/>
    <w:rPr>
      <w:b/>
    </w:rPr>
  </w:style>
  <w:style w:type="paragraph" w:customStyle="1" w:styleId="JRANormalText">
    <w:name w:val="JRA Normal Text"/>
    <w:basedOn w:val="Normal"/>
    <w:link w:val="JRANormalTextChar"/>
    <w:unhideWhenUsed/>
    <w:rsid w:val="00721568"/>
    <w:pPr>
      <w:tabs>
        <w:tab w:val="left" w:pos="1584"/>
      </w:tabs>
      <w:autoSpaceDE w:val="0"/>
      <w:autoSpaceDN w:val="0"/>
      <w:adjustRightInd w:val="0"/>
      <w:spacing w:before="120" w:after="120" w:line="276" w:lineRule="auto"/>
    </w:pPr>
    <w:rPr>
      <w:rFonts w:ascii="Souvenir Lt BT" w:hAnsi="Souvenir Lt BT" w:cs="Souvenir Lt BT"/>
      <w:sz w:val="22"/>
      <w:szCs w:val="22"/>
      <w:lang w:val="x-none" w:eastAsia="x-none" w:bidi="en-US"/>
    </w:rPr>
  </w:style>
  <w:style w:type="paragraph" w:customStyle="1" w:styleId="JRAHeading1">
    <w:name w:val="JRA Heading 1"/>
    <w:basedOn w:val="Normal"/>
    <w:rsid w:val="00721568"/>
    <w:pPr>
      <w:keepNext/>
      <w:autoSpaceDE w:val="0"/>
      <w:autoSpaceDN w:val="0"/>
      <w:adjustRightInd w:val="0"/>
      <w:spacing w:before="240" w:after="60" w:line="276" w:lineRule="auto"/>
      <w:ind w:left="360" w:hanging="360"/>
    </w:pPr>
    <w:rPr>
      <w:rFonts w:ascii="Souvenir Lt BT" w:hAnsi="Souvenir Lt BT" w:cs="Souvenir Lt BT"/>
      <w:b/>
      <w:bCs/>
      <w:kern w:val="32"/>
      <w:sz w:val="32"/>
      <w:szCs w:val="32"/>
      <w:lang w:bidi="en-US"/>
    </w:rPr>
  </w:style>
  <w:style w:type="character" w:customStyle="1" w:styleId="BodyTextChar">
    <w:name w:val="Body Text Char"/>
    <w:basedOn w:val="DefaultParagraphFont"/>
    <w:link w:val="BodyText"/>
    <w:rsid w:val="00721568"/>
  </w:style>
  <w:style w:type="character" w:customStyle="1" w:styleId="FooterChar">
    <w:name w:val="Footer Char"/>
    <w:basedOn w:val="DefaultParagraphFont"/>
    <w:link w:val="Footer"/>
    <w:uiPriority w:val="99"/>
    <w:rsid w:val="00641DE8"/>
  </w:style>
  <w:style w:type="paragraph" w:styleId="TOCHeading">
    <w:name w:val="TOC Heading"/>
    <w:basedOn w:val="Heading1"/>
    <w:next w:val="Normal"/>
    <w:uiPriority w:val="39"/>
    <w:unhideWhenUsed/>
    <w:qFormat/>
    <w:rsid w:val="00852D67"/>
    <w:pPr>
      <w:keepNext/>
      <w:keepLines/>
      <w:numPr>
        <w:numId w:val="0"/>
      </w:numPr>
      <w:spacing w:before="480" w:line="276" w:lineRule="auto"/>
      <w:outlineLvl w:val="9"/>
    </w:pPr>
    <w:rPr>
      <w:rFonts w:ascii="Cambria" w:hAnsi="Cambria"/>
      <w:bCs/>
      <w:color w:val="365F91"/>
      <w:sz w:val="28"/>
      <w:szCs w:val="28"/>
    </w:rPr>
  </w:style>
  <w:style w:type="paragraph" w:styleId="BalloonText">
    <w:name w:val="Balloon Text"/>
    <w:basedOn w:val="Normal"/>
    <w:link w:val="BalloonTextChar"/>
    <w:rsid w:val="00424ACF"/>
    <w:rPr>
      <w:rFonts w:ascii="Tahoma" w:hAnsi="Tahoma" w:cs="Tahoma"/>
      <w:sz w:val="16"/>
      <w:szCs w:val="16"/>
    </w:rPr>
  </w:style>
  <w:style w:type="character" w:customStyle="1" w:styleId="BalloonTextChar">
    <w:name w:val="Balloon Text Char"/>
    <w:link w:val="BalloonText"/>
    <w:rsid w:val="00424ACF"/>
    <w:rPr>
      <w:rFonts w:ascii="Tahoma" w:hAnsi="Tahoma" w:cs="Tahoma"/>
      <w:sz w:val="16"/>
      <w:szCs w:val="16"/>
    </w:rPr>
  </w:style>
  <w:style w:type="character" w:styleId="LineNumber">
    <w:name w:val="line number"/>
    <w:basedOn w:val="DefaultParagraphFont"/>
    <w:rsid w:val="007E73BA"/>
  </w:style>
  <w:style w:type="character" w:customStyle="1" w:styleId="BodyTextIndentChar">
    <w:name w:val="Body Text Indent Char"/>
    <w:link w:val="BodyTextIndent"/>
    <w:rsid w:val="00424ACF"/>
    <w:rPr>
      <w:i/>
      <w:color w:val="0000FF"/>
      <w:u w:val="single"/>
    </w:rPr>
  </w:style>
  <w:style w:type="paragraph" w:customStyle="1" w:styleId="JRAHeading2">
    <w:name w:val="JRA Heading 2"/>
    <w:basedOn w:val="Normal"/>
    <w:unhideWhenUsed/>
    <w:rsid w:val="002B3EC1"/>
    <w:pPr>
      <w:keepNext/>
      <w:autoSpaceDE w:val="0"/>
      <w:autoSpaceDN w:val="0"/>
      <w:adjustRightInd w:val="0"/>
      <w:spacing w:before="120" w:after="120" w:line="276" w:lineRule="auto"/>
      <w:ind w:left="360" w:hanging="360"/>
    </w:pPr>
    <w:rPr>
      <w:rFonts w:ascii="Souvenir Lt BT" w:hAnsi="Souvenir Lt BT" w:cs="Souvenir Lt BT"/>
      <w:b/>
      <w:bCs/>
      <w:kern w:val="32"/>
      <w:sz w:val="28"/>
      <w:szCs w:val="28"/>
      <w:lang w:bidi="en-US"/>
    </w:rPr>
  </w:style>
  <w:style w:type="paragraph" w:customStyle="1" w:styleId="JRAHeading3">
    <w:name w:val="JRA Heading 3"/>
    <w:basedOn w:val="JRAHeading2"/>
    <w:unhideWhenUsed/>
    <w:rsid w:val="002B3EC1"/>
    <w:pPr>
      <w:ind w:firstLine="0"/>
      <w:outlineLvl w:val="2"/>
    </w:pPr>
    <w:rPr>
      <w:rFonts w:ascii="Times New Roman" w:hAnsi="Times New Roman"/>
      <w:color w:val="000000"/>
      <w:sz w:val="24"/>
      <w:szCs w:val="24"/>
    </w:rPr>
  </w:style>
  <w:style w:type="paragraph" w:customStyle="1" w:styleId="JRAHeading4">
    <w:name w:val="JRA Heading 4"/>
    <w:basedOn w:val="JRANormalText"/>
    <w:unhideWhenUsed/>
    <w:rsid w:val="002B3EC1"/>
    <w:pPr>
      <w:tabs>
        <w:tab w:val="clear" w:pos="1584"/>
        <w:tab w:val="left" w:pos="-8640"/>
      </w:tabs>
      <w:ind w:left="360"/>
    </w:pPr>
    <w:rPr>
      <w:rFonts w:ascii="Times New Roman" w:hAnsi="Times New Roman" w:cs="Times New Roman"/>
      <w:b/>
      <w:bCs/>
      <w:i/>
      <w:kern w:val="32"/>
    </w:rPr>
  </w:style>
  <w:style w:type="character" w:customStyle="1" w:styleId="Term">
    <w:name w:val="Term"/>
    <w:unhideWhenUsed/>
    <w:rsid w:val="002B3EC1"/>
    <w:rPr>
      <w:b/>
      <w:smallCaps/>
    </w:rPr>
  </w:style>
  <w:style w:type="character" w:customStyle="1" w:styleId="TitleChar">
    <w:name w:val="Title Char"/>
    <w:link w:val="Title"/>
    <w:uiPriority w:val="10"/>
    <w:rsid w:val="00DE34DB"/>
    <w:rPr>
      <w:rFonts w:ascii="Souvenir Lt BT" w:hAnsi="Souvenir Lt BT"/>
      <w:b/>
      <w:color w:val="1F497D"/>
      <w:sz w:val="28"/>
      <w:lang w:val="x-none" w:eastAsia="x-none"/>
    </w:rPr>
  </w:style>
  <w:style w:type="paragraph" w:customStyle="1" w:styleId="JRACaption">
    <w:name w:val="JRA Caption"/>
    <w:basedOn w:val="Normal"/>
    <w:link w:val="JRACaptionChar"/>
    <w:qFormat/>
    <w:rsid w:val="002B3EC1"/>
    <w:pPr>
      <w:spacing w:after="200" w:line="276" w:lineRule="auto"/>
      <w:jc w:val="center"/>
    </w:pPr>
    <w:rPr>
      <w:b/>
      <w:lang w:val="x-none" w:eastAsia="x-none" w:bidi="en-US"/>
    </w:rPr>
  </w:style>
  <w:style w:type="character" w:customStyle="1" w:styleId="JRACaptionChar">
    <w:name w:val="JRA Caption Char"/>
    <w:link w:val="JRACaption"/>
    <w:rsid w:val="002B3EC1"/>
    <w:rPr>
      <w:b/>
      <w:lang w:val="x-none" w:eastAsia="x-none" w:bidi="en-US"/>
    </w:rPr>
  </w:style>
  <w:style w:type="character" w:customStyle="1" w:styleId="JRANormalTextChar">
    <w:name w:val="JRA Normal Text Char"/>
    <w:link w:val="JRANormalText"/>
    <w:rsid w:val="002B3EC1"/>
    <w:rPr>
      <w:rFonts w:ascii="Souvenir Lt BT" w:hAnsi="Souvenir Lt BT" w:cs="Souvenir Lt BT"/>
      <w:sz w:val="22"/>
      <w:szCs w:val="22"/>
      <w:lang w:bidi="en-US"/>
    </w:rPr>
  </w:style>
  <w:style w:type="character" w:customStyle="1" w:styleId="FootnoteTextChar">
    <w:name w:val="Footnote Text Char"/>
    <w:link w:val="FootnoteText"/>
    <w:rsid w:val="002B3EC1"/>
    <w:rPr>
      <w:rFonts w:ascii="Helvetica" w:hAnsi="Helvetica"/>
      <w:sz w:val="16"/>
    </w:rPr>
  </w:style>
  <w:style w:type="paragraph" w:customStyle="1" w:styleId="JRATitle">
    <w:name w:val="JRA Title"/>
    <w:basedOn w:val="Normal"/>
    <w:rsid w:val="003254D1"/>
    <w:pPr>
      <w:autoSpaceDE w:val="0"/>
      <w:autoSpaceDN w:val="0"/>
      <w:adjustRightInd w:val="0"/>
      <w:spacing w:after="360" w:line="276" w:lineRule="auto"/>
      <w:jc w:val="center"/>
    </w:pPr>
    <w:rPr>
      <w:rFonts w:ascii="Souvenir Lt BT" w:hAnsi="Souvenir Lt BT" w:cs="Souvenir Lt BT"/>
      <w:b/>
      <w:bCs/>
      <w:color w:val="00007F"/>
      <w:sz w:val="36"/>
      <w:szCs w:val="36"/>
      <w:lang w:bidi="en-US"/>
    </w:rPr>
  </w:style>
  <w:style w:type="paragraph" w:customStyle="1" w:styleId="JRAFooter">
    <w:name w:val="JRA Footer"/>
    <w:basedOn w:val="JRANormalText"/>
    <w:rsid w:val="003254D1"/>
    <w:pPr>
      <w:pBdr>
        <w:top w:val="single" w:sz="4" w:space="1" w:color="auto"/>
      </w:pBdr>
      <w:jc w:val="center"/>
    </w:pPr>
    <w:rPr>
      <w:lang w:val="en-US" w:eastAsia="en-US"/>
    </w:rPr>
  </w:style>
  <w:style w:type="paragraph" w:styleId="Caption">
    <w:name w:val="caption"/>
    <w:basedOn w:val="Normal"/>
    <w:next w:val="Normal"/>
    <w:qFormat/>
    <w:rsid w:val="003254D1"/>
    <w:pPr>
      <w:spacing w:after="200" w:line="276" w:lineRule="auto"/>
    </w:pPr>
    <w:rPr>
      <w:rFonts w:ascii="Calibri" w:hAnsi="Calibri"/>
      <w:b/>
      <w:bCs/>
      <w:lang w:bidi="en-US"/>
    </w:rPr>
  </w:style>
  <w:style w:type="paragraph" w:customStyle="1" w:styleId="JJRABoilerplate">
    <w:name w:val="JJRA Boilerplate"/>
    <w:basedOn w:val="Normal"/>
    <w:rsid w:val="003254D1"/>
    <w:pPr>
      <w:autoSpaceDE w:val="0"/>
      <w:autoSpaceDN w:val="0"/>
      <w:adjustRightInd w:val="0"/>
      <w:spacing w:before="120" w:after="120" w:line="276" w:lineRule="auto"/>
      <w:ind w:left="720" w:right="720"/>
    </w:pPr>
    <w:rPr>
      <w:rFonts w:ascii="Arial" w:hAnsi="Arial" w:cs="Arial"/>
      <w:lang w:bidi="en-US"/>
    </w:rPr>
  </w:style>
  <w:style w:type="paragraph" w:customStyle="1" w:styleId="JRABullets">
    <w:name w:val="JRA Bullets"/>
    <w:basedOn w:val="JRANormalText"/>
    <w:rsid w:val="003254D1"/>
    <w:pPr>
      <w:numPr>
        <w:numId w:val="2"/>
      </w:numPr>
      <w:spacing w:before="0" w:after="0"/>
    </w:pPr>
    <w:rPr>
      <w:lang w:val="en-US" w:eastAsia="en-US"/>
    </w:rPr>
  </w:style>
  <w:style w:type="paragraph" w:customStyle="1" w:styleId="JRAHeading5">
    <w:name w:val="JRA Heading 5"/>
    <w:basedOn w:val="JRAHeading4"/>
    <w:rsid w:val="003254D1"/>
    <w:pPr>
      <w:tabs>
        <w:tab w:val="clear" w:pos="-8640"/>
        <w:tab w:val="left" w:pos="1584"/>
      </w:tabs>
      <w:ind w:left="0"/>
    </w:pPr>
    <w:rPr>
      <w:rFonts w:ascii="Souvenir Lt BT" w:hAnsi="Souvenir Lt BT" w:cs="Souvenir Lt BT"/>
      <w:i w:val="0"/>
      <w:color w:val="0000FF"/>
      <w:u w:val="single"/>
      <w:lang w:val="en-US" w:eastAsia="en-US"/>
    </w:rPr>
  </w:style>
  <w:style w:type="character" w:styleId="CommentReference">
    <w:name w:val="annotation reference"/>
    <w:rsid w:val="003254D1"/>
    <w:rPr>
      <w:sz w:val="16"/>
      <w:szCs w:val="16"/>
    </w:rPr>
  </w:style>
  <w:style w:type="paragraph" w:styleId="CommentText">
    <w:name w:val="annotation text"/>
    <w:basedOn w:val="Normal"/>
    <w:link w:val="CommentTextChar"/>
    <w:uiPriority w:val="99"/>
    <w:rsid w:val="003254D1"/>
    <w:pPr>
      <w:spacing w:after="200" w:line="276" w:lineRule="auto"/>
    </w:pPr>
    <w:rPr>
      <w:rFonts w:ascii="Calibri" w:hAnsi="Calibri"/>
      <w:lang w:bidi="en-US"/>
    </w:rPr>
  </w:style>
  <w:style w:type="character" w:customStyle="1" w:styleId="CommentTextChar">
    <w:name w:val="Comment Text Char"/>
    <w:link w:val="CommentText"/>
    <w:uiPriority w:val="99"/>
    <w:rsid w:val="003254D1"/>
    <w:rPr>
      <w:rFonts w:ascii="Calibri" w:hAnsi="Calibri"/>
      <w:lang w:bidi="en-US"/>
    </w:rPr>
  </w:style>
  <w:style w:type="paragraph" w:styleId="CommentSubject">
    <w:name w:val="annotation subject"/>
    <w:basedOn w:val="CommentText"/>
    <w:next w:val="CommentText"/>
    <w:link w:val="CommentSubjectChar"/>
    <w:rsid w:val="003254D1"/>
    <w:rPr>
      <w:b/>
      <w:bCs/>
    </w:rPr>
  </w:style>
  <w:style w:type="character" w:customStyle="1" w:styleId="CommentSubjectChar">
    <w:name w:val="Comment Subject Char"/>
    <w:link w:val="CommentSubject"/>
    <w:rsid w:val="003254D1"/>
    <w:rPr>
      <w:rFonts w:ascii="Calibri" w:hAnsi="Calibri"/>
      <w:b/>
      <w:bCs/>
      <w:lang w:bidi="en-US"/>
    </w:rPr>
  </w:style>
  <w:style w:type="character" w:customStyle="1" w:styleId="Heading1Char">
    <w:name w:val="Heading 1 Char"/>
    <w:link w:val="Heading1"/>
    <w:uiPriority w:val="9"/>
    <w:rsid w:val="0034266A"/>
    <w:rPr>
      <w:rFonts w:ascii="Souvenir Lt BT" w:hAnsi="Souvenir Lt BT"/>
      <w:b/>
      <w:sz w:val="24"/>
    </w:rPr>
  </w:style>
  <w:style w:type="character" w:customStyle="1" w:styleId="Heading3Char">
    <w:name w:val="Heading 3 Char"/>
    <w:link w:val="Heading3"/>
    <w:uiPriority w:val="9"/>
    <w:rsid w:val="009A7242"/>
    <w:rPr>
      <w:rFonts w:ascii="Souvenir Lt BT" w:hAnsi="Souvenir Lt BT"/>
      <w:b/>
      <w:i/>
      <w:sz w:val="24"/>
    </w:rPr>
  </w:style>
  <w:style w:type="character" w:customStyle="1" w:styleId="Reference">
    <w:name w:val="Reference"/>
    <w:rsid w:val="003254D1"/>
    <w:rPr>
      <w:b/>
    </w:rPr>
  </w:style>
  <w:style w:type="character" w:customStyle="1" w:styleId="Heading7Char">
    <w:name w:val="Heading 7 Char"/>
    <w:basedOn w:val="DefaultParagraphFont"/>
    <w:link w:val="Heading7"/>
    <w:uiPriority w:val="9"/>
    <w:rsid w:val="003254D1"/>
  </w:style>
  <w:style w:type="character" w:customStyle="1" w:styleId="Heading2Char">
    <w:name w:val="Heading 2 Char"/>
    <w:link w:val="Heading2"/>
    <w:uiPriority w:val="9"/>
    <w:rsid w:val="003254D1"/>
    <w:rPr>
      <w:rFonts w:ascii="Souvenir Lt BT" w:hAnsi="Souvenir Lt BT"/>
      <w:b/>
      <w:sz w:val="24"/>
    </w:rPr>
  </w:style>
  <w:style w:type="character" w:customStyle="1" w:styleId="Heading4Char">
    <w:name w:val="Heading 4 Char"/>
    <w:link w:val="Heading4"/>
    <w:uiPriority w:val="9"/>
    <w:rsid w:val="003254D1"/>
    <w:rPr>
      <w:rFonts w:ascii="Souvenir Lt BT" w:hAnsi="Souvenir Lt BT"/>
      <w:sz w:val="22"/>
    </w:rPr>
  </w:style>
  <w:style w:type="character" w:customStyle="1" w:styleId="Heading5Char">
    <w:name w:val="Heading 5 Char"/>
    <w:link w:val="Heading5"/>
    <w:uiPriority w:val="9"/>
    <w:rsid w:val="003254D1"/>
    <w:rPr>
      <w:sz w:val="22"/>
    </w:rPr>
  </w:style>
  <w:style w:type="character" w:customStyle="1" w:styleId="Heading6Char">
    <w:name w:val="Heading 6 Char"/>
    <w:link w:val="Heading6"/>
    <w:uiPriority w:val="9"/>
    <w:rsid w:val="003254D1"/>
    <w:rPr>
      <w:i/>
      <w:sz w:val="22"/>
    </w:rPr>
  </w:style>
  <w:style w:type="character" w:customStyle="1" w:styleId="Heading8Char">
    <w:name w:val="Heading 8 Char"/>
    <w:link w:val="Heading8"/>
    <w:uiPriority w:val="9"/>
    <w:rsid w:val="003254D1"/>
    <w:rPr>
      <w:i/>
    </w:rPr>
  </w:style>
  <w:style w:type="character" w:customStyle="1" w:styleId="Heading9Char">
    <w:name w:val="Heading 9 Char"/>
    <w:link w:val="Heading9"/>
    <w:uiPriority w:val="9"/>
    <w:rsid w:val="003254D1"/>
    <w:rPr>
      <w:b/>
      <w:i/>
      <w:sz w:val="18"/>
    </w:rPr>
  </w:style>
  <w:style w:type="character" w:customStyle="1" w:styleId="SubtitleChar">
    <w:name w:val="Subtitle Char"/>
    <w:link w:val="Subtitle"/>
    <w:uiPriority w:val="11"/>
    <w:rsid w:val="003254D1"/>
    <w:rPr>
      <w:rFonts w:ascii="Arial" w:hAnsi="Arial"/>
      <w:i/>
      <w:sz w:val="36"/>
      <w:lang w:val="en-AU"/>
    </w:rPr>
  </w:style>
  <w:style w:type="character" w:styleId="Emphasis">
    <w:name w:val="Emphasis"/>
    <w:uiPriority w:val="20"/>
    <w:qFormat/>
    <w:rsid w:val="003254D1"/>
    <w:rPr>
      <w:b/>
      <w:bCs/>
      <w:i/>
      <w:iCs/>
      <w:spacing w:val="10"/>
      <w:bdr w:val="none" w:sz="0" w:space="0" w:color="auto"/>
      <w:shd w:val="clear" w:color="auto" w:fill="auto"/>
    </w:rPr>
  </w:style>
  <w:style w:type="paragraph" w:styleId="NoSpacing">
    <w:name w:val="No Spacing"/>
    <w:basedOn w:val="Normal"/>
    <w:uiPriority w:val="1"/>
    <w:qFormat/>
    <w:rsid w:val="003254D1"/>
    <w:rPr>
      <w:rFonts w:ascii="Calibri" w:hAnsi="Calibri"/>
      <w:sz w:val="22"/>
      <w:szCs w:val="22"/>
      <w:lang w:bidi="en-US"/>
    </w:rPr>
  </w:style>
  <w:style w:type="paragraph" w:styleId="ListParagraph">
    <w:name w:val="List Paragraph"/>
    <w:basedOn w:val="Normal"/>
    <w:uiPriority w:val="34"/>
    <w:qFormat/>
    <w:rsid w:val="003254D1"/>
    <w:pPr>
      <w:spacing w:after="200" w:line="276" w:lineRule="auto"/>
      <w:ind w:left="720"/>
      <w:contextualSpacing/>
    </w:pPr>
    <w:rPr>
      <w:rFonts w:ascii="Calibri" w:hAnsi="Calibri"/>
      <w:sz w:val="22"/>
      <w:szCs w:val="22"/>
      <w:lang w:bidi="en-US"/>
    </w:rPr>
  </w:style>
  <w:style w:type="paragraph" w:styleId="Quote">
    <w:name w:val="Quote"/>
    <w:basedOn w:val="Normal"/>
    <w:next w:val="Normal"/>
    <w:link w:val="QuoteChar"/>
    <w:uiPriority w:val="29"/>
    <w:qFormat/>
    <w:rsid w:val="003254D1"/>
    <w:pPr>
      <w:spacing w:before="200" w:line="276" w:lineRule="auto"/>
      <w:ind w:left="360" w:right="360"/>
    </w:pPr>
    <w:rPr>
      <w:rFonts w:ascii="Calibri" w:hAnsi="Calibri"/>
      <w:i/>
      <w:iCs/>
      <w:sz w:val="22"/>
      <w:szCs w:val="22"/>
      <w:lang w:bidi="en-US"/>
    </w:rPr>
  </w:style>
  <w:style w:type="character" w:customStyle="1" w:styleId="QuoteChar">
    <w:name w:val="Quote Char"/>
    <w:link w:val="Quote"/>
    <w:uiPriority w:val="29"/>
    <w:rsid w:val="003254D1"/>
    <w:rPr>
      <w:rFonts w:ascii="Calibri" w:hAnsi="Calibri"/>
      <w:i/>
      <w:iCs/>
      <w:sz w:val="22"/>
      <w:szCs w:val="22"/>
      <w:lang w:bidi="en-US"/>
    </w:rPr>
  </w:style>
  <w:style w:type="paragraph" w:styleId="IntenseQuote">
    <w:name w:val="Intense Quote"/>
    <w:basedOn w:val="Normal"/>
    <w:next w:val="Normal"/>
    <w:link w:val="IntenseQuoteChar"/>
    <w:uiPriority w:val="30"/>
    <w:qFormat/>
    <w:rsid w:val="003254D1"/>
    <w:pPr>
      <w:pBdr>
        <w:bottom w:val="single" w:sz="4" w:space="1" w:color="auto"/>
      </w:pBdr>
      <w:spacing w:before="200" w:after="280" w:line="276" w:lineRule="auto"/>
      <w:ind w:left="1008" w:right="1152"/>
    </w:pPr>
    <w:rPr>
      <w:rFonts w:ascii="Calibri" w:hAnsi="Calibri"/>
      <w:b/>
      <w:bCs/>
      <w:i/>
      <w:iCs/>
      <w:sz w:val="22"/>
      <w:szCs w:val="22"/>
      <w:lang w:bidi="en-US"/>
    </w:rPr>
  </w:style>
  <w:style w:type="character" w:customStyle="1" w:styleId="IntenseQuoteChar">
    <w:name w:val="Intense Quote Char"/>
    <w:link w:val="IntenseQuote"/>
    <w:uiPriority w:val="30"/>
    <w:rsid w:val="003254D1"/>
    <w:rPr>
      <w:rFonts w:ascii="Calibri" w:hAnsi="Calibri"/>
      <w:b/>
      <w:bCs/>
      <w:i/>
      <w:iCs/>
      <w:sz w:val="22"/>
      <w:szCs w:val="22"/>
      <w:lang w:bidi="en-US"/>
    </w:rPr>
  </w:style>
  <w:style w:type="character" w:styleId="SubtleEmphasis">
    <w:name w:val="Subtle Emphasis"/>
    <w:uiPriority w:val="19"/>
    <w:qFormat/>
    <w:rsid w:val="003254D1"/>
    <w:rPr>
      <w:i/>
      <w:iCs/>
    </w:rPr>
  </w:style>
  <w:style w:type="character" w:styleId="IntenseEmphasis">
    <w:name w:val="Intense Emphasis"/>
    <w:uiPriority w:val="21"/>
    <w:qFormat/>
    <w:rsid w:val="003254D1"/>
    <w:rPr>
      <w:b/>
      <w:bCs/>
    </w:rPr>
  </w:style>
  <w:style w:type="character" w:styleId="SubtleReference">
    <w:name w:val="Subtle Reference"/>
    <w:uiPriority w:val="31"/>
    <w:qFormat/>
    <w:rsid w:val="003254D1"/>
    <w:rPr>
      <w:smallCaps/>
    </w:rPr>
  </w:style>
  <w:style w:type="character" w:styleId="IntenseReference">
    <w:name w:val="Intense Reference"/>
    <w:uiPriority w:val="32"/>
    <w:qFormat/>
    <w:rsid w:val="003254D1"/>
    <w:rPr>
      <w:smallCaps/>
      <w:spacing w:val="5"/>
      <w:u w:val="single"/>
    </w:rPr>
  </w:style>
  <w:style w:type="character" w:styleId="BookTitle">
    <w:name w:val="Book Title"/>
    <w:uiPriority w:val="33"/>
    <w:qFormat/>
    <w:rsid w:val="003254D1"/>
    <w:rPr>
      <w:i/>
      <w:iCs/>
      <w:smallCaps/>
      <w:spacing w:val="5"/>
    </w:rPr>
  </w:style>
  <w:style w:type="paragraph" w:customStyle="1" w:styleId="StyleJRAHeading2TimesNewRoman">
    <w:name w:val="Style JRA Heading 2 + Times New Roman"/>
    <w:basedOn w:val="JRAHeading2"/>
    <w:rsid w:val="003254D1"/>
    <w:rPr>
      <w:rFonts w:ascii="Times New Roman" w:hAnsi="Times New Roman"/>
      <w:i/>
    </w:rPr>
  </w:style>
  <w:style w:type="paragraph" w:customStyle="1" w:styleId="StyleJRAHeading2TimesNewRoman1">
    <w:name w:val="Style JRA Heading 2 + Times New Roman1"/>
    <w:basedOn w:val="JRAHeading2"/>
    <w:rsid w:val="003254D1"/>
    <w:rPr>
      <w:rFonts w:ascii="Times New Roman" w:hAnsi="Times New Roman"/>
      <w:sz w:val="24"/>
    </w:rPr>
  </w:style>
  <w:style w:type="table" w:customStyle="1" w:styleId="LightList-Accent11">
    <w:name w:val="Light List - Accent 11"/>
    <w:basedOn w:val="TableNormal"/>
    <w:uiPriority w:val="61"/>
    <w:rsid w:val="00EA3F17"/>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C1583C"/>
    <w:pPr>
      <w:autoSpaceDE w:val="0"/>
      <w:autoSpaceDN w:val="0"/>
      <w:adjustRightInd w:val="0"/>
    </w:pPr>
    <w:rPr>
      <w:rFonts w:ascii="Calibri" w:eastAsiaTheme="minorHAnsi" w:hAnsi="Calibri" w:cs="Calibri"/>
      <w:color w:val="000000"/>
      <w:sz w:val="24"/>
      <w:szCs w:val="24"/>
    </w:rPr>
  </w:style>
  <w:style w:type="paragraph" w:customStyle="1" w:styleId="CoverPageTitle">
    <w:name w:val="Cover Page Title"/>
    <w:basedOn w:val="NoSpacing"/>
    <w:link w:val="CoverPageTitleChar"/>
    <w:qFormat/>
    <w:rsid w:val="00AB0BC5"/>
    <w:pPr>
      <w:jc w:val="right"/>
    </w:pPr>
    <w:rPr>
      <w:rFonts w:asciiTheme="majorHAnsi" w:eastAsiaTheme="majorEastAsia" w:hAnsiTheme="majorHAnsi" w:cstheme="majorBidi"/>
      <w:b/>
      <w:smallCaps/>
      <w:color w:val="FFFFFF" w:themeColor="background1"/>
      <w:sz w:val="56"/>
      <w:szCs w:val="56"/>
      <w:lang w:eastAsia="ja-JP" w:bidi="ar-SA"/>
    </w:rPr>
  </w:style>
  <w:style w:type="character" w:customStyle="1" w:styleId="CoverPageTitleChar">
    <w:name w:val="Cover Page Title Char"/>
    <w:basedOn w:val="DefaultParagraphFont"/>
    <w:link w:val="CoverPageTitle"/>
    <w:rsid w:val="00AB0BC5"/>
    <w:rPr>
      <w:rFonts w:asciiTheme="majorHAnsi" w:eastAsiaTheme="majorEastAsia" w:hAnsiTheme="majorHAnsi" w:cstheme="majorBidi"/>
      <w:b/>
      <w:smallCaps/>
      <w:color w:val="FFFFFF" w:themeColor="background1"/>
      <w:sz w:val="56"/>
      <w:szCs w:val="56"/>
      <w:lang w:eastAsia="ja-JP"/>
    </w:rPr>
  </w:style>
  <w:style w:type="character" w:customStyle="1" w:styleId="apple-converted-space">
    <w:name w:val="apple-converted-space"/>
    <w:basedOn w:val="DefaultParagraphFont"/>
    <w:rsid w:val="009C10F8"/>
  </w:style>
  <w:style w:type="paragraph" w:styleId="Revision">
    <w:name w:val="Revision"/>
    <w:hidden/>
    <w:uiPriority w:val="99"/>
    <w:semiHidden/>
    <w:rsid w:val="00844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4462">
      <w:bodyDiv w:val="1"/>
      <w:marLeft w:val="0"/>
      <w:marRight w:val="0"/>
      <w:marTop w:val="0"/>
      <w:marBottom w:val="0"/>
      <w:divBdr>
        <w:top w:val="none" w:sz="0" w:space="0" w:color="auto"/>
        <w:left w:val="none" w:sz="0" w:space="0" w:color="auto"/>
        <w:bottom w:val="none" w:sz="0" w:space="0" w:color="auto"/>
        <w:right w:val="none" w:sz="0" w:space="0" w:color="auto"/>
      </w:divBdr>
    </w:div>
    <w:div w:id="77874068">
      <w:bodyDiv w:val="1"/>
      <w:marLeft w:val="0"/>
      <w:marRight w:val="0"/>
      <w:marTop w:val="0"/>
      <w:marBottom w:val="0"/>
      <w:divBdr>
        <w:top w:val="none" w:sz="0" w:space="0" w:color="auto"/>
        <w:left w:val="none" w:sz="0" w:space="0" w:color="auto"/>
        <w:bottom w:val="none" w:sz="0" w:space="0" w:color="auto"/>
        <w:right w:val="none" w:sz="0" w:space="0" w:color="auto"/>
      </w:divBdr>
      <w:divsChild>
        <w:div w:id="625744174">
          <w:marLeft w:val="0"/>
          <w:marRight w:val="0"/>
          <w:marTop w:val="0"/>
          <w:marBottom w:val="0"/>
          <w:divBdr>
            <w:top w:val="none" w:sz="0" w:space="0" w:color="auto"/>
            <w:left w:val="none" w:sz="0" w:space="0" w:color="auto"/>
            <w:bottom w:val="none" w:sz="0" w:space="0" w:color="auto"/>
            <w:right w:val="none" w:sz="0" w:space="0" w:color="auto"/>
          </w:divBdr>
        </w:div>
      </w:divsChild>
    </w:div>
    <w:div w:id="130907780">
      <w:bodyDiv w:val="1"/>
      <w:marLeft w:val="0"/>
      <w:marRight w:val="0"/>
      <w:marTop w:val="0"/>
      <w:marBottom w:val="0"/>
      <w:divBdr>
        <w:top w:val="none" w:sz="0" w:space="0" w:color="auto"/>
        <w:left w:val="none" w:sz="0" w:space="0" w:color="auto"/>
        <w:bottom w:val="none" w:sz="0" w:space="0" w:color="auto"/>
        <w:right w:val="none" w:sz="0" w:space="0" w:color="auto"/>
      </w:divBdr>
    </w:div>
    <w:div w:id="442960347">
      <w:bodyDiv w:val="1"/>
      <w:marLeft w:val="0"/>
      <w:marRight w:val="0"/>
      <w:marTop w:val="0"/>
      <w:marBottom w:val="0"/>
      <w:divBdr>
        <w:top w:val="none" w:sz="0" w:space="0" w:color="auto"/>
        <w:left w:val="none" w:sz="0" w:space="0" w:color="auto"/>
        <w:bottom w:val="none" w:sz="0" w:space="0" w:color="auto"/>
        <w:right w:val="none" w:sz="0" w:space="0" w:color="auto"/>
      </w:divBdr>
    </w:div>
    <w:div w:id="643050592">
      <w:bodyDiv w:val="1"/>
      <w:marLeft w:val="0"/>
      <w:marRight w:val="0"/>
      <w:marTop w:val="0"/>
      <w:marBottom w:val="0"/>
      <w:divBdr>
        <w:top w:val="none" w:sz="0" w:space="0" w:color="auto"/>
        <w:left w:val="none" w:sz="0" w:space="0" w:color="auto"/>
        <w:bottom w:val="none" w:sz="0" w:space="0" w:color="auto"/>
        <w:right w:val="none" w:sz="0" w:space="0" w:color="auto"/>
      </w:divBdr>
    </w:div>
    <w:div w:id="770977299">
      <w:bodyDiv w:val="1"/>
      <w:marLeft w:val="0"/>
      <w:marRight w:val="0"/>
      <w:marTop w:val="0"/>
      <w:marBottom w:val="0"/>
      <w:divBdr>
        <w:top w:val="none" w:sz="0" w:space="0" w:color="auto"/>
        <w:left w:val="none" w:sz="0" w:space="0" w:color="auto"/>
        <w:bottom w:val="none" w:sz="0" w:space="0" w:color="auto"/>
        <w:right w:val="none" w:sz="0" w:space="0" w:color="auto"/>
      </w:divBdr>
    </w:div>
    <w:div w:id="878473353">
      <w:bodyDiv w:val="1"/>
      <w:marLeft w:val="0"/>
      <w:marRight w:val="0"/>
      <w:marTop w:val="0"/>
      <w:marBottom w:val="0"/>
      <w:divBdr>
        <w:top w:val="none" w:sz="0" w:space="0" w:color="auto"/>
        <w:left w:val="none" w:sz="0" w:space="0" w:color="auto"/>
        <w:bottom w:val="none" w:sz="0" w:space="0" w:color="auto"/>
        <w:right w:val="none" w:sz="0" w:space="0" w:color="auto"/>
      </w:divBdr>
    </w:div>
    <w:div w:id="887112913">
      <w:bodyDiv w:val="1"/>
      <w:marLeft w:val="0"/>
      <w:marRight w:val="0"/>
      <w:marTop w:val="0"/>
      <w:marBottom w:val="0"/>
      <w:divBdr>
        <w:top w:val="none" w:sz="0" w:space="0" w:color="auto"/>
        <w:left w:val="none" w:sz="0" w:space="0" w:color="auto"/>
        <w:bottom w:val="none" w:sz="0" w:space="0" w:color="auto"/>
        <w:right w:val="none" w:sz="0" w:space="0" w:color="auto"/>
      </w:divBdr>
    </w:div>
    <w:div w:id="1001470357">
      <w:bodyDiv w:val="1"/>
      <w:marLeft w:val="0"/>
      <w:marRight w:val="0"/>
      <w:marTop w:val="0"/>
      <w:marBottom w:val="0"/>
      <w:divBdr>
        <w:top w:val="none" w:sz="0" w:space="0" w:color="auto"/>
        <w:left w:val="none" w:sz="0" w:space="0" w:color="auto"/>
        <w:bottom w:val="none" w:sz="0" w:space="0" w:color="auto"/>
        <w:right w:val="none" w:sz="0" w:space="0" w:color="auto"/>
      </w:divBdr>
    </w:div>
    <w:div w:id="1020354687">
      <w:bodyDiv w:val="1"/>
      <w:marLeft w:val="0"/>
      <w:marRight w:val="0"/>
      <w:marTop w:val="0"/>
      <w:marBottom w:val="0"/>
      <w:divBdr>
        <w:top w:val="none" w:sz="0" w:space="0" w:color="auto"/>
        <w:left w:val="none" w:sz="0" w:space="0" w:color="auto"/>
        <w:bottom w:val="none" w:sz="0" w:space="0" w:color="auto"/>
        <w:right w:val="none" w:sz="0" w:space="0" w:color="auto"/>
      </w:divBdr>
    </w:div>
    <w:div w:id="1158299816">
      <w:bodyDiv w:val="1"/>
      <w:marLeft w:val="0"/>
      <w:marRight w:val="0"/>
      <w:marTop w:val="0"/>
      <w:marBottom w:val="0"/>
      <w:divBdr>
        <w:top w:val="none" w:sz="0" w:space="0" w:color="auto"/>
        <w:left w:val="none" w:sz="0" w:space="0" w:color="auto"/>
        <w:bottom w:val="none" w:sz="0" w:space="0" w:color="auto"/>
        <w:right w:val="none" w:sz="0" w:space="0" w:color="auto"/>
      </w:divBdr>
      <w:divsChild>
        <w:div w:id="1894191767">
          <w:marLeft w:val="0"/>
          <w:marRight w:val="0"/>
          <w:marTop w:val="0"/>
          <w:marBottom w:val="0"/>
          <w:divBdr>
            <w:top w:val="none" w:sz="0" w:space="0" w:color="auto"/>
            <w:left w:val="none" w:sz="0" w:space="0" w:color="auto"/>
            <w:bottom w:val="none" w:sz="0" w:space="0" w:color="auto"/>
            <w:right w:val="none" w:sz="0" w:space="0" w:color="auto"/>
          </w:divBdr>
        </w:div>
      </w:divsChild>
    </w:div>
    <w:div w:id="1324503652">
      <w:bodyDiv w:val="1"/>
      <w:marLeft w:val="0"/>
      <w:marRight w:val="0"/>
      <w:marTop w:val="0"/>
      <w:marBottom w:val="0"/>
      <w:divBdr>
        <w:top w:val="none" w:sz="0" w:space="0" w:color="auto"/>
        <w:left w:val="none" w:sz="0" w:space="0" w:color="auto"/>
        <w:bottom w:val="none" w:sz="0" w:space="0" w:color="auto"/>
        <w:right w:val="none" w:sz="0" w:space="0" w:color="auto"/>
      </w:divBdr>
    </w:div>
    <w:div w:id="1361738806">
      <w:bodyDiv w:val="1"/>
      <w:marLeft w:val="0"/>
      <w:marRight w:val="0"/>
      <w:marTop w:val="0"/>
      <w:marBottom w:val="0"/>
      <w:divBdr>
        <w:top w:val="none" w:sz="0" w:space="0" w:color="auto"/>
        <w:left w:val="none" w:sz="0" w:space="0" w:color="auto"/>
        <w:bottom w:val="none" w:sz="0" w:space="0" w:color="auto"/>
        <w:right w:val="none" w:sz="0" w:space="0" w:color="auto"/>
      </w:divBdr>
    </w:div>
    <w:div w:id="1390306856">
      <w:bodyDiv w:val="1"/>
      <w:marLeft w:val="0"/>
      <w:marRight w:val="0"/>
      <w:marTop w:val="0"/>
      <w:marBottom w:val="0"/>
      <w:divBdr>
        <w:top w:val="none" w:sz="0" w:space="0" w:color="auto"/>
        <w:left w:val="none" w:sz="0" w:space="0" w:color="auto"/>
        <w:bottom w:val="none" w:sz="0" w:space="0" w:color="auto"/>
        <w:right w:val="none" w:sz="0" w:space="0" w:color="auto"/>
      </w:divBdr>
    </w:div>
    <w:div w:id="1416051090">
      <w:bodyDiv w:val="1"/>
      <w:marLeft w:val="0"/>
      <w:marRight w:val="0"/>
      <w:marTop w:val="0"/>
      <w:marBottom w:val="0"/>
      <w:divBdr>
        <w:top w:val="none" w:sz="0" w:space="0" w:color="auto"/>
        <w:left w:val="none" w:sz="0" w:space="0" w:color="auto"/>
        <w:bottom w:val="none" w:sz="0" w:space="0" w:color="auto"/>
        <w:right w:val="none" w:sz="0" w:space="0" w:color="auto"/>
      </w:divBdr>
    </w:div>
    <w:div w:id="1532524237">
      <w:bodyDiv w:val="1"/>
      <w:marLeft w:val="0"/>
      <w:marRight w:val="0"/>
      <w:marTop w:val="0"/>
      <w:marBottom w:val="0"/>
      <w:divBdr>
        <w:top w:val="none" w:sz="0" w:space="0" w:color="auto"/>
        <w:left w:val="none" w:sz="0" w:space="0" w:color="auto"/>
        <w:bottom w:val="none" w:sz="0" w:space="0" w:color="auto"/>
        <w:right w:val="none" w:sz="0" w:space="0" w:color="auto"/>
      </w:divBdr>
    </w:div>
    <w:div w:id="1595282410">
      <w:bodyDiv w:val="1"/>
      <w:marLeft w:val="0"/>
      <w:marRight w:val="0"/>
      <w:marTop w:val="0"/>
      <w:marBottom w:val="0"/>
      <w:divBdr>
        <w:top w:val="none" w:sz="0" w:space="0" w:color="auto"/>
        <w:left w:val="none" w:sz="0" w:space="0" w:color="auto"/>
        <w:bottom w:val="none" w:sz="0" w:space="0" w:color="auto"/>
        <w:right w:val="none" w:sz="0" w:space="0" w:color="auto"/>
      </w:divBdr>
    </w:div>
    <w:div w:id="1786191541">
      <w:bodyDiv w:val="1"/>
      <w:marLeft w:val="0"/>
      <w:marRight w:val="0"/>
      <w:marTop w:val="0"/>
      <w:marBottom w:val="0"/>
      <w:divBdr>
        <w:top w:val="none" w:sz="0" w:space="0" w:color="auto"/>
        <w:left w:val="none" w:sz="0" w:space="0" w:color="auto"/>
        <w:bottom w:val="none" w:sz="0" w:space="0" w:color="auto"/>
        <w:right w:val="none" w:sz="0" w:space="0" w:color="auto"/>
      </w:divBdr>
    </w:div>
    <w:div w:id="2008434598">
      <w:bodyDiv w:val="1"/>
      <w:marLeft w:val="0"/>
      <w:marRight w:val="0"/>
      <w:marTop w:val="0"/>
      <w:marBottom w:val="0"/>
      <w:divBdr>
        <w:top w:val="none" w:sz="0" w:space="0" w:color="auto"/>
        <w:left w:val="none" w:sz="0" w:space="0" w:color="auto"/>
        <w:bottom w:val="none" w:sz="0" w:space="0" w:color="auto"/>
        <w:right w:val="none" w:sz="0" w:space="0" w:color="auto"/>
      </w:divBdr>
      <w:divsChild>
        <w:div w:id="189808054">
          <w:marLeft w:val="0"/>
          <w:marRight w:val="0"/>
          <w:marTop w:val="0"/>
          <w:marBottom w:val="0"/>
          <w:divBdr>
            <w:top w:val="none" w:sz="0" w:space="0" w:color="auto"/>
            <w:left w:val="none" w:sz="0" w:space="0" w:color="auto"/>
            <w:bottom w:val="none" w:sz="0" w:space="0" w:color="auto"/>
            <w:right w:val="none" w:sz="0" w:space="0" w:color="auto"/>
          </w:divBdr>
          <w:divsChild>
            <w:div w:id="21514555">
              <w:marLeft w:val="0"/>
              <w:marRight w:val="0"/>
              <w:marTop w:val="0"/>
              <w:marBottom w:val="0"/>
              <w:divBdr>
                <w:top w:val="none" w:sz="0" w:space="0" w:color="auto"/>
                <w:left w:val="none" w:sz="0" w:space="0" w:color="auto"/>
                <w:bottom w:val="none" w:sz="0" w:space="0" w:color="auto"/>
                <w:right w:val="none" w:sz="0" w:space="0" w:color="auto"/>
              </w:divBdr>
              <w:divsChild>
                <w:div w:id="1707174326">
                  <w:marLeft w:val="0"/>
                  <w:marRight w:val="0"/>
                  <w:marTop w:val="0"/>
                  <w:marBottom w:val="0"/>
                  <w:divBdr>
                    <w:top w:val="none" w:sz="0" w:space="0" w:color="auto"/>
                    <w:left w:val="none" w:sz="0" w:space="0" w:color="auto"/>
                    <w:bottom w:val="none" w:sz="0" w:space="0" w:color="auto"/>
                    <w:right w:val="none" w:sz="0" w:space="0" w:color="auto"/>
                  </w:divBdr>
                  <w:divsChild>
                    <w:div w:id="723409952">
                      <w:marLeft w:val="0"/>
                      <w:marRight w:val="0"/>
                      <w:marTop w:val="0"/>
                      <w:marBottom w:val="0"/>
                      <w:divBdr>
                        <w:top w:val="none" w:sz="0" w:space="0" w:color="auto"/>
                        <w:left w:val="none" w:sz="0" w:space="0" w:color="auto"/>
                        <w:bottom w:val="none" w:sz="0" w:space="0" w:color="auto"/>
                        <w:right w:val="none" w:sz="0" w:space="0" w:color="auto"/>
                      </w:divBdr>
                      <w:divsChild>
                        <w:div w:id="43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2415">
      <w:bodyDiv w:val="1"/>
      <w:marLeft w:val="0"/>
      <w:marRight w:val="0"/>
      <w:marTop w:val="0"/>
      <w:marBottom w:val="0"/>
      <w:divBdr>
        <w:top w:val="none" w:sz="0" w:space="0" w:color="auto"/>
        <w:left w:val="none" w:sz="0" w:space="0" w:color="auto"/>
        <w:bottom w:val="none" w:sz="0" w:space="0" w:color="auto"/>
        <w:right w:val="none" w:sz="0" w:space="0" w:color="auto"/>
      </w:divBdr>
      <w:divsChild>
        <w:div w:id="92812183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68796414">
      <w:bodyDiv w:val="1"/>
      <w:marLeft w:val="0"/>
      <w:marRight w:val="0"/>
      <w:marTop w:val="0"/>
      <w:marBottom w:val="0"/>
      <w:divBdr>
        <w:top w:val="none" w:sz="0" w:space="0" w:color="auto"/>
        <w:left w:val="none" w:sz="0" w:space="0" w:color="auto"/>
        <w:bottom w:val="none" w:sz="0" w:space="0" w:color="auto"/>
        <w:right w:val="none" w:sz="0" w:space="0" w:color="auto"/>
      </w:divBdr>
    </w:div>
    <w:div w:id="2075615540">
      <w:bodyDiv w:val="1"/>
      <w:marLeft w:val="0"/>
      <w:marRight w:val="0"/>
      <w:marTop w:val="0"/>
      <w:marBottom w:val="0"/>
      <w:divBdr>
        <w:top w:val="none" w:sz="0" w:space="0" w:color="auto"/>
        <w:left w:val="none" w:sz="0" w:space="0" w:color="auto"/>
        <w:bottom w:val="none" w:sz="0" w:space="0" w:color="auto"/>
        <w:right w:val="none" w:sz="0" w:space="0" w:color="auto"/>
      </w:divBdr>
      <w:divsChild>
        <w:div w:id="738408699">
          <w:marLeft w:val="446"/>
          <w:marRight w:val="0"/>
          <w:marTop w:val="0"/>
          <w:marBottom w:val="0"/>
          <w:divBdr>
            <w:top w:val="none" w:sz="0" w:space="0" w:color="auto"/>
            <w:left w:val="none" w:sz="0" w:space="0" w:color="auto"/>
            <w:bottom w:val="none" w:sz="0" w:space="0" w:color="auto"/>
            <w:right w:val="none" w:sz="0" w:space="0" w:color="auto"/>
          </w:divBdr>
        </w:div>
        <w:div w:id="1751464271">
          <w:marLeft w:val="446"/>
          <w:marRight w:val="0"/>
          <w:marTop w:val="0"/>
          <w:marBottom w:val="0"/>
          <w:divBdr>
            <w:top w:val="none" w:sz="0" w:space="0" w:color="auto"/>
            <w:left w:val="none" w:sz="0" w:space="0" w:color="auto"/>
            <w:bottom w:val="none" w:sz="0" w:space="0" w:color="auto"/>
            <w:right w:val="none" w:sz="0" w:space="0" w:color="auto"/>
          </w:divBdr>
        </w:div>
        <w:div w:id="1385569429">
          <w:marLeft w:val="446"/>
          <w:marRight w:val="0"/>
          <w:marTop w:val="0"/>
          <w:marBottom w:val="0"/>
          <w:divBdr>
            <w:top w:val="none" w:sz="0" w:space="0" w:color="auto"/>
            <w:left w:val="none" w:sz="0" w:space="0" w:color="auto"/>
            <w:bottom w:val="none" w:sz="0" w:space="0" w:color="auto"/>
            <w:right w:val="none" w:sz="0" w:space="0" w:color="auto"/>
          </w:divBdr>
        </w:div>
        <w:div w:id="2015300540">
          <w:marLeft w:val="446"/>
          <w:marRight w:val="0"/>
          <w:marTop w:val="0"/>
          <w:marBottom w:val="0"/>
          <w:divBdr>
            <w:top w:val="none" w:sz="0" w:space="0" w:color="auto"/>
            <w:left w:val="none" w:sz="0" w:space="0" w:color="auto"/>
            <w:bottom w:val="none" w:sz="0" w:space="0" w:color="auto"/>
            <w:right w:val="none" w:sz="0" w:space="0" w:color="auto"/>
          </w:divBdr>
        </w:div>
        <w:div w:id="1402479320">
          <w:marLeft w:val="446"/>
          <w:marRight w:val="0"/>
          <w:marTop w:val="0"/>
          <w:marBottom w:val="0"/>
          <w:divBdr>
            <w:top w:val="none" w:sz="0" w:space="0" w:color="auto"/>
            <w:left w:val="none" w:sz="0" w:space="0" w:color="auto"/>
            <w:bottom w:val="none" w:sz="0" w:space="0" w:color="auto"/>
            <w:right w:val="none" w:sz="0" w:space="0" w:color="auto"/>
          </w:divBdr>
        </w:div>
        <w:div w:id="1755391914">
          <w:marLeft w:val="446"/>
          <w:marRight w:val="0"/>
          <w:marTop w:val="0"/>
          <w:marBottom w:val="0"/>
          <w:divBdr>
            <w:top w:val="none" w:sz="0" w:space="0" w:color="auto"/>
            <w:left w:val="none" w:sz="0" w:space="0" w:color="auto"/>
            <w:bottom w:val="none" w:sz="0" w:space="0" w:color="auto"/>
            <w:right w:val="none" w:sz="0" w:space="0" w:color="auto"/>
          </w:divBdr>
        </w:div>
        <w:div w:id="36695331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threatrisk.informationfederation.org/wp/wp-content/uploads/2015/02/ThreatRiskFramework.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11270-853D-41BF-AB00-F46A5B8C7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Template>
  <TotalTime>1</TotalTime>
  <Pages>1</Pages>
  <Words>8901</Words>
  <Characters>50738</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Global Reference Architecture, Terrorist Screening Center Encounter Information (TSCEI) Service Service Description Document, Version 1.0, April 2012</vt:lpstr>
    </vt:vector>
  </TitlesOfParts>
  <Company>Global</Company>
  <LinksUpToDate>false</LinksUpToDate>
  <CharactersWithSpaces>59520</CharactersWithSpaces>
  <SharedDoc>false</SharedDoc>
  <HLinks>
    <vt:vector size="240" baseType="variant">
      <vt:variant>
        <vt:i4>4390914</vt:i4>
      </vt:variant>
      <vt:variant>
        <vt:i4>233</vt:i4>
      </vt:variant>
      <vt:variant>
        <vt:i4>0</vt:i4>
      </vt:variant>
      <vt:variant>
        <vt:i4>5</vt:i4>
      </vt:variant>
      <vt:variant>
        <vt:lpwstr>http://www.it.ojp.gov/default.aspx?area=nationalInitiatives&amp;page=1015</vt:lpwstr>
      </vt:variant>
      <vt:variant>
        <vt:lpwstr/>
      </vt:variant>
      <vt:variant>
        <vt:i4>7864361</vt:i4>
      </vt:variant>
      <vt:variant>
        <vt:i4>231</vt:i4>
      </vt:variant>
      <vt:variant>
        <vt:i4>0</vt:i4>
      </vt:variant>
      <vt:variant>
        <vt:i4>5</vt:i4>
      </vt:variant>
      <vt:variant>
        <vt:lpwstr>http://www.it.ojp.gov/globaljra</vt:lpwstr>
      </vt:variant>
      <vt:variant>
        <vt:lpwstr/>
      </vt:variant>
      <vt:variant>
        <vt:i4>8061022</vt:i4>
      </vt:variant>
      <vt:variant>
        <vt:i4>228</vt:i4>
      </vt:variant>
      <vt:variant>
        <vt:i4>0</vt:i4>
      </vt:variant>
      <vt:variant>
        <vt:i4>5</vt:i4>
      </vt:variant>
      <vt:variant>
        <vt:lpwstr>C:\Users\jean.IIR\AppData\Local\Microsoft\Windows\AppData\Local\Microsoft\Windows\Temporary Internet Files\Content.Outlook\AppData\Local\Microsoft\Windows\Temporary Internet Files\Content.Outlook\NBLX0WS8\service model\behavior model</vt:lpwstr>
      </vt:variant>
      <vt:variant>
        <vt:lpwstr/>
      </vt:variant>
      <vt:variant>
        <vt:i4>5242945</vt:i4>
      </vt:variant>
      <vt:variant>
        <vt:i4>225</vt:i4>
      </vt:variant>
      <vt:variant>
        <vt:i4>0</vt:i4>
      </vt:variant>
      <vt:variant>
        <vt:i4>5</vt:i4>
      </vt:variant>
      <vt:variant>
        <vt:lpwstr>C:\Users\jean.IIR\AppData\Local\Microsoft\Windows\Temporary Internet Files\Content.Outlook\IUQFXPG7\service model\information model\IEPD</vt:lpwstr>
      </vt:variant>
      <vt:variant>
        <vt:lpwstr/>
      </vt:variant>
      <vt:variant>
        <vt:i4>1703988</vt:i4>
      </vt:variant>
      <vt:variant>
        <vt:i4>212</vt:i4>
      </vt:variant>
      <vt:variant>
        <vt:i4>0</vt:i4>
      </vt:variant>
      <vt:variant>
        <vt:i4>5</vt:i4>
      </vt:variant>
      <vt:variant>
        <vt:lpwstr/>
      </vt:variant>
      <vt:variant>
        <vt:lpwstr>_Toc343525692</vt:lpwstr>
      </vt:variant>
      <vt:variant>
        <vt:i4>1703988</vt:i4>
      </vt:variant>
      <vt:variant>
        <vt:i4>206</vt:i4>
      </vt:variant>
      <vt:variant>
        <vt:i4>0</vt:i4>
      </vt:variant>
      <vt:variant>
        <vt:i4>5</vt:i4>
      </vt:variant>
      <vt:variant>
        <vt:lpwstr/>
      </vt:variant>
      <vt:variant>
        <vt:lpwstr>_Toc343525691</vt:lpwstr>
      </vt:variant>
      <vt:variant>
        <vt:i4>1703988</vt:i4>
      </vt:variant>
      <vt:variant>
        <vt:i4>200</vt:i4>
      </vt:variant>
      <vt:variant>
        <vt:i4>0</vt:i4>
      </vt:variant>
      <vt:variant>
        <vt:i4>5</vt:i4>
      </vt:variant>
      <vt:variant>
        <vt:lpwstr/>
      </vt:variant>
      <vt:variant>
        <vt:lpwstr>_Toc343525690</vt:lpwstr>
      </vt:variant>
      <vt:variant>
        <vt:i4>1769524</vt:i4>
      </vt:variant>
      <vt:variant>
        <vt:i4>194</vt:i4>
      </vt:variant>
      <vt:variant>
        <vt:i4>0</vt:i4>
      </vt:variant>
      <vt:variant>
        <vt:i4>5</vt:i4>
      </vt:variant>
      <vt:variant>
        <vt:lpwstr/>
      </vt:variant>
      <vt:variant>
        <vt:lpwstr>_Toc343525689</vt:lpwstr>
      </vt:variant>
      <vt:variant>
        <vt:i4>1769524</vt:i4>
      </vt:variant>
      <vt:variant>
        <vt:i4>188</vt:i4>
      </vt:variant>
      <vt:variant>
        <vt:i4>0</vt:i4>
      </vt:variant>
      <vt:variant>
        <vt:i4>5</vt:i4>
      </vt:variant>
      <vt:variant>
        <vt:lpwstr/>
      </vt:variant>
      <vt:variant>
        <vt:lpwstr>_Toc343525688</vt:lpwstr>
      </vt:variant>
      <vt:variant>
        <vt:i4>1769524</vt:i4>
      </vt:variant>
      <vt:variant>
        <vt:i4>182</vt:i4>
      </vt:variant>
      <vt:variant>
        <vt:i4>0</vt:i4>
      </vt:variant>
      <vt:variant>
        <vt:i4>5</vt:i4>
      </vt:variant>
      <vt:variant>
        <vt:lpwstr/>
      </vt:variant>
      <vt:variant>
        <vt:lpwstr>_Toc343525687</vt:lpwstr>
      </vt:variant>
      <vt:variant>
        <vt:i4>1769524</vt:i4>
      </vt:variant>
      <vt:variant>
        <vt:i4>176</vt:i4>
      </vt:variant>
      <vt:variant>
        <vt:i4>0</vt:i4>
      </vt:variant>
      <vt:variant>
        <vt:i4>5</vt:i4>
      </vt:variant>
      <vt:variant>
        <vt:lpwstr/>
      </vt:variant>
      <vt:variant>
        <vt:lpwstr>_Toc343525686</vt:lpwstr>
      </vt:variant>
      <vt:variant>
        <vt:i4>1769524</vt:i4>
      </vt:variant>
      <vt:variant>
        <vt:i4>170</vt:i4>
      </vt:variant>
      <vt:variant>
        <vt:i4>0</vt:i4>
      </vt:variant>
      <vt:variant>
        <vt:i4>5</vt:i4>
      </vt:variant>
      <vt:variant>
        <vt:lpwstr/>
      </vt:variant>
      <vt:variant>
        <vt:lpwstr>_Toc343525685</vt:lpwstr>
      </vt:variant>
      <vt:variant>
        <vt:i4>1769524</vt:i4>
      </vt:variant>
      <vt:variant>
        <vt:i4>164</vt:i4>
      </vt:variant>
      <vt:variant>
        <vt:i4>0</vt:i4>
      </vt:variant>
      <vt:variant>
        <vt:i4>5</vt:i4>
      </vt:variant>
      <vt:variant>
        <vt:lpwstr/>
      </vt:variant>
      <vt:variant>
        <vt:lpwstr>_Toc343525684</vt:lpwstr>
      </vt:variant>
      <vt:variant>
        <vt:i4>1769524</vt:i4>
      </vt:variant>
      <vt:variant>
        <vt:i4>158</vt:i4>
      </vt:variant>
      <vt:variant>
        <vt:i4>0</vt:i4>
      </vt:variant>
      <vt:variant>
        <vt:i4>5</vt:i4>
      </vt:variant>
      <vt:variant>
        <vt:lpwstr/>
      </vt:variant>
      <vt:variant>
        <vt:lpwstr>_Toc343525683</vt:lpwstr>
      </vt:variant>
      <vt:variant>
        <vt:i4>1769524</vt:i4>
      </vt:variant>
      <vt:variant>
        <vt:i4>152</vt:i4>
      </vt:variant>
      <vt:variant>
        <vt:i4>0</vt:i4>
      </vt:variant>
      <vt:variant>
        <vt:i4>5</vt:i4>
      </vt:variant>
      <vt:variant>
        <vt:lpwstr/>
      </vt:variant>
      <vt:variant>
        <vt:lpwstr>_Toc343525682</vt:lpwstr>
      </vt:variant>
      <vt:variant>
        <vt:i4>1769524</vt:i4>
      </vt:variant>
      <vt:variant>
        <vt:i4>146</vt:i4>
      </vt:variant>
      <vt:variant>
        <vt:i4>0</vt:i4>
      </vt:variant>
      <vt:variant>
        <vt:i4>5</vt:i4>
      </vt:variant>
      <vt:variant>
        <vt:lpwstr/>
      </vt:variant>
      <vt:variant>
        <vt:lpwstr>_Toc343525681</vt:lpwstr>
      </vt:variant>
      <vt:variant>
        <vt:i4>1769524</vt:i4>
      </vt:variant>
      <vt:variant>
        <vt:i4>140</vt:i4>
      </vt:variant>
      <vt:variant>
        <vt:i4>0</vt:i4>
      </vt:variant>
      <vt:variant>
        <vt:i4>5</vt:i4>
      </vt:variant>
      <vt:variant>
        <vt:lpwstr/>
      </vt:variant>
      <vt:variant>
        <vt:lpwstr>_Toc343525680</vt:lpwstr>
      </vt:variant>
      <vt:variant>
        <vt:i4>1310772</vt:i4>
      </vt:variant>
      <vt:variant>
        <vt:i4>134</vt:i4>
      </vt:variant>
      <vt:variant>
        <vt:i4>0</vt:i4>
      </vt:variant>
      <vt:variant>
        <vt:i4>5</vt:i4>
      </vt:variant>
      <vt:variant>
        <vt:lpwstr/>
      </vt:variant>
      <vt:variant>
        <vt:lpwstr>_Toc343525679</vt:lpwstr>
      </vt:variant>
      <vt:variant>
        <vt:i4>1310772</vt:i4>
      </vt:variant>
      <vt:variant>
        <vt:i4>128</vt:i4>
      </vt:variant>
      <vt:variant>
        <vt:i4>0</vt:i4>
      </vt:variant>
      <vt:variant>
        <vt:i4>5</vt:i4>
      </vt:variant>
      <vt:variant>
        <vt:lpwstr/>
      </vt:variant>
      <vt:variant>
        <vt:lpwstr>_Toc343525678</vt:lpwstr>
      </vt:variant>
      <vt:variant>
        <vt:i4>1310772</vt:i4>
      </vt:variant>
      <vt:variant>
        <vt:i4>122</vt:i4>
      </vt:variant>
      <vt:variant>
        <vt:i4>0</vt:i4>
      </vt:variant>
      <vt:variant>
        <vt:i4>5</vt:i4>
      </vt:variant>
      <vt:variant>
        <vt:lpwstr/>
      </vt:variant>
      <vt:variant>
        <vt:lpwstr>_Toc343525677</vt:lpwstr>
      </vt:variant>
      <vt:variant>
        <vt:i4>1310772</vt:i4>
      </vt:variant>
      <vt:variant>
        <vt:i4>116</vt:i4>
      </vt:variant>
      <vt:variant>
        <vt:i4>0</vt:i4>
      </vt:variant>
      <vt:variant>
        <vt:i4>5</vt:i4>
      </vt:variant>
      <vt:variant>
        <vt:lpwstr/>
      </vt:variant>
      <vt:variant>
        <vt:lpwstr>_Toc343525676</vt:lpwstr>
      </vt:variant>
      <vt:variant>
        <vt:i4>1310772</vt:i4>
      </vt:variant>
      <vt:variant>
        <vt:i4>110</vt:i4>
      </vt:variant>
      <vt:variant>
        <vt:i4>0</vt:i4>
      </vt:variant>
      <vt:variant>
        <vt:i4>5</vt:i4>
      </vt:variant>
      <vt:variant>
        <vt:lpwstr/>
      </vt:variant>
      <vt:variant>
        <vt:lpwstr>_Toc343525675</vt:lpwstr>
      </vt:variant>
      <vt:variant>
        <vt:i4>1310772</vt:i4>
      </vt:variant>
      <vt:variant>
        <vt:i4>104</vt:i4>
      </vt:variant>
      <vt:variant>
        <vt:i4>0</vt:i4>
      </vt:variant>
      <vt:variant>
        <vt:i4>5</vt:i4>
      </vt:variant>
      <vt:variant>
        <vt:lpwstr/>
      </vt:variant>
      <vt:variant>
        <vt:lpwstr>_Toc343525674</vt:lpwstr>
      </vt:variant>
      <vt:variant>
        <vt:i4>1310772</vt:i4>
      </vt:variant>
      <vt:variant>
        <vt:i4>98</vt:i4>
      </vt:variant>
      <vt:variant>
        <vt:i4>0</vt:i4>
      </vt:variant>
      <vt:variant>
        <vt:i4>5</vt:i4>
      </vt:variant>
      <vt:variant>
        <vt:lpwstr/>
      </vt:variant>
      <vt:variant>
        <vt:lpwstr>_Toc343525673</vt:lpwstr>
      </vt:variant>
      <vt:variant>
        <vt:i4>1310772</vt:i4>
      </vt:variant>
      <vt:variant>
        <vt:i4>92</vt:i4>
      </vt:variant>
      <vt:variant>
        <vt:i4>0</vt:i4>
      </vt:variant>
      <vt:variant>
        <vt:i4>5</vt:i4>
      </vt:variant>
      <vt:variant>
        <vt:lpwstr/>
      </vt:variant>
      <vt:variant>
        <vt:lpwstr>_Toc343525672</vt:lpwstr>
      </vt:variant>
      <vt:variant>
        <vt:i4>1310772</vt:i4>
      </vt:variant>
      <vt:variant>
        <vt:i4>86</vt:i4>
      </vt:variant>
      <vt:variant>
        <vt:i4>0</vt:i4>
      </vt:variant>
      <vt:variant>
        <vt:i4>5</vt:i4>
      </vt:variant>
      <vt:variant>
        <vt:lpwstr/>
      </vt:variant>
      <vt:variant>
        <vt:lpwstr>_Toc343525671</vt:lpwstr>
      </vt:variant>
      <vt:variant>
        <vt:i4>1310772</vt:i4>
      </vt:variant>
      <vt:variant>
        <vt:i4>80</vt:i4>
      </vt:variant>
      <vt:variant>
        <vt:i4>0</vt:i4>
      </vt:variant>
      <vt:variant>
        <vt:i4>5</vt:i4>
      </vt:variant>
      <vt:variant>
        <vt:lpwstr/>
      </vt:variant>
      <vt:variant>
        <vt:lpwstr>_Toc343525670</vt:lpwstr>
      </vt:variant>
      <vt:variant>
        <vt:i4>1376308</vt:i4>
      </vt:variant>
      <vt:variant>
        <vt:i4>74</vt:i4>
      </vt:variant>
      <vt:variant>
        <vt:i4>0</vt:i4>
      </vt:variant>
      <vt:variant>
        <vt:i4>5</vt:i4>
      </vt:variant>
      <vt:variant>
        <vt:lpwstr/>
      </vt:variant>
      <vt:variant>
        <vt:lpwstr>_Toc343525669</vt:lpwstr>
      </vt:variant>
      <vt:variant>
        <vt:i4>1376308</vt:i4>
      </vt:variant>
      <vt:variant>
        <vt:i4>68</vt:i4>
      </vt:variant>
      <vt:variant>
        <vt:i4>0</vt:i4>
      </vt:variant>
      <vt:variant>
        <vt:i4>5</vt:i4>
      </vt:variant>
      <vt:variant>
        <vt:lpwstr/>
      </vt:variant>
      <vt:variant>
        <vt:lpwstr>_Toc343525668</vt:lpwstr>
      </vt:variant>
      <vt:variant>
        <vt:i4>1376308</vt:i4>
      </vt:variant>
      <vt:variant>
        <vt:i4>62</vt:i4>
      </vt:variant>
      <vt:variant>
        <vt:i4>0</vt:i4>
      </vt:variant>
      <vt:variant>
        <vt:i4>5</vt:i4>
      </vt:variant>
      <vt:variant>
        <vt:lpwstr/>
      </vt:variant>
      <vt:variant>
        <vt:lpwstr>_Toc343525667</vt:lpwstr>
      </vt:variant>
      <vt:variant>
        <vt:i4>1376308</vt:i4>
      </vt:variant>
      <vt:variant>
        <vt:i4>56</vt:i4>
      </vt:variant>
      <vt:variant>
        <vt:i4>0</vt:i4>
      </vt:variant>
      <vt:variant>
        <vt:i4>5</vt:i4>
      </vt:variant>
      <vt:variant>
        <vt:lpwstr/>
      </vt:variant>
      <vt:variant>
        <vt:lpwstr>_Toc343525666</vt:lpwstr>
      </vt:variant>
      <vt:variant>
        <vt:i4>1376308</vt:i4>
      </vt:variant>
      <vt:variant>
        <vt:i4>50</vt:i4>
      </vt:variant>
      <vt:variant>
        <vt:i4>0</vt:i4>
      </vt:variant>
      <vt:variant>
        <vt:i4>5</vt:i4>
      </vt:variant>
      <vt:variant>
        <vt:lpwstr/>
      </vt:variant>
      <vt:variant>
        <vt:lpwstr>_Toc343525665</vt:lpwstr>
      </vt:variant>
      <vt:variant>
        <vt:i4>1376308</vt:i4>
      </vt:variant>
      <vt:variant>
        <vt:i4>44</vt:i4>
      </vt:variant>
      <vt:variant>
        <vt:i4>0</vt:i4>
      </vt:variant>
      <vt:variant>
        <vt:i4>5</vt:i4>
      </vt:variant>
      <vt:variant>
        <vt:lpwstr/>
      </vt:variant>
      <vt:variant>
        <vt:lpwstr>_Toc343525662</vt:lpwstr>
      </vt:variant>
      <vt:variant>
        <vt:i4>1441844</vt:i4>
      </vt:variant>
      <vt:variant>
        <vt:i4>38</vt:i4>
      </vt:variant>
      <vt:variant>
        <vt:i4>0</vt:i4>
      </vt:variant>
      <vt:variant>
        <vt:i4>5</vt:i4>
      </vt:variant>
      <vt:variant>
        <vt:lpwstr/>
      </vt:variant>
      <vt:variant>
        <vt:lpwstr>_Toc343525659</vt:lpwstr>
      </vt:variant>
      <vt:variant>
        <vt:i4>1441844</vt:i4>
      </vt:variant>
      <vt:variant>
        <vt:i4>32</vt:i4>
      </vt:variant>
      <vt:variant>
        <vt:i4>0</vt:i4>
      </vt:variant>
      <vt:variant>
        <vt:i4>5</vt:i4>
      </vt:variant>
      <vt:variant>
        <vt:lpwstr/>
      </vt:variant>
      <vt:variant>
        <vt:lpwstr>_Toc343525658</vt:lpwstr>
      </vt:variant>
      <vt:variant>
        <vt:i4>1441844</vt:i4>
      </vt:variant>
      <vt:variant>
        <vt:i4>26</vt:i4>
      </vt:variant>
      <vt:variant>
        <vt:i4>0</vt:i4>
      </vt:variant>
      <vt:variant>
        <vt:i4>5</vt:i4>
      </vt:variant>
      <vt:variant>
        <vt:lpwstr/>
      </vt:variant>
      <vt:variant>
        <vt:lpwstr>_Toc343525657</vt:lpwstr>
      </vt:variant>
      <vt:variant>
        <vt:i4>1441844</vt:i4>
      </vt:variant>
      <vt:variant>
        <vt:i4>20</vt:i4>
      </vt:variant>
      <vt:variant>
        <vt:i4>0</vt:i4>
      </vt:variant>
      <vt:variant>
        <vt:i4>5</vt:i4>
      </vt:variant>
      <vt:variant>
        <vt:lpwstr/>
      </vt:variant>
      <vt:variant>
        <vt:lpwstr>_Toc343525656</vt:lpwstr>
      </vt:variant>
      <vt:variant>
        <vt:i4>1441844</vt:i4>
      </vt:variant>
      <vt:variant>
        <vt:i4>14</vt:i4>
      </vt:variant>
      <vt:variant>
        <vt:i4>0</vt:i4>
      </vt:variant>
      <vt:variant>
        <vt:i4>5</vt:i4>
      </vt:variant>
      <vt:variant>
        <vt:lpwstr/>
      </vt:variant>
      <vt:variant>
        <vt:lpwstr>_Toc343525655</vt:lpwstr>
      </vt:variant>
      <vt:variant>
        <vt:i4>1441844</vt:i4>
      </vt:variant>
      <vt:variant>
        <vt:i4>8</vt:i4>
      </vt:variant>
      <vt:variant>
        <vt:i4>0</vt:i4>
      </vt:variant>
      <vt:variant>
        <vt:i4>5</vt:i4>
      </vt:variant>
      <vt:variant>
        <vt:lpwstr/>
      </vt:variant>
      <vt:variant>
        <vt:lpwstr>_Toc343525654</vt:lpwstr>
      </vt:variant>
      <vt:variant>
        <vt:i4>1441844</vt:i4>
      </vt:variant>
      <vt:variant>
        <vt:i4>2</vt:i4>
      </vt:variant>
      <vt:variant>
        <vt:i4>0</vt:i4>
      </vt:variant>
      <vt:variant>
        <vt:i4>5</vt:i4>
      </vt:variant>
      <vt:variant>
        <vt:lpwstr/>
      </vt:variant>
      <vt:variant>
        <vt:lpwstr>_Toc343525653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Reference Architecture, Terrorist Screening Center Encounter Information (TSCEI) Service Service Description Document, Version 1.0, April 2012</dc:title>
  <dc:subject>Global Reference Architecture, Terrorist Screening Center Encounter Information (TSCEI) Service Service Description Document</dc:subject>
  <dc:creator>Global Standards Council</dc:creator>
  <cp:keywords>terrorist screening center encounter information, SSP, SDD, SIDD, service, specification, interface, description, GRA</cp:keywords>
  <cp:lastModifiedBy>Pamela Wise-Martinez</cp:lastModifiedBy>
  <cp:revision>2</cp:revision>
  <cp:lastPrinted>2015-05-11T15:50:00Z</cp:lastPrinted>
  <dcterms:created xsi:type="dcterms:W3CDTF">2015-05-13T13:49:00Z</dcterms:created>
  <dcterms:modified xsi:type="dcterms:W3CDTF">2015-05-13T13:49:00Z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vt:lpwstr>
  </property>
  <property fmtid="{D5CDD505-2E9C-101B-9397-08002B2CF9AE}" pid="3" name="Version">
    <vt:lpwstr>1.0</vt:lpwstr>
  </property>
</Properties>
</file>