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rsidR="006E20CC" w:rsidRDefault="006E20CC" w:rsidP="006E20CC">
      <w:pPr>
        <w:pStyle w:val="Title3"/>
      </w:pPr>
      <w:r>
        <w:t xml:space="preserve">OMG Document: </w:t>
      </w:r>
      <w:r w:rsidR="00B96D38" w:rsidRPr="00B96D38">
        <w:t>SysA/2014-05-</w:t>
      </w:r>
      <w:r w:rsidR="0051056C" w:rsidRPr="00B96D38">
        <w:t>0</w:t>
      </w:r>
      <w:r w:rsidR="0051056C">
        <w:t>7</w:t>
      </w:r>
    </w:p>
    <w:p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r w:rsidR="00636710">
        <w:rPr>
          <w:lang w:val="en-US"/>
        </w:rPr>
        <w:t xml:space="preserve"> </w:t>
      </w:r>
    </w:p>
    <w:p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operational</w:t>
      </w:r>
      <w:r w:rsidRPr="00645E79">
        <w:rPr>
          <w:lang w:val="en-US"/>
        </w:rPr>
        <w:t xml:space="preserve"> threat and risk management</w:t>
      </w:r>
      <w:r w:rsidR="00AB31A9">
        <w:rPr>
          <w:lang w:val="en-US"/>
        </w:rPr>
        <w:t xml:space="preserve"> and assessment</w:t>
      </w:r>
      <w:r w:rsidRPr="00645E79">
        <w:rPr>
          <w:lang w:val="en-US"/>
        </w:rPr>
        <w:t xml:space="preserve">: </w:t>
      </w:r>
    </w:p>
    <w:p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36805094" wp14:editId="73A00B63">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w:t>
      </w:r>
      <w:proofErr w:type="gramStart"/>
      <w:r>
        <w:rPr>
          <w:lang w:val="en-US"/>
        </w:rPr>
        <w:t>The</w:t>
      </w:r>
      <w:proofErr w:type="gramEnd"/>
      <w:r>
        <w:rPr>
          <w:lang w:val="en-US"/>
        </w:rPr>
        <w:t xml:space="preserv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bookmarkStart w:id="0" w:name="_GoBack"/>
      <w:bookmarkEnd w:id="0"/>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r>
        <w:rPr>
          <w:lang w:val="en-US"/>
        </w:rPr>
        <w:t xml:space="preserve">Operational </w:t>
      </w:r>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the mission during the system utilization phase).</w:t>
      </w:r>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rsidR="00645E79" w:rsidRDefault="00645E79" w:rsidP="00645E79">
      <w:pPr>
        <w:pStyle w:val="Heading3"/>
        <w:rPr>
          <w:lang w:val="en-US"/>
        </w:rPr>
      </w:pPr>
      <w:bookmarkStart w:id="1" w:name="_Ref386625595"/>
      <w:r>
        <w:rPr>
          <w:lang w:val="en-US"/>
        </w:rPr>
        <w:t>Specific Use Cases</w:t>
      </w:r>
      <w:bookmarkEnd w:id="1"/>
    </w:p>
    <w:p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283965" w:rsidP="00BE01C4">
      <w:pPr>
        <w:pStyle w:val="ListParagraph"/>
        <w:numPr>
          <w:ilvl w:val="0"/>
          <w:numId w:val="17"/>
        </w:numPr>
      </w:pPr>
      <w:hyperlink r:id="rId11" w:history="1">
        <w:r w:rsidR="00362B6A" w:rsidRPr="009E6295">
          <w:rPr>
            <w:rStyle w:val="Hyperlink"/>
          </w:rPr>
          <w:t>https://github.com/omg-threat-modeling/phase1</w:t>
        </w:r>
      </w:hyperlink>
      <w:r w:rsidR="00362B6A">
        <w:t xml:space="preserve"> </w:t>
      </w:r>
    </w:p>
    <w:p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rsidR="006E20CC" w:rsidRDefault="006E20CC">
      <w:pPr>
        <w:pStyle w:val="Heading2"/>
      </w:pPr>
      <w:r>
        <w:t>Scope of Proposals Sought</w:t>
      </w:r>
    </w:p>
    <w:p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be mapped to platform specific representations</w:t>
      </w:r>
      <w:r w:rsidR="00070051">
        <w:t xml:space="preserve"> (e.g.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pPr>
      <w:r>
        <w:t>Operational Vs other kinds of threats and risks</w:t>
      </w:r>
    </w:p>
    <w:p w:rsidR="00776B67" w:rsidRDefault="009C76B2" w:rsidP="00BE01C4">
      <w:pPr>
        <w:pStyle w:val="Body"/>
        <w:ind w:left="0"/>
      </w:pPr>
      <w:r>
        <w:t xml:space="preserve">This RFP requests models for </w:t>
      </w:r>
      <w:r w:rsidR="000644C1" w:rsidRPr="00BE01C4">
        <w:rPr>
          <w:u w:val="single"/>
        </w:rPr>
        <w:t>operational</w:t>
      </w:r>
      <w:r>
        <w:t xml:space="preserve"> threats and risks. </w:t>
      </w:r>
      <w:r w:rsidR="00735AA4">
        <w:t>Operational threats and risks involve</w:t>
      </w:r>
      <w:r w:rsidR="00735AA4" w:rsidRPr="00735AA4">
        <w:t xml:space="preserve"> the </w:t>
      </w:r>
      <w:r w:rsidR="00BC1AB5">
        <w:t>uncertainty</w:t>
      </w:r>
      <w:r w:rsidR="00735AA4" w:rsidRPr="00735AA4">
        <w:t xml:space="preserve"> a company or firm </w:t>
      </w:r>
      <w:r w:rsidR="00BC1AB5">
        <w:t>faces</w:t>
      </w:r>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rsidR="00764E05" w:rsidRDefault="00764E05" w:rsidP="00992169">
      <w:pPr>
        <w:pStyle w:val="Heading3"/>
      </w:pPr>
      <w:r>
        <w:t>Types of threats and risks which are in scope</w:t>
      </w:r>
      <w:bookmarkStart w:id="2" w:name="_Ref386625611"/>
    </w:p>
    <w:bookmarkEnd w:id="2"/>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rsidR="009F2E6A" w:rsidRPr="00C90CD7" w:rsidRDefault="00D379FF" w:rsidP="00C90CD7">
      <w:pPr>
        <w:pStyle w:val="ListParagraph"/>
        <w:numPr>
          <w:ilvl w:val="1"/>
          <w:numId w:val="18"/>
        </w:numPr>
      </w:pPr>
      <w:r>
        <w:t xml:space="preserve">Public &amp; </w:t>
      </w:r>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r w:rsidR="00070051">
        <w:t xml:space="preserve"> for supply chains</w:t>
      </w:r>
    </w:p>
    <w:p w:rsidR="009F2E6A" w:rsidRPr="00C90CD7" w:rsidRDefault="009F2E6A" w:rsidP="00C90CD7">
      <w:pPr>
        <w:pStyle w:val="ListParagraph"/>
        <w:numPr>
          <w:ilvl w:val="1"/>
          <w:numId w:val="18"/>
        </w:numPr>
      </w:pPr>
      <w:r w:rsidRPr="00C90CD7">
        <w:lastRenderedPageBreak/>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pPr>
      <w:r>
        <w:t>Identifying and planning for risks at the enterprise level</w:t>
      </w:r>
    </w:p>
    <w:p w:rsidR="00D379FF" w:rsidRDefault="006053E6" w:rsidP="00992169">
      <w:pPr>
        <w:pStyle w:val="ListParagraph"/>
        <w:numPr>
          <w:ilvl w:val="1"/>
          <w:numId w:val="18"/>
        </w:numPr>
      </w:pPr>
      <w:r>
        <w:t>Vulnerabilities</w:t>
      </w:r>
      <w:r w:rsidR="00D379FF">
        <w:t xml:space="preserve"> due to software, process or po0licy </w:t>
      </w:r>
      <w:r>
        <w:t>failure</w:t>
      </w:r>
    </w:p>
    <w:p w:rsidR="00D379FF" w:rsidRDefault="00D379FF" w:rsidP="00992169">
      <w:pPr>
        <w:pStyle w:val="ListParagraph"/>
        <w:numPr>
          <w:ilvl w:val="1"/>
          <w:numId w:val="18"/>
        </w:numPr>
      </w:pPr>
      <w:r>
        <w:t>Insider threats</w:t>
      </w:r>
    </w:p>
    <w:p w:rsidR="00D379FF" w:rsidRDefault="00D379FF" w:rsidP="00992169">
      <w:pPr>
        <w:pStyle w:val="ListParagraph"/>
        <w:numPr>
          <w:ilvl w:val="1"/>
          <w:numId w:val="18"/>
        </w:numPr>
      </w:pPr>
      <w:r>
        <w:t>Continuous diagnostics &amp; Monitoring</w:t>
      </w:r>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rsidR="00E509DF" w:rsidRDefault="00E509DF" w:rsidP="009F2E6A">
      <w:r>
        <w:lastRenderedPageBreak/>
        <w:t>The level of detail and degree of abstraction across domains is a judgement call on the part of submitters, submitters will be asked to discuss their design choices.</w:t>
      </w:r>
    </w:p>
    <w:p w:rsidR="00F60ABF" w:rsidRDefault="00C15260" w:rsidP="00992169">
      <w:pPr>
        <w:pStyle w:val="Heading3"/>
      </w:pPr>
      <w:bookmarkStart w:id="3" w:name="_Ref387937109"/>
      <w:r>
        <w:t>Informative</w:t>
      </w:r>
      <w:r w:rsidR="00F60ABF">
        <w:t xml:space="preserve"> </w:t>
      </w:r>
      <w:r w:rsidR="00AB31A9">
        <w:t xml:space="preserve">specifications and </w:t>
      </w:r>
      <w:r w:rsidR="00F60ABF">
        <w:t>schema</w:t>
      </w:r>
      <w:bookmarkEnd w:id="3"/>
    </w:p>
    <w:p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r>
        <w:t>ISO/IEC 13335</w:t>
      </w:r>
    </w:p>
    <w:p w:rsidR="00AB31A9" w:rsidRDefault="00AB31A9" w:rsidP="00AB31A9">
      <w:pPr>
        <w:pStyle w:val="Body"/>
        <w:numPr>
          <w:ilvl w:val="0"/>
          <w:numId w:val="20"/>
        </w:numPr>
      </w:pPr>
      <w:r>
        <w:t>ISO/IEC 15408</w:t>
      </w:r>
    </w:p>
    <w:p w:rsidR="00AB31A9" w:rsidRDefault="00AB31A9" w:rsidP="00AB31A9">
      <w:pPr>
        <w:pStyle w:val="Body"/>
        <w:numPr>
          <w:ilvl w:val="0"/>
          <w:numId w:val="20"/>
        </w:numPr>
      </w:pPr>
      <w:r>
        <w:t>ISO/IEC 15443</w:t>
      </w:r>
    </w:p>
    <w:p w:rsidR="00AB31A9" w:rsidRDefault="00AB31A9" w:rsidP="00AB31A9">
      <w:pPr>
        <w:pStyle w:val="Body"/>
        <w:numPr>
          <w:ilvl w:val="0"/>
          <w:numId w:val="20"/>
        </w:numPr>
      </w:pPr>
      <w:r>
        <w:t>ISO/IEC 27001</w:t>
      </w:r>
    </w:p>
    <w:p w:rsidR="00605052" w:rsidRDefault="00605052" w:rsidP="00AB31A9">
      <w:pPr>
        <w:pStyle w:val="Body"/>
        <w:numPr>
          <w:ilvl w:val="0"/>
          <w:numId w:val="20"/>
        </w:numPr>
      </w:pPr>
      <w:r>
        <w:t>ISO/IEC 31000</w:t>
      </w:r>
    </w:p>
    <w:p w:rsidR="00AB31A9" w:rsidRDefault="00AB31A9" w:rsidP="00AB31A9">
      <w:pPr>
        <w:pStyle w:val="Body"/>
        <w:numPr>
          <w:ilvl w:val="0"/>
          <w:numId w:val="20"/>
        </w:numPr>
      </w:pPr>
      <w:r>
        <w:t>EBIOS (France)</w:t>
      </w:r>
    </w:p>
    <w:p w:rsidR="00AB31A9" w:rsidRDefault="00AB31A9" w:rsidP="00AB31A9">
      <w:pPr>
        <w:pStyle w:val="Body"/>
        <w:numPr>
          <w:ilvl w:val="0"/>
          <w:numId w:val="20"/>
        </w:numPr>
      </w:pPr>
      <w:r>
        <w:t>HTRA (Canada)</w:t>
      </w:r>
    </w:p>
    <w:p w:rsidR="00AB31A9" w:rsidRDefault="00AB31A9" w:rsidP="00AB31A9">
      <w:pPr>
        <w:pStyle w:val="Body"/>
        <w:numPr>
          <w:ilvl w:val="0"/>
          <w:numId w:val="20"/>
        </w:numPr>
      </w:pPr>
      <w:r>
        <w:t>NIST SP-800-30 (US)</w:t>
      </w:r>
    </w:p>
    <w:p w:rsidR="00AB31A9" w:rsidRDefault="00AB31A9" w:rsidP="00AB31A9">
      <w:pPr>
        <w:pStyle w:val="Body"/>
        <w:numPr>
          <w:ilvl w:val="0"/>
          <w:numId w:val="20"/>
        </w:numPr>
      </w:pPr>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BE2934" w:rsidRDefault="00BE2934" w:rsidP="00992169">
      <w:pPr>
        <w:pStyle w:val="Body"/>
        <w:ind w:left="0"/>
      </w:pPr>
      <w:r>
        <w:rPr>
          <w:noProof/>
          <w:lang w:val="en-US"/>
        </w:rPr>
        <w:drawing>
          <wp:inline distT="0" distB="0" distL="0" distR="0" wp14:anchorId="162A3E9A" wp14:editId="6DB05297">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rsidR="00412EB7" w:rsidRDefault="00412EB7" w:rsidP="00992169">
      <w:pPr>
        <w:pStyle w:val="Heading4"/>
      </w:pPr>
      <w:r>
        <w:t>Operational threat and risk concepts</w:t>
      </w:r>
    </w:p>
    <w:p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model is more specialized it is still considered cross-domain and is not expected to be </w:t>
      </w:r>
      <w:r>
        <w:lastRenderedPageBreak/>
        <w:t>deep.</w:t>
      </w:r>
      <w:r w:rsidR="00557895">
        <w:t xml:space="preserve"> This layer will be the basis for cross-domain information sharing of operational threats and risks.</w:t>
      </w:r>
    </w:p>
    <w:p w:rsidR="00CF01B1" w:rsidRDefault="00412EB7" w:rsidP="00992169">
      <w:pPr>
        <w:pStyle w:val="Heading4"/>
      </w:pPr>
      <w:r>
        <w:t>High-level Cyber threat/risk concepts</w:t>
      </w:r>
    </w:p>
    <w:p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r w:rsidR="00557895">
        <w:t xml:space="preserve">Threat/Risk </w:t>
      </w:r>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rsidR="00776B67" w:rsidRDefault="008364BF" w:rsidP="00BE01C4">
      <w:r>
        <w:t>As NIEM is well established as the information exchange model in justice and public safety, the NIEM representation will enable interactions with that community in a language and format they understand.</w:t>
      </w:r>
    </w:p>
    <w:p w:rsidR="00776B67" w:rsidRDefault="008364BF" w:rsidP="00BE01C4">
      <w:r>
        <w:t>NIEM will also be used as a reference for domain concepts to populate the conceptual model. NIEM provides well developed and stakeholder vetted definitions for cross-domain concepts.</w:t>
      </w:r>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283965" w:rsidP="00992169">
      <w:pPr>
        <w:pStyle w:val="ListParagraph"/>
        <w:numPr>
          <w:ilvl w:val="0"/>
          <w:numId w:val="21"/>
        </w:numPr>
      </w:pPr>
      <w:hyperlink r:id="rId13"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lastRenderedPageBreak/>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r w:rsidR="00070051">
        <w:t>.1</w:t>
      </w:r>
      <w:r w:rsidRPr="003B661A">
        <w:t xml:space="preserve">) - </w:t>
      </w:r>
      <w:r w:rsidR="00070051" w:rsidRPr="00070051">
        <w:t>2.4.1 formal/2011-08-05 (Infrastructure) and formal/2011-08-06 (Superstructure)</w:t>
      </w:r>
      <w:r w:rsidRPr="003B661A">
        <w:t xml:space="preserve">.  UML provides </w:t>
      </w:r>
      <w:proofErr w:type="gramStart"/>
      <w:r w:rsidR="00070051">
        <w:t xml:space="preserve">the </w:t>
      </w:r>
      <w:r w:rsidRPr="003B661A">
        <w:t xml:space="preserve"> extensible</w:t>
      </w:r>
      <w:proofErr w:type="gramEnd"/>
      <w:r w:rsidRPr="003B661A">
        <w:t xml:space="preserve"> and accepted </w:t>
      </w:r>
      <w:proofErr w:type="spellStart"/>
      <w:r w:rsidRPr="003B661A">
        <w:t>modeling</w:t>
      </w:r>
      <w:proofErr w:type="spellEnd"/>
      <w:r w:rsidRPr="003B661A">
        <w:t xml:space="preserve"> framework</w:t>
      </w:r>
      <w:r w:rsidR="00070051">
        <w:t xml:space="preserve"> for use in threat and risk </w:t>
      </w:r>
      <w:proofErr w:type="spellStart"/>
      <w:r w:rsidR="00070051">
        <w:t>modeling</w:t>
      </w:r>
      <w:proofErr w:type="spellEnd"/>
      <w:r w:rsidR="00070051">
        <w:t>.</w:t>
      </w:r>
    </w:p>
    <w:p w:rsidR="003B661A" w:rsidRPr="003B661A" w:rsidRDefault="003B661A" w:rsidP="0076618F">
      <w:pPr>
        <w:numPr>
          <w:ilvl w:val="0"/>
          <w:numId w:val="22"/>
        </w:numPr>
      </w:pPr>
      <w:r w:rsidRPr="003B661A">
        <w:t xml:space="preserve">Object Constraint Language (OCL) - </w:t>
      </w:r>
      <w:r w:rsidR="0076618F" w:rsidRPr="0076618F">
        <w:t>formal/2014-02-</w:t>
      </w:r>
      <w:proofErr w:type="gramStart"/>
      <w:r w:rsidR="0076618F" w:rsidRPr="0076618F">
        <w:t>03  http</w:t>
      </w:r>
      <w:proofErr w:type="gramEnd"/>
      <w:r w:rsidR="0076618F" w:rsidRPr="0076618F">
        <w:t>://www.omg.org/spec/OCL/2.4/PDF</w:t>
      </w:r>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4"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5"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6"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7"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8"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19" w:history="1">
        <w:r w:rsidR="009D46A2" w:rsidRPr="00727404">
          <w:rPr>
            <w:rStyle w:val="Hyperlink"/>
          </w:rPr>
          <w:t>http://www.omgwiki.org/mars/doku.php?id=ief</w:t>
        </w:r>
      </w:hyperlink>
    </w:p>
    <w:p w:rsidR="009D46A2" w:rsidRPr="00557895" w:rsidRDefault="009D46A2" w:rsidP="009D46A2">
      <w:pPr>
        <w:numPr>
          <w:ilvl w:val="0"/>
          <w:numId w:val="22"/>
        </w:numPr>
        <w:rPr>
          <w:rStyle w:val="Hyperlink"/>
        </w:rPr>
      </w:pPr>
      <w:r>
        <w:t xml:space="preserve">BMM – BMM provides concepts for means and ends that may be appropriate for risks. </w:t>
      </w:r>
      <w:hyperlink r:id="rId20" w:history="1">
        <w:r w:rsidRPr="00727404">
          <w:rPr>
            <w:rStyle w:val="Hyperlink"/>
          </w:rPr>
          <w:t>http://www.omg.org/spec/BMM/</w:t>
        </w:r>
      </w:hyperlink>
    </w:p>
    <w:p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1"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2" w:history="1">
        <w:r w:rsidR="00A812AB" w:rsidRPr="00727404">
          <w:rPr>
            <w:rStyle w:val="Hyperlink"/>
          </w:rPr>
          <w:t>http://www.omg.org/cgi-bin/doc.cgi?gov/2014-3-1</w:t>
        </w:r>
      </w:hyperlink>
    </w:p>
    <w:p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rsidR="00436697" w:rsidRDefault="00283965" w:rsidP="00992169">
      <w:pPr>
        <w:pStyle w:val="Heading4"/>
        <w:keepNext w:val="0"/>
        <w:numPr>
          <w:ilvl w:val="0"/>
          <w:numId w:val="0"/>
        </w:numPr>
        <w:spacing w:before="0" w:after="0"/>
        <w:ind w:left="720"/>
      </w:pPr>
      <w:hyperlink r:id="rId23"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lastRenderedPageBreak/>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4"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5"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6"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7"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8"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29"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0"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1"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2"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3"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rsidP="00BE01C4">
      <w:pPr>
        <w:pStyle w:val="Heading3"/>
      </w:pPr>
      <w:r w:rsidRPr="00AC01DE">
        <w:t>Conceptual model</w:t>
      </w:r>
      <w:r w:rsidR="008F3838" w:rsidRPr="00AC01DE">
        <w:t>s</w:t>
      </w:r>
    </w:p>
    <w:p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and concepts required to support an understanding of operational threats and risks</w:t>
      </w:r>
      <w:r>
        <w:t xml:space="preserve">. </w:t>
      </w:r>
    </w:p>
    <w:p w:rsidR="00AC01DE" w:rsidRDefault="00E45277" w:rsidP="00BE01C4">
      <w:pPr>
        <w:pStyle w:val="Heading4"/>
      </w:pPr>
      <w:r>
        <w:t>This conceptual model shall capture the intended meaning of</w:t>
      </w:r>
      <w:r w:rsidR="003C28EC">
        <w:t xml:space="preserve"> operational</w:t>
      </w:r>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pPr>
      <w:r>
        <w:t xml:space="preserve">The conceptual model should not assume any particular technology, domain, </w:t>
      </w:r>
      <w:proofErr w:type="gramStart"/>
      <w:r>
        <w:t>representation</w:t>
      </w:r>
      <w:proofErr w:type="gramEnd"/>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rsidR="000360A8" w:rsidRPr="0052378C" w:rsidRDefault="000360A8" w:rsidP="00BE01C4">
      <w:pPr>
        <w:pStyle w:val="Heading4"/>
      </w:pPr>
      <w:r>
        <w:t>The conceptual model shall be expressed as a modular UML model</w:t>
      </w:r>
    </w:p>
    <w:p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proofErr w:type="gramStart"/>
      <w:r w:rsidR="000360A8">
        <w:t xml:space="preserve">" </w:t>
      </w:r>
      <w:r w:rsidR="0052378C">
        <w:t xml:space="preserve"> and</w:t>
      </w:r>
      <w:proofErr w:type="gramEnd"/>
      <w:r w:rsidR="0052378C">
        <w:t xml:space="preserve">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rsidR="00226811" w:rsidRDefault="00226811" w:rsidP="00BE01C4">
      <w:pPr>
        <w:pStyle w:val="Heading4"/>
      </w:pPr>
      <w:r>
        <w:t>Proposals shall include and define</w:t>
      </w:r>
      <w:r w:rsidR="000360A8">
        <w:t xml:space="preserve"> other concepts related to </w:t>
      </w:r>
      <w:r w:rsidR="003C28EC">
        <w:t xml:space="preserve">operational </w:t>
      </w:r>
      <w:r>
        <w:t>threat</w:t>
      </w:r>
      <w:r w:rsidR="000360A8">
        <w:t>s</w:t>
      </w:r>
      <w:r>
        <w:t xml:space="preserve"> and risk</w:t>
      </w:r>
      <w:r w:rsidR="000360A8">
        <w:t>s</w:t>
      </w:r>
      <w:r>
        <w:t xml:space="preserve"> including but not limited to:  </w:t>
      </w:r>
    </w:p>
    <w:p w:rsidR="00202337" w:rsidRDefault="00202337" w:rsidP="00226811">
      <w:pPr>
        <w:pStyle w:val="ListParagraph"/>
        <w:numPr>
          <w:ilvl w:val="0"/>
          <w:numId w:val="25"/>
        </w:numPr>
        <w:sectPr w:rsidR="00202337">
          <w:headerReference w:type="default" r:id="rId34"/>
          <w:footerReference w:type="default" r:id="rId35"/>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rsidR="00C269E9" w:rsidRDefault="00BE7A12" w:rsidP="000360A8">
      <w:pPr>
        <w:pStyle w:val="Heading4"/>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4E586D" w:rsidP="00BE01C4">
      <w:pPr>
        <w:pStyle w:val="Heading4"/>
      </w:pPr>
      <w:r>
        <w:t>Models</w:t>
      </w:r>
      <w:r w:rsidR="000360A8">
        <w:t xml:space="preserve"> for operational threats and risks shall be consistent with the following constraints: </w:t>
      </w:r>
    </w:p>
    <w:p w:rsidR="000360A8" w:rsidRDefault="000360A8" w:rsidP="000360A8">
      <w:pPr>
        <w:pStyle w:val="ListParagraph"/>
        <w:numPr>
          <w:ilvl w:val="0"/>
          <w:numId w:val="24"/>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rsidR="000360A8" w:rsidRDefault="000360A8" w:rsidP="000360A8">
      <w:pPr>
        <w:pStyle w:val="ListParagraph"/>
        <w:numPr>
          <w:ilvl w:val="0"/>
          <w:numId w:val="24"/>
        </w:numPr>
      </w:pPr>
      <w:r w:rsidRPr="00636AFE">
        <w:t>There are non-actor threats</w:t>
      </w:r>
      <w:r>
        <w:t xml:space="preserve"> (such as natural disasters) that will not be associated with any coherent intentions or plans. As such the model must be able to support such situations. </w:t>
      </w:r>
    </w:p>
    <w:p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rsidR="00BE7A12" w:rsidRDefault="00BE7A12" w:rsidP="001E59CE"/>
    <w:p w:rsidR="00226811" w:rsidRDefault="00226811" w:rsidP="00226811">
      <w:pPr>
        <w:pStyle w:val="Heading3"/>
      </w:pPr>
      <w:bookmarkStart w:id="4" w:name="_Ref292792307"/>
      <w:r>
        <w:t xml:space="preserve">Risk </w:t>
      </w:r>
      <w:r w:rsidR="00614112">
        <w:t>Management</w:t>
      </w:r>
      <w:r>
        <w:t xml:space="preserve"> </w:t>
      </w:r>
      <w:r w:rsidR="00614112">
        <w:t>concepts</w:t>
      </w:r>
    </w:p>
    <w:p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rsidR="00776B67" w:rsidRDefault="00226811" w:rsidP="00BE01C4">
      <w:pPr>
        <w:pStyle w:val="Heading4"/>
      </w:pPr>
      <w:r>
        <w:t>The proposals shall include concepts related to prioritization of risks.</w:t>
      </w:r>
    </w:p>
    <w:p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rsidR="00776B67" w:rsidRDefault="00226811" w:rsidP="00BE01C4">
      <w:pPr>
        <w:pStyle w:val="Heading4"/>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rsidP="00BE01C4">
      <w:pPr>
        <w:pStyle w:val="Heading4"/>
      </w:pPr>
      <w:r>
        <w:t xml:space="preserve">The conceptual models shall include concepts of “course of action” and mitigation of threats and risks. </w:t>
      </w:r>
    </w:p>
    <w:p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rsidR="00614112" w:rsidRDefault="00614112" w:rsidP="00BE01C4"/>
    <w:p w:rsidR="00730560" w:rsidRPr="00992169" w:rsidRDefault="00730560" w:rsidP="00BE01C4">
      <w:pPr>
        <w:pStyle w:val="Heading3"/>
      </w:pPr>
      <w:r>
        <w:t>Mandatory Mappings</w:t>
      </w:r>
    </w:p>
    <w:p w:rsidR="008F3838" w:rsidRDefault="008F3838" w:rsidP="00E45277">
      <w:pPr>
        <w:pStyle w:val="Heading3"/>
        <w:numPr>
          <w:ilvl w:val="2"/>
          <w:numId w:val="23"/>
        </w:numPr>
      </w:pPr>
      <w:r>
        <w:t>NIEM Representation and mapping</w:t>
      </w:r>
    </w:p>
    <w:p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rsidP="00BE01C4">
      <w:pPr>
        <w:pStyle w:val="Heading4"/>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730560" w:rsidP="00BE01C4">
      <w:pPr>
        <w:pStyle w:val="Heading4"/>
      </w:pPr>
      <w:r>
        <w:t xml:space="preserve"> A</w:t>
      </w:r>
      <w:r w:rsidR="008F3838">
        <w:t>ny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rsidP="00BE01C4">
      <w:pPr>
        <w:pStyle w:val="Heading4"/>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614112" w:rsidRPr="008F3838" w:rsidRDefault="00614112" w:rsidP="00BE01C4"/>
    <w:p w:rsidR="00E45277" w:rsidRPr="00730560" w:rsidRDefault="00E45277" w:rsidP="00BE01C4">
      <w:pPr>
        <w:pStyle w:val="Heading3"/>
      </w:pPr>
      <w:r w:rsidRPr="00730560">
        <w:lastRenderedPageBreak/>
        <w:t>Common requirements</w:t>
      </w:r>
    </w:p>
    <w:p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other purposes 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4"/>
    <w:p w:rsidR="006E20CC" w:rsidRDefault="006E20CC">
      <w:pPr>
        <w:pStyle w:val="Heading2"/>
      </w:pPr>
      <w:r>
        <w:t xml:space="preserve">Non-mandatory </w:t>
      </w:r>
      <w:r w:rsidR="00730560">
        <w:t>requirements</w:t>
      </w:r>
    </w:p>
    <w:p w:rsidR="008C398C" w:rsidRPr="00730560" w:rsidRDefault="00826D07" w:rsidP="00BE01C4">
      <w:pPr>
        <w:pStyle w:val="Heading3"/>
      </w:pPr>
      <w:r w:rsidRPr="00730560">
        <w:t>Optional mappings</w:t>
      </w:r>
    </w:p>
    <w:p w:rsidR="005364B2" w:rsidRPr="00924B8F" w:rsidRDefault="00DF556F" w:rsidP="00730560">
      <w:r>
        <w:t>Submissions MAY p</w:t>
      </w:r>
      <w:r w:rsidR="0096539F" w:rsidRPr="00D46C0B">
        <w:t xml:space="preserve">rovide </w:t>
      </w:r>
      <w:r w:rsidR="001D77E9">
        <w:t xml:space="preserve">high-level </w:t>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rsidP="00BE01C4">
      <w:pPr>
        <w:pStyle w:val="Heading3"/>
      </w:pPr>
      <w:r w:rsidRPr="00730560">
        <w:t>Optional support for conceptual modelling and mapping</w:t>
      </w:r>
    </w:p>
    <w:p w:rsidR="00730560" w:rsidRDefault="00826D07" w:rsidP="00730560">
      <w:r>
        <w:t xml:space="preserve">Submissions MAY define UML profiles and associated QVT (or other ways to express mapping logic) for conceptual modelling and the mapping of those models to specific schema. </w:t>
      </w:r>
    </w:p>
    <w:p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r>
        <w:t xml:space="preserve">Submissions may define MOF </w:t>
      </w:r>
      <w:r w:rsidRPr="00202337">
        <w:t>model 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rsidP="00BE01C4">
      <w:pPr>
        <w:pStyle w:val="Heading3"/>
      </w:pPr>
      <w:r w:rsidRPr="00730560">
        <w:t>Simulation</w:t>
      </w:r>
    </w:p>
    <w:p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rsidP="00BE01C4">
      <w:r>
        <w:t>Submissions shall discuss their design choices for level of detail.</w:t>
      </w:r>
    </w:p>
    <w:p w:rsidR="006E20CC" w:rsidRDefault="006E20CC">
      <w:pPr>
        <w:pStyle w:val="Heading2"/>
      </w:pPr>
      <w:r>
        <w:t>Evaluation Criteria</w:t>
      </w:r>
    </w:p>
    <w:p w:rsidR="006B1677" w:rsidRPr="00730560" w:rsidRDefault="006B1677" w:rsidP="00BE01C4">
      <w:pPr>
        <w:pStyle w:val="Heading3"/>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rsidR="00BC4343" w:rsidRPr="00730560" w:rsidRDefault="00826D07" w:rsidP="00BE01C4">
      <w:pPr>
        <w:pStyle w:val="Heading3"/>
      </w:pPr>
      <w:r w:rsidRPr="00730560">
        <w:t>Completeness</w:t>
      </w:r>
    </w:p>
    <w:p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rFonts w:ascii="Helvetica" w:hAnsi="Helvetica"/>
          <w:b/>
          <w:sz w:val="28"/>
        </w:rPr>
      </w:pPr>
      <w:r>
        <w:br w:type="page"/>
      </w:r>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6"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rsidR="00776B67" w:rsidRDefault="00B52A6F" w:rsidP="00BE01C4">
      <w:pPr>
        <w:pStyle w:val="Body"/>
        <w:numPr>
          <w:ilvl w:val="0"/>
          <w:numId w:val="28"/>
        </w:numPr>
      </w:pPr>
      <w:r>
        <w:rPr>
          <w:b/>
        </w:rPr>
        <w:t>Operational Risk</w:t>
      </w:r>
      <w:r w:rsidR="000644C1" w:rsidRPr="00BE01C4">
        <w:t>:</w:t>
      </w:r>
      <w:r>
        <w:t xml:space="preserve"> </w:t>
      </w:r>
      <w:r w:rsidR="00735AA4">
        <w:t>Operational risks 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B52A6F" w:rsidRDefault="00B52A6F" w:rsidP="00BE01C4">
      <w:pPr>
        <w:pStyle w:val="Body"/>
        <w:numPr>
          <w:ilvl w:val="0"/>
          <w:numId w:val="28"/>
        </w:numPr>
      </w:pPr>
      <w:r>
        <w:rPr>
          <w:b/>
        </w:rPr>
        <w:t>Operational Threat</w:t>
      </w:r>
      <w:proofErr w:type="gramStart"/>
      <w:r w:rsidR="000644C1" w:rsidRPr="00BE01C4">
        <w:t>:</w:t>
      </w:r>
      <w:r>
        <w:t xml:space="preserve"> .</w:t>
      </w:r>
      <w:proofErr w:type="gramEnd"/>
      <w:r>
        <w:t xml:space="preserve"> </w:t>
      </w:r>
      <w:r w:rsidR="00735AA4">
        <w:t>Operational threats involve</w:t>
      </w:r>
      <w:r>
        <w:t xml:space="preserve"> specific incidents</w:t>
      </w:r>
      <w:r w:rsidR="00812472">
        <w:t xml:space="preserve"> or groups of incidents</w:t>
      </w:r>
      <w:r>
        <w:t xml:space="preserve"> that cause harm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natural phenomenon such as terrorist attacks, hurricanes or an electrical grid failure. </w:t>
      </w:r>
    </w:p>
    <w:p w:rsidR="00B52A6F" w:rsidRPr="00BE01C4" w:rsidRDefault="00B52A6F" w:rsidP="00BE01C4">
      <w:pPr>
        <w:pStyle w:val="ListParagraph"/>
        <w:numPr>
          <w:ilvl w:val="0"/>
          <w:numId w:val="28"/>
        </w:numPr>
      </w:pPr>
      <w:r w:rsidRPr="00BE01C4">
        <w:rPr>
          <w:b/>
          <w:sz w:val="24"/>
        </w:rPr>
        <w:t>Risk</w:t>
      </w:r>
      <w:r w:rsidRPr="00BE01C4">
        <w:t xml:space="preserve">: </w:t>
      </w:r>
      <w:r w:rsidR="00A6399F" w:rsidRPr="00BE01C4">
        <w:t>Uncertainty relative to a situation having a negative impact on objectives</w:t>
      </w:r>
      <w:r w:rsidR="00EE1B67" w:rsidRPr="00BE01C4">
        <w:t>, people</w:t>
      </w:r>
      <w:r w:rsidR="00A6399F" w:rsidRPr="00BE01C4">
        <w:t xml:space="preserve"> or assets</w:t>
      </w:r>
      <w:r w:rsidRPr="00BE01C4">
        <w:t>.</w:t>
      </w:r>
    </w:p>
    <w:p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r w:rsidR="00A6399F">
        <w:t>operations</w:t>
      </w:r>
      <w:r w:rsidRPr="00E11568">
        <w:t xml:space="preserve"> adversely</w:t>
      </w:r>
      <w:r>
        <w:t xml:space="preserve">. </w:t>
      </w:r>
    </w:p>
    <w:p w:rsidR="006E20CC" w:rsidRPr="00762E7E" w:rsidRDefault="006E20CC">
      <w:pPr>
        <w:rPr>
          <w:rStyle w:val="Instructions"/>
        </w:rPr>
      </w:pPr>
      <w:r w:rsidRPr="00762E7E">
        <w:rPr>
          <w:rStyle w:val="Instructions"/>
        </w:rPr>
        <w:br/>
      </w: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hyperlink r:id="rId37" w:history="1">
        <w:r w:rsidR="00C953BE" w:rsidRPr="0074465E">
          <w:rPr>
            <w:rStyle w:val="Hyperlink"/>
            <w:i/>
          </w:rPr>
          <w:t>http://www.omg.org/spec/XMI</w:t>
        </w:r>
      </w:hyperlink>
    </w:p>
    <w:p w:rsidR="00C953BE" w:rsidRDefault="00C953BE">
      <w:pPr>
        <w:rPr>
          <w:i/>
        </w:rPr>
      </w:pPr>
      <w:r>
        <w:rPr>
          <w:i/>
        </w:rPr>
        <w:br w:type="page"/>
      </w:r>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965" w:rsidRDefault="00283965">
      <w:r>
        <w:separator/>
      </w:r>
    </w:p>
  </w:endnote>
  <w:endnote w:type="continuationSeparator" w:id="0">
    <w:p w:rsidR="00283965" w:rsidRDefault="0028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Default="00141987" w:rsidP="006E20CC">
    <w:pPr>
      <w:pStyle w:val="Header"/>
    </w:pPr>
    <w:r>
      <w:t>OMG RFP</w:t>
    </w:r>
    <w:r>
      <w:tab/>
    </w:r>
    <w:r>
      <w:fldChar w:fldCharType="begin"/>
    </w:r>
    <w:r>
      <w:instrText xml:space="preserve"> TIME \@ "d MMMM yyyy" </w:instrText>
    </w:r>
    <w:r>
      <w:fldChar w:fldCharType="separate"/>
    </w:r>
    <w:r w:rsidR="0051056C">
      <w:rPr>
        <w:noProof/>
      </w:rPr>
      <w:t>19 May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965" w:rsidRDefault="00283965">
      <w:r>
        <w:separator/>
      </w:r>
    </w:p>
  </w:footnote>
  <w:footnote w:type="continuationSeparator" w:id="0">
    <w:p w:rsidR="00283965" w:rsidRDefault="00283965">
      <w:r>
        <w:continuationSeparator/>
      </w:r>
    </w:p>
  </w:footnote>
  <w:footnote w:id="1">
    <w:p w:rsidR="00141987" w:rsidRPr="00BE01C4" w:rsidRDefault="00141987">
      <w:pPr>
        <w:pStyle w:val="FootnoteText"/>
        <w:rPr>
          <w:lang w:val="en-US"/>
        </w:rPr>
      </w:pPr>
      <w:r>
        <w:rPr>
          <w:rStyle w:val="FootnoteReference"/>
        </w:rPr>
        <w:footnoteRef/>
      </w:r>
      <w:r>
        <w:t xml:space="preserve">NIEM:  </w:t>
      </w:r>
      <w:r>
        <w:rPr>
          <w:lang w:val="en-US"/>
        </w:rPr>
        <w:t>National Information Exchange Model (www.niem.gov)</w:t>
      </w:r>
    </w:p>
  </w:footnote>
  <w:footnote w:id="2">
    <w:p w:rsidR="00141987" w:rsidRPr="00BE01C4" w:rsidRDefault="00141987">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3">
    <w:p w:rsidR="00141987" w:rsidRPr="00BE01C4" w:rsidRDefault="00141987">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rsidR="00141987" w:rsidRPr="006E3A6D" w:rsidRDefault="0014198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141987" w:rsidRPr="00BE01C4" w:rsidRDefault="00141987">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Pr="000E4086" w:rsidRDefault="00141987">
    <w:pPr>
      <w:pStyle w:val="Header"/>
    </w:pPr>
    <w:r w:rsidRPr="00B96D38">
      <w:t>SysA/2014-05-</w:t>
    </w:r>
    <w:r w:rsidR="00790428" w:rsidRPr="00B96D38">
      <w:t>0</w:t>
    </w:r>
    <w:r w:rsidR="00790428">
      <w:t>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4"/>
  </w:num>
  <w:num w:numId="14">
    <w:abstractNumId w:val="3"/>
  </w:num>
  <w:num w:numId="15">
    <w:abstractNumId w:val="5"/>
  </w:num>
  <w:num w:numId="16">
    <w:abstractNumId w:val="1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360A8"/>
    <w:rsid w:val="00052BDA"/>
    <w:rsid w:val="000644C1"/>
    <w:rsid w:val="00070051"/>
    <w:rsid w:val="000B1393"/>
    <w:rsid w:val="000B3C53"/>
    <w:rsid w:val="000C5EF9"/>
    <w:rsid w:val="00141987"/>
    <w:rsid w:val="00145ACF"/>
    <w:rsid w:val="001952B2"/>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3965"/>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1056C"/>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63937"/>
    <w:rsid w:val="00681362"/>
    <w:rsid w:val="00687D6E"/>
    <w:rsid w:val="006B1677"/>
    <w:rsid w:val="006C7712"/>
    <w:rsid w:val="006E20CC"/>
    <w:rsid w:val="006E3A6D"/>
    <w:rsid w:val="00704429"/>
    <w:rsid w:val="00707C36"/>
    <w:rsid w:val="00725F06"/>
    <w:rsid w:val="00730560"/>
    <w:rsid w:val="00735AA4"/>
    <w:rsid w:val="0073758B"/>
    <w:rsid w:val="0076378E"/>
    <w:rsid w:val="00764E05"/>
    <w:rsid w:val="0076618F"/>
    <w:rsid w:val="00776B67"/>
    <w:rsid w:val="00790428"/>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01C4"/>
    <w:rsid w:val="00BE2197"/>
    <w:rsid w:val="00BE2934"/>
    <w:rsid w:val="00BE7A12"/>
    <w:rsid w:val="00C15260"/>
    <w:rsid w:val="00C2088B"/>
    <w:rsid w:val="00C25E7F"/>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mg-threat-modeling/phase1" TargetMode="External"/><Relationship Id="rId18" Type="http://schemas.openxmlformats.org/officeDocument/2006/relationships/hyperlink" Target="http://www.omgwiki.org/OMG-FDTF/doku.php" TargetMode="External"/><Relationship Id="rId26" Type="http://schemas.openxmlformats.org/officeDocument/2006/relationships/hyperlink" Target="http://www.openioc.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techprocess/meetings/schedule/IMM_RFP.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SACM/" TargetMode="External"/><Relationship Id="rId25" Type="http://schemas.openxmlformats.org/officeDocument/2006/relationships/hyperlink" Target="http://www.ietf.org/rfc/rfc5070.txt" TargetMode="External"/><Relationship Id="rId33" Type="http://schemas.openxmlformats.org/officeDocument/2006/relationships/hyperlink" Target="http://www.cert.org/resilience/products-services/octav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ODM/1.0/" TargetMode="External"/><Relationship Id="rId20" Type="http://schemas.openxmlformats.org/officeDocument/2006/relationships/hyperlink" Target="http://www.omg.org/spec/BMM/" TargetMode="External"/><Relationship Id="rId29" Type="http://schemas.openxmlformats.org/officeDocument/2006/relationships/hyperlink" Target="http://sfsig.omg.org/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stix.mitre.org" TargetMode="External"/><Relationship Id="rId32" Type="http://schemas.openxmlformats.org/officeDocument/2006/relationships/hyperlink" Target="http://csrc.nist.gov/groups/SMA/fisma/framework.html" TargetMode="External"/><Relationship Id="rId37" Type="http://schemas.openxmlformats.org/officeDocument/2006/relationships/hyperlink" Target="http://www.omg.org/spec/XMI" TargetMode="External"/><Relationship Id="rId5" Type="http://schemas.openxmlformats.org/officeDocument/2006/relationships/settings" Target="settings.xml"/><Relationship Id="rId15" Type="http://schemas.openxmlformats.org/officeDocument/2006/relationships/hyperlink" Target="http://www.omg.org/spec/MDMI/1.0/" TargetMode="External"/><Relationship Id="rId23" Type="http://schemas.openxmlformats.org/officeDocument/2006/relationships/hyperlink" Target="http://www.omgwiki.org/architecture-ecosystem/doku.php?id=semantic_information_modeling_for_federation_rfp" TargetMode="External"/><Relationship Id="rId28" Type="http://schemas.openxmlformats.org/officeDocument/2006/relationships/hyperlink" Target="http://www.emaponline.org/index.php?option=com_content&amp;view=article&amp;id=118&amp;Itemid=110" TargetMode="External"/><Relationship Id="rId36" Type="http://schemas.openxmlformats.org/officeDocument/2006/relationships/hyperlink" Target="http://www.omg.org/schedules" TargetMode="External"/><Relationship Id="rId10" Type="http://schemas.openxmlformats.org/officeDocument/2006/relationships/image" Target="media/image1.jpeg"/><Relationship Id="rId19" Type="http://schemas.openxmlformats.org/officeDocument/2006/relationships/hyperlink" Target="http://www.omgwiki.org/mars/doku.php?id=ief" TargetMode="External"/><Relationship Id="rId31" Type="http://schemas.openxmlformats.org/officeDocument/2006/relationships/hyperlink" Target="http://www.iso.org/iso/home/standards/iso31000.htm"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www.omg.org/spec/MOFM2T/1.0/" TargetMode="External"/><Relationship Id="rId22" Type="http://schemas.openxmlformats.org/officeDocument/2006/relationships/hyperlink" Target="http://www.omg.org/cgi-bin/doc.cgi?gov/2014-3-1" TargetMode="External"/><Relationship Id="rId27" Type="http://schemas.openxmlformats.org/officeDocument/2006/relationships/hyperlink" Target="https://www.oasis-open.org/committees/download.php/17227/EDXL-DE_Spec_v1.0.html" TargetMode="External"/><Relationship Id="rId30" Type="http://schemas.openxmlformats.org/officeDocument/2006/relationships/hyperlink" Target="http://www.NIEM.GOV"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82A8-4FE5-49DC-A63A-27C38629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40</Pages>
  <Words>11974</Words>
  <Characters>68253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80067</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14</cp:revision>
  <cp:lastPrinted>2013-02-15T22:40:00Z</cp:lastPrinted>
  <dcterms:created xsi:type="dcterms:W3CDTF">2014-05-16T18:43:00Z</dcterms:created>
  <dcterms:modified xsi:type="dcterms:W3CDTF">2014-05-19T18:27:00Z</dcterms:modified>
</cp:coreProperties>
</file>