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1298" w14:textId="77777777" w:rsidR="005E45CA" w:rsidRPr="00CC3B1E" w:rsidRDefault="005E45CA" w:rsidP="005E45CA">
      <w:pPr>
        <w:rPr>
          <w:b/>
        </w:rPr>
      </w:pPr>
      <w:r w:rsidRPr="00CC3B1E">
        <w:rPr>
          <w:b/>
        </w:rPr>
        <w:t>ATMS/OCN/ESS 588 Global Carbon Cycle and Climate</w:t>
      </w:r>
    </w:p>
    <w:p w14:paraId="199B07FE" w14:textId="1C32995B" w:rsidR="005E45CA" w:rsidRPr="00CC3B1E" w:rsidRDefault="00C74118" w:rsidP="005E45CA">
      <w:pPr>
        <w:rPr>
          <w:b/>
        </w:rPr>
      </w:pPr>
      <w:r>
        <w:rPr>
          <w:b/>
        </w:rPr>
        <w:t>Winter 2</w:t>
      </w:r>
      <w:r w:rsidR="00012784">
        <w:rPr>
          <w:b/>
        </w:rPr>
        <w:t>022</w:t>
      </w:r>
    </w:p>
    <w:p w14:paraId="6B8E6CA5" w14:textId="68E67D9A" w:rsidR="005E45CA" w:rsidRDefault="00C74118" w:rsidP="005E45CA">
      <w:pPr>
        <w:rPr>
          <w:b/>
        </w:rPr>
      </w:pPr>
      <w:r>
        <w:rPr>
          <w:b/>
        </w:rPr>
        <w:t>Problem Set</w:t>
      </w:r>
      <w:r w:rsidR="004B0782">
        <w:rPr>
          <w:b/>
        </w:rPr>
        <w:t xml:space="preserve"> 3</w:t>
      </w:r>
      <w:r w:rsidR="005E45CA">
        <w:rPr>
          <w:b/>
        </w:rPr>
        <w:t xml:space="preserve"> – Ocean Carbon Cycle</w:t>
      </w:r>
    </w:p>
    <w:p w14:paraId="39B32C13" w14:textId="77777777" w:rsidR="00C50D68" w:rsidRDefault="00A44A8E">
      <w:pPr>
        <w:rPr>
          <w:b/>
        </w:rPr>
      </w:pPr>
      <w:r w:rsidRPr="00A44A8E">
        <w:rPr>
          <w:b/>
        </w:rPr>
        <w:t>Overview</w:t>
      </w:r>
      <w:r w:rsidR="00C50D68">
        <w:rPr>
          <w:b/>
        </w:rPr>
        <w:t>:</w:t>
      </w:r>
    </w:p>
    <w:p w14:paraId="29AEA620" w14:textId="4AF59620" w:rsidR="001E7BC4" w:rsidRDefault="004B0782">
      <w:r>
        <w:t xml:space="preserve">You have already seen the land component of our coupled carbon cycle box model.  For this </w:t>
      </w:r>
      <w:r w:rsidR="00C74118">
        <w:t>problem set</w:t>
      </w:r>
      <w:r>
        <w:t xml:space="preserve"> we will focus on the ocean component and leave the land turned off.</w:t>
      </w:r>
      <w:r w:rsidR="00BB6CC6">
        <w:t xml:space="preserve"> </w:t>
      </w:r>
      <w:r w:rsidR="00012784">
        <w:t xml:space="preserve">To start, make sure you go to </w:t>
      </w:r>
      <w:r w:rsidR="00012784" w:rsidRPr="00927F40">
        <w:rPr>
          <w:rFonts w:ascii="Courier New" w:hAnsi="Courier New" w:cs="Courier New"/>
          <w:b/>
          <w:bCs/>
          <w:sz w:val="20"/>
          <w:szCs w:val="20"/>
        </w:rPr>
        <w:t>Section A</w:t>
      </w:r>
      <w:r w:rsidR="00012784">
        <w:t xml:space="preserve"> and turn off land (set to 0) and turn on Ocean (set to 1). It should read:</w:t>
      </w:r>
    </w:p>
    <w:p w14:paraId="3E4C22CE" w14:textId="13A734DC" w:rsidR="00012784" w:rsidRPr="00012784" w:rsidRDefault="00012784" w:rsidP="00012784">
      <w:pPr>
        <w:spacing w:after="0"/>
        <w:ind w:left="720"/>
        <w:rPr>
          <w:rFonts w:ascii="Courier New" w:hAnsi="Courier New" w:cs="Courier New"/>
          <w:sz w:val="20"/>
          <w:szCs w:val="20"/>
        </w:rPr>
      </w:pPr>
      <w:r w:rsidRPr="00012784">
        <w:rPr>
          <w:rFonts w:ascii="Courier New" w:hAnsi="Courier New" w:cs="Courier New"/>
          <w:sz w:val="20"/>
          <w:szCs w:val="20"/>
        </w:rPr>
        <w:t># Choose if land and ocean should be active (1=active, 0=not active)</w:t>
      </w:r>
    </w:p>
    <w:p w14:paraId="09E00F88" w14:textId="77777777" w:rsidR="00012784" w:rsidRPr="00012784" w:rsidRDefault="00012784" w:rsidP="00012784">
      <w:pPr>
        <w:spacing w:after="0"/>
        <w:ind w:left="720"/>
        <w:rPr>
          <w:rFonts w:ascii="Courier New" w:hAnsi="Courier New" w:cs="Courier New"/>
          <w:sz w:val="20"/>
          <w:szCs w:val="20"/>
        </w:rPr>
      </w:pPr>
      <w:r w:rsidRPr="00012784">
        <w:rPr>
          <w:rFonts w:ascii="Courier New" w:hAnsi="Courier New" w:cs="Courier New"/>
          <w:sz w:val="20"/>
          <w:szCs w:val="20"/>
        </w:rPr>
        <w:t>PS['</w:t>
      </w:r>
      <w:proofErr w:type="spellStart"/>
      <w:r w:rsidRPr="00012784">
        <w:rPr>
          <w:rFonts w:ascii="Courier New" w:hAnsi="Courier New" w:cs="Courier New"/>
          <w:sz w:val="20"/>
          <w:szCs w:val="20"/>
        </w:rPr>
        <w:t>DoOcn</w:t>
      </w:r>
      <w:proofErr w:type="spellEnd"/>
      <w:r w:rsidRPr="00012784">
        <w:rPr>
          <w:rFonts w:ascii="Courier New" w:hAnsi="Courier New" w:cs="Courier New"/>
          <w:sz w:val="20"/>
          <w:szCs w:val="20"/>
        </w:rPr>
        <w:t>'] = 1 # include ocean</w:t>
      </w:r>
    </w:p>
    <w:p w14:paraId="5A27960D" w14:textId="10A39133" w:rsidR="00012784" w:rsidRDefault="00012784" w:rsidP="00012784">
      <w:pPr>
        <w:spacing w:after="0"/>
        <w:ind w:left="720"/>
        <w:rPr>
          <w:rFonts w:ascii="Courier New" w:hAnsi="Courier New" w:cs="Courier New"/>
          <w:sz w:val="20"/>
          <w:szCs w:val="20"/>
        </w:rPr>
      </w:pPr>
      <w:r w:rsidRPr="00012784">
        <w:rPr>
          <w:rFonts w:ascii="Courier New" w:hAnsi="Courier New" w:cs="Courier New"/>
          <w:sz w:val="20"/>
          <w:szCs w:val="20"/>
        </w:rPr>
        <w:t>PS['</w:t>
      </w:r>
      <w:proofErr w:type="spellStart"/>
      <w:r w:rsidRPr="00012784">
        <w:rPr>
          <w:rFonts w:ascii="Courier New" w:hAnsi="Courier New" w:cs="Courier New"/>
          <w:sz w:val="20"/>
          <w:szCs w:val="20"/>
        </w:rPr>
        <w:t>DoTer</w:t>
      </w:r>
      <w:proofErr w:type="spellEnd"/>
      <w:r w:rsidRPr="00012784">
        <w:rPr>
          <w:rFonts w:ascii="Courier New" w:hAnsi="Courier New" w:cs="Courier New"/>
          <w:sz w:val="20"/>
          <w:szCs w:val="20"/>
        </w:rPr>
        <w:t>'] = 0 # include land</w:t>
      </w:r>
    </w:p>
    <w:p w14:paraId="6E060A9F" w14:textId="77777777" w:rsidR="00012784" w:rsidRPr="00012784" w:rsidRDefault="00012784" w:rsidP="00012784">
      <w:pPr>
        <w:spacing w:after="0"/>
        <w:ind w:left="720"/>
        <w:rPr>
          <w:rFonts w:ascii="Courier New" w:hAnsi="Courier New" w:cs="Courier New"/>
          <w:sz w:val="20"/>
          <w:szCs w:val="20"/>
        </w:rPr>
      </w:pPr>
    </w:p>
    <w:p w14:paraId="297CE9D9" w14:textId="73D1A701" w:rsidR="00BB6CC6" w:rsidRDefault="00012784" w:rsidP="00D92334">
      <w:pPr>
        <w:spacing w:after="0"/>
      </w:pPr>
      <w:r>
        <w:t>Recall</w:t>
      </w:r>
      <w:r w:rsidR="00BB6CC6">
        <w:t xml:space="preserve"> </w:t>
      </w:r>
      <w:r>
        <w:t xml:space="preserve">also </w:t>
      </w:r>
      <w:r w:rsidR="00BB6CC6">
        <w:t>that in Section A there is a place to give each experiment a name:</w:t>
      </w:r>
    </w:p>
    <w:p w14:paraId="6551A679" w14:textId="77777777" w:rsidR="00BB6CC6" w:rsidRPr="00BB6CC6" w:rsidRDefault="00BB6CC6" w:rsidP="00BB6CC6">
      <w:pPr>
        <w:spacing w:after="0"/>
        <w:ind w:left="720"/>
        <w:rPr>
          <w:rFonts w:ascii="Courier New" w:hAnsi="Courier New" w:cs="Courier New"/>
          <w:sz w:val="20"/>
          <w:szCs w:val="20"/>
        </w:rPr>
      </w:pPr>
      <w:r w:rsidRPr="00BB6CC6">
        <w:rPr>
          <w:rFonts w:ascii="Courier New" w:hAnsi="Courier New" w:cs="Courier New"/>
          <w:sz w:val="20"/>
          <w:szCs w:val="20"/>
        </w:rPr>
        <w:t># Give your run a name</w:t>
      </w:r>
    </w:p>
    <w:p w14:paraId="28ACCA70" w14:textId="007B185B" w:rsidR="00BB6CC6" w:rsidRPr="00BB6CC6" w:rsidRDefault="00BB6CC6" w:rsidP="00D92334">
      <w:pPr>
        <w:spacing w:after="120"/>
        <w:ind w:left="720"/>
        <w:rPr>
          <w:rFonts w:ascii="Courier New" w:hAnsi="Courier New" w:cs="Courier New"/>
          <w:sz w:val="20"/>
          <w:szCs w:val="20"/>
        </w:rPr>
      </w:pPr>
      <w:r w:rsidRPr="00BB6CC6">
        <w:rPr>
          <w:rFonts w:ascii="Courier New" w:hAnsi="Courier New" w:cs="Courier New"/>
          <w:sz w:val="20"/>
          <w:szCs w:val="20"/>
        </w:rPr>
        <w:t>PS['</w:t>
      </w:r>
      <w:proofErr w:type="spellStart"/>
      <w:r w:rsidRPr="00BB6CC6">
        <w:rPr>
          <w:rFonts w:ascii="Courier New" w:hAnsi="Courier New" w:cs="Courier New"/>
          <w:sz w:val="20"/>
          <w:szCs w:val="20"/>
        </w:rPr>
        <w:t>runName</w:t>
      </w:r>
      <w:proofErr w:type="spellEnd"/>
      <w:r w:rsidRPr="00BB6CC6">
        <w:rPr>
          <w:rFonts w:ascii="Courier New" w:hAnsi="Courier New" w:cs="Courier New"/>
          <w:sz w:val="20"/>
          <w:szCs w:val="20"/>
        </w:rPr>
        <w:t>'] = '</w:t>
      </w:r>
      <w:proofErr w:type="spellStart"/>
      <w:r>
        <w:rPr>
          <w:rFonts w:ascii="Courier New" w:hAnsi="Courier New" w:cs="Courier New"/>
          <w:sz w:val="20"/>
          <w:szCs w:val="20"/>
        </w:rPr>
        <w:t>Ocean_noSol</w:t>
      </w:r>
      <w:proofErr w:type="spellEnd"/>
      <w:r w:rsidRPr="00BB6CC6">
        <w:rPr>
          <w:rFonts w:ascii="Courier New" w:hAnsi="Courier New" w:cs="Courier New"/>
          <w:sz w:val="20"/>
          <w:szCs w:val="20"/>
        </w:rPr>
        <w:t>'</w:t>
      </w:r>
    </w:p>
    <w:p w14:paraId="792132F1" w14:textId="210D7204" w:rsidR="00BB6CC6" w:rsidRDefault="00BB6CC6">
      <w:r>
        <w:t>and this name is appended to all of the figures that get made (in this example a</w:t>
      </w:r>
      <w:r w:rsidR="00D92334">
        <w:t xml:space="preserve"> name I chose for a</w:t>
      </w:r>
      <w:r>
        <w:t xml:space="preserve"> “No </w:t>
      </w:r>
      <w:r w:rsidR="00D92334">
        <w:t>Solubility Pump” run).</w:t>
      </w:r>
    </w:p>
    <w:p w14:paraId="2C27EF92" w14:textId="2E1136E4" w:rsidR="00843560" w:rsidRDefault="00D92334" w:rsidP="007A58CD">
      <w:r>
        <w:rPr>
          <w:b/>
          <w:i/>
        </w:rPr>
        <w:t xml:space="preserve">The </w:t>
      </w:r>
      <w:r w:rsidR="001E7BC4" w:rsidRPr="007A58CD">
        <w:rPr>
          <w:b/>
          <w:i/>
        </w:rPr>
        <w:t>Ocean</w:t>
      </w:r>
      <w:r>
        <w:rPr>
          <w:b/>
          <w:i/>
        </w:rPr>
        <w:t xml:space="preserve"> Model:</w:t>
      </w:r>
      <w:r w:rsidR="005E45CA">
        <w:t xml:space="preserve">  A 7</w:t>
      </w:r>
      <w:r w:rsidR="001E7BC4">
        <w:t>-box model of the ocean overturning circulation with nutrient and carbon cycles</w:t>
      </w:r>
      <w:r w:rsidR="0065255D">
        <w:t xml:space="preserve"> is provided, ada</w:t>
      </w:r>
      <w:r w:rsidR="00066A0A">
        <w:t xml:space="preserve">pted from the </w:t>
      </w:r>
      <w:r w:rsidR="005E45CA">
        <w:t>study of</w:t>
      </w:r>
      <w:r w:rsidR="00066A0A">
        <w:t xml:space="preserve"> </w:t>
      </w:r>
      <w:r w:rsidR="00BB0E60">
        <w:fldChar w:fldCharType="begin"/>
      </w:r>
      <w:r w:rsidR="001B7796">
        <w:instrText xml:space="preserve"> ADDIN EN.CITE &lt;EndNote&gt;&lt;Cite&gt;&lt;Author&gt;Toggweiler&lt;/Author&gt;&lt;Year&gt;2003&lt;/Year&gt;&lt;RecNum&gt;1674&lt;/RecNum&gt;&lt;record&gt;&lt;rec-number&gt;1674&lt;/rec-number&gt;&lt;foreign-keys&gt;&lt;key app="EN" db-id="rpz2aves9202vietr5rpe2raepafvv2fr5ds"&gt;1674&lt;/key&gt;&lt;/foreign-keys&gt;&lt;ref-type name="Journal Article"&gt;17&lt;/ref-type&gt;&lt;contributors&gt;&lt;authors&gt;&lt;author&gt;J. R. Toggweiler&lt;/author&gt;&lt;author&gt;A. Gnanadesikan&lt;/author&gt;&lt;author&gt;S. Carson&lt;/author&gt;&lt;author&gt;R. Murnane&lt;/author&gt;&lt;author&gt;J. L. Sarmiento&lt;/author&gt;&lt;/authors&gt;&lt;/contributors&gt;&lt;titles&gt;&lt;title&gt;Representation of the carbon cycle in box models and GCMs,1: solubility pump&lt;/title&gt;&lt;secondary-title&gt;Global Biogeochemical Cycles&lt;/secondary-title&gt;&lt;/titles&gt;&lt;periodical&gt;&lt;full-title&gt;Global Biogeochemical Cycles&lt;/full-title&gt;&lt;/periodical&gt;&lt;pages&gt;0.1029/2001GB001401&lt;/pages&gt;&lt;volume&gt;17&lt;/volume&gt;&lt;number&gt;1&lt;/number&gt;&lt;dates&gt;&lt;year&gt;2003&lt;/year&gt;&lt;/dates&gt;&lt;urls&gt;&lt;/urls&gt;&lt;/record&gt;&lt;/Cite&gt;&lt;/EndNote&gt;</w:instrText>
      </w:r>
      <w:r w:rsidR="00BB0E60">
        <w:fldChar w:fldCharType="separate"/>
      </w:r>
      <w:r w:rsidR="001B7796">
        <w:rPr>
          <w:noProof/>
        </w:rPr>
        <w:t>[</w:t>
      </w:r>
      <w:r w:rsidR="005E45CA" w:rsidRPr="007A58CD">
        <w:rPr>
          <w:i/>
          <w:noProof/>
        </w:rPr>
        <w:t>Toggweiler</w:t>
      </w:r>
      <w:r w:rsidR="005E45CA">
        <w:rPr>
          <w:noProof/>
        </w:rPr>
        <w:t>, 1999</w:t>
      </w:r>
      <w:r w:rsidR="001B7796">
        <w:rPr>
          <w:noProof/>
        </w:rPr>
        <w:t>]</w:t>
      </w:r>
      <w:r w:rsidR="00BB0E60">
        <w:fldChar w:fldCharType="end"/>
      </w:r>
      <w:r w:rsidR="005E45CA">
        <w:t>.</w:t>
      </w:r>
      <w:r w:rsidR="004D212B">
        <w:t xml:space="preserve"> </w:t>
      </w:r>
      <w:r w:rsidR="005E45CA">
        <w:t xml:space="preserve"> T</w:t>
      </w:r>
      <w:r w:rsidR="004D212B">
        <w:t xml:space="preserve">he </w:t>
      </w:r>
      <w:r w:rsidR="005E45CA">
        <w:t>ocean’s meridional</w:t>
      </w:r>
      <w:r w:rsidR="004D212B">
        <w:t xml:space="preserve"> overturning </w:t>
      </w:r>
      <w:r w:rsidR="001A0442">
        <w:t>circulation has 4</w:t>
      </w:r>
      <w:r w:rsidR="005E45CA">
        <w:t xml:space="preserve"> components: the thermocline is ventilated </w:t>
      </w:r>
      <w:r w:rsidR="001A0442">
        <w:t>by wind-driven flow from the low latitude surface.  S</w:t>
      </w:r>
      <w:r w:rsidR="004D212B">
        <w:t>outhern (Antarctic) and nort</w:t>
      </w:r>
      <w:r w:rsidR="005E45CA">
        <w:t>hern (North Atlantic) circulation into the deep ocean represent buoyancy-driven circulations discussed in class</w:t>
      </w:r>
      <w:r w:rsidR="004D212B">
        <w:t xml:space="preserve">. </w:t>
      </w:r>
      <w:r w:rsidR="001A0442">
        <w:t xml:space="preserve"> An additional 2-way vertical exchange in the North Atlantic represents deep convective mixing. </w:t>
      </w:r>
      <w:r w:rsidR="004D212B">
        <w:t xml:space="preserve"> </w:t>
      </w:r>
      <w:r w:rsidR="000F224C">
        <w:t xml:space="preserve">Surface biological productivity </w:t>
      </w:r>
      <w:r w:rsidR="007C09F6">
        <w:t xml:space="preserve">is </w:t>
      </w:r>
      <w:r w:rsidR="000F224C">
        <w:t>parameterized by</w:t>
      </w:r>
      <w:r w:rsidR="001A0442">
        <w:t xml:space="preserve"> a</w:t>
      </w:r>
      <w:r w:rsidR="000F224C">
        <w:t xml:space="preserve"> linear </w:t>
      </w:r>
      <w:r w:rsidR="001A0442">
        <w:t>function</w:t>
      </w:r>
      <w:r w:rsidR="000F224C">
        <w:t xml:space="preserve"> of surface nutrients</w:t>
      </w:r>
      <w:r w:rsidR="001A0442">
        <w:t xml:space="preserve">, and </w:t>
      </w:r>
      <w:r w:rsidR="008A6C0E">
        <w:t xml:space="preserve">extracts carbon in a fixed </w:t>
      </w:r>
      <w:proofErr w:type="spellStart"/>
      <w:r w:rsidR="008A6C0E">
        <w:t>carbon:nutrient</w:t>
      </w:r>
      <w:proofErr w:type="spellEnd"/>
      <w:r w:rsidR="008A6C0E">
        <w:t xml:space="preserve"> ratio</w:t>
      </w:r>
      <w:r w:rsidR="008943DA">
        <w:t xml:space="preserve"> (</w:t>
      </w:r>
      <w:proofErr w:type="spellStart"/>
      <w:r w:rsidR="008943DA">
        <w:t>Rcp</w:t>
      </w:r>
      <w:proofErr w:type="spellEnd"/>
      <w:r w:rsidR="008943DA">
        <w:t>)</w:t>
      </w:r>
      <w:r w:rsidR="008A6C0E">
        <w:t>.  The</w:t>
      </w:r>
      <w:r w:rsidR="001A0442">
        <w:t xml:space="preserve"> </w:t>
      </w:r>
      <w:r w:rsidR="008A6C0E">
        <w:t>implied organic matter is then decomposed</w:t>
      </w:r>
      <w:r w:rsidR="001A0442">
        <w:t xml:space="preserve"> among underlying boxes</w:t>
      </w:r>
      <w:r w:rsidR="00843560">
        <w:t>.</w:t>
      </w:r>
      <w:r w:rsidR="001A2C3B">
        <w:t xml:space="preserve"> </w:t>
      </w:r>
      <w:r w:rsidR="008A6C0E">
        <w:t>The alkalinity cycle is currently not represented.</w:t>
      </w:r>
      <w:r>
        <w:t xml:space="preserve"> </w:t>
      </w:r>
      <w:r w:rsidR="004E2A07">
        <w:t>A</w:t>
      </w:r>
      <w:r>
        <w:t xml:space="preserve"> diagram of the ocean box model</w:t>
      </w:r>
      <w:r w:rsidR="004E2A07">
        <w:t xml:space="preserve"> and the equations governing it</w:t>
      </w:r>
      <w:r>
        <w:t xml:space="preserve"> </w:t>
      </w:r>
      <w:r w:rsidR="004E2A07">
        <w:t xml:space="preserve">are </w:t>
      </w:r>
      <w:r>
        <w:t>at the end of this assignment.</w:t>
      </w:r>
    </w:p>
    <w:p w14:paraId="131E74A1" w14:textId="77777777" w:rsidR="00541864" w:rsidRDefault="00541864" w:rsidP="00F13968">
      <w:pPr>
        <w:rPr>
          <w:b/>
          <w:bCs/>
        </w:rPr>
      </w:pPr>
      <w:r>
        <w:rPr>
          <w:b/>
          <w:bCs/>
        </w:rPr>
        <w:t>Running the model:</w:t>
      </w:r>
    </w:p>
    <w:p w14:paraId="61841B4B" w14:textId="7A75CDCB" w:rsidR="00D92334" w:rsidRDefault="00D92334" w:rsidP="00F13968">
      <w:pPr>
        <w:rPr>
          <w:bCs/>
        </w:rPr>
      </w:pPr>
      <w:r w:rsidRPr="00B74783">
        <w:rPr>
          <w:bCs/>
        </w:rPr>
        <w:t>To run the model you will</w:t>
      </w:r>
      <w:r w:rsidR="00B74783">
        <w:rPr>
          <w:bCs/>
        </w:rPr>
        <w:t>, as before,</w:t>
      </w:r>
      <w:r w:rsidRPr="00B74783">
        <w:rPr>
          <w:bCs/>
        </w:rPr>
        <w:t xml:space="preserve"> specify some parameters</w:t>
      </w:r>
      <w:r w:rsidR="00B74783">
        <w:rPr>
          <w:bCs/>
        </w:rPr>
        <w:t xml:space="preserve"> and choose “Restart &amp; Run all” from the “Kernel” menu.</w:t>
      </w:r>
      <w:r w:rsidRPr="00B74783">
        <w:rPr>
          <w:bCs/>
        </w:rPr>
        <w:t xml:space="preserve"> – for this problem set all parameters that you need to change are in </w:t>
      </w:r>
      <w:r w:rsidRPr="00927F40">
        <w:rPr>
          <w:rFonts w:ascii="Courier New" w:hAnsi="Courier New" w:cs="Courier New"/>
          <w:b/>
          <w:bCs/>
          <w:sz w:val="20"/>
          <w:szCs w:val="20"/>
        </w:rPr>
        <w:t>Section A</w:t>
      </w:r>
      <w:r w:rsidRPr="00B74783">
        <w:rPr>
          <w:bCs/>
        </w:rPr>
        <w:t xml:space="preserve">. </w:t>
      </w:r>
    </w:p>
    <w:p w14:paraId="621CF37A" w14:textId="5DD34B32" w:rsidR="00927F40" w:rsidRPr="00927F40" w:rsidRDefault="00021D81" w:rsidP="00927F40">
      <w:pPr>
        <w:rPr>
          <w:bCs/>
          <w:highlight w:val="lightGray"/>
        </w:rPr>
      </w:pPr>
      <w:r>
        <w:rPr>
          <w:bCs/>
        </w:rPr>
        <w:t xml:space="preserve">You are going to change two parameters </w:t>
      </w:r>
      <w:r w:rsidR="00927F40">
        <w:rPr>
          <w:bCs/>
        </w:rPr>
        <w:t xml:space="preserve">by modifying a scaling factor. These are at the bottom of </w:t>
      </w:r>
      <w:r w:rsidR="00927F40" w:rsidRPr="00927F40">
        <w:rPr>
          <w:rFonts w:ascii="Courier New" w:hAnsi="Courier New" w:cs="Courier New"/>
          <w:b/>
          <w:bCs/>
          <w:sz w:val="20"/>
          <w:szCs w:val="20"/>
        </w:rPr>
        <w:t>Section A</w:t>
      </w:r>
      <w:r w:rsidR="00927F40">
        <w:rPr>
          <w:bCs/>
        </w:rPr>
        <w:t xml:space="preserve">. The two parameters are the piston velocity, kw, </w:t>
      </w:r>
      <w:r w:rsidR="00927F40" w:rsidRPr="00927F40">
        <w:rPr>
          <w:bCs/>
        </w:rPr>
        <w:t xml:space="preserve">and Psi, the flux rate of water between boxes in our model.   Remember that Psi is listed in </w:t>
      </w:r>
      <w:proofErr w:type="spellStart"/>
      <w:r w:rsidR="00927F40" w:rsidRPr="00927F40">
        <w:rPr>
          <w:bCs/>
        </w:rPr>
        <w:t>Sverdrups</w:t>
      </w:r>
      <w:proofErr w:type="spellEnd"/>
      <w:r w:rsidR="00927F40" w:rsidRPr="00927F40">
        <w:rPr>
          <w:bCs/>
        </w:rPr>
        <w:t xml:space="preserve"> (10</w:t>
      </w:r>
      <w:r w:rsidR="00927F40" w:rsidRPr="00927F40">
        <w:rPr>
          <w:bCs/>
          <w:vertAlign w:val="superscript"/>
        </w:rPr>
        <w:t>6</w:t>
      </w:r>
      <w:r w:rsidR="00927F40" w:rsidRPr="00927F40">
        <w:rPr>
          <w:bCs/>
        </w:rPr>
        <w:t xml:space="preserve"> m</w:t>
      </w:r>
      <w:r w:rsidR="00927F40" w:rsidRPr="00927F40">
        <w:rPr>
          <w:bCs/>
          <w:vertAlign w:val="superscript"/>
        </w:rPr>
        <w:t>3</w:t>
      </w:r>
      <w:r w:rsidR="00927F40" w:rsidRPr="00927F40">
        <w:rPr>
          <w:bCs/>
        </w:rPr>
        <w:t>/s), a convenient unit for tracking large scale flow in the ocean.</w:t>
      </w:r>
    </w:p>
    <w:p w14:paraId="577CFC24" w14:textId="70E1CEF6" w:rsidR="00927F40" w:rsidRPr="00B74783" w:rsidRDefault="00927F40" w:rsidP="00F13968">
      <w:pPr>
        <w:rPr>
          <w:bCs/>
        </w:rPr>
      </w:pPr>
      <w:r>
        <w:rPr>
          <w:bCs/>
        </w:rPr>
        <w:t xml:space="preserve">You will also change a number of switches (0=off, 1=on) to turn on and off different ocean components. </w:t>
      </w:r>
    </w:p>
    <w:p w14:paraId="42872C6E" w14:textId="77777777" w:rsidR="001A2C3B" w:rsidRDefault="001A2C3B" w:rsidP="00F13968">
      <w:pPr>
        <w:rPr>
          <w:b/>
          <w:bCs/>
        </w:rPr>
      </w:pPr>
      <w:r>
        <w:rPr>
          <w:b/>
          <w:bCs/>
        </w:rPr>
        <w:lastRenderedPageBreak/>
        <w:t>Problems</w:t>
      </w:r>
      <w:r w:rsidR="00632C50">
        <w:rPr>
          <w:b/>
          <w:bCs/>
        </w:rPr>
        <w:t>:</w:t>
      </w:r>
    </w:p>
    <w:p w14:paraId="56C04A3B" w14:textId="77777777" w:rsidR="009846ED" w:rsidRDefault="001A2C3B" w:rsidP="00927F40">
      <w:pPr>
        <w:pStyle w:val="ListParagraph"/>
        <w:numPr>
          <w:ilvl w:val="0"/>
          <w:numId w:val="4"/>
        </w:numPr>
        <w:spacing w:after="120"/>
        <w:contextualSpacing w:val="0"/>
        <w:rPr>
          <w:bCs/>
        </w:rPr>
      </w:pPr>
      <w:r w:rsidRPr="001A2C3B">
        <w:rPr>
          <w:bCs/>
        </w:rPr>
        <w:t xml:space="preserve">We’d like to understand the </w:t>
      </w:r>
      <w:r>
        <w:rPr>
          <w:bCs/>
        </w:rPr>
        <w:t>uptak</w:t>
      </w:r>
      <w:r w:rsidRPr="001A2C3B">
        <w:rPr>
          <w:bCs/>
        </w:rPr>
        <w:t>e of anthropogenic CO</w:t>
      </w:r>
      <w:r w:rsidRPr="00927F40">
        <w:rPr>
          <w:bCs/>
          <w:vertAlign w:val="subscript"/>
        </w:rPr>
        <w:t>2</w:t>
      </w:r>
      <w:r w:rsidRPr="001A2C3B">
        <w:rPr>
          <w:bCs/>
        </w:rPr>
        <w:t xml:space="preserve"> by the ocean.  </w:t>
      </w:r>
      <w:r w:rsidR="009846ED">
        <w:rPr>
          <w:bCs/>
        </w:rPr>
        <w:t>Specifically, let’s find out</w:t>
      </w:r>
      <w:r>
        <w:rPr>
          <w:bCs/>
        </w:rPr>
        <w:t xml:space="preserve"> which factor is most important in determining the rate</w:t>
      </w:r>
      <w:r w:rsidRPr="001A2C3B">
        <w:rPr>
          <w:bCs/>
        </w:rPr>
        <w:t xml:space="preserve"> </w:t>
      </w:r>
      <w:r>
        <w:rPr>
          <w:bCs/>
        </w:rPr>
        <w:t xml:space="preserve">of </w:t>
      </w:r>
      <w:r w:rsidR="0065255D">
        <w:rPr>
          <w:bCs/>
        </w:rPr>
        <w:t>ocean CO</w:t>
      </w:r>
      <w:r w:rsidR="0065255D" w:rsidRPr="00927F40">
        <w:rPr>
          <w:bCs/>
          <w:vertAlign w:val="subscript"/>
        </w:rPr>
        <w:t>2</w:t>
      </w:r>
      <w:r w:rsidR="0065255D">
        <w:rPr>
          <w:bCs/>
        </w:rPr>
        <w:t xml:space="preserve"> </w:t>
      </w:r>
      <w:r>
        <w:rPr>
          <w:bCs/>
        </w:rPr>
        <w:t>uptake - gas exchang</w:t>
      </w:r>
      <w:r w:rsidRPr="001A2C3B">
        <w:rPr>
          <w:bCs/>
        </w:rPr>
        <w:t xml:space="preserve">e </w:t>
      </w:r>
      <w:r>
        <w:rPr>
          <w:bCs/>
        </w:rPr>
        <w:t>or</w:t>
      </w:r>
      <w:r w:rsidRPr="001A2C3B">
        <w:rPr>
          <w:bCs/>
        </w:rPr>
        <w:t xml:space="preserve"> ocean circulation</w:t>
      </w:r>
      <w:r w:rsidR="0065255D">
        <w:rPr>
          <w:bCs/>
        </w:rPr>
        <w:t>?</w:t>
      </w:r>
      <w:r w:rsidRPr="001A2C3B">
        <w:rPr>
          <w:bCs/>
        </w:rPr>
        <w:t xml:space="preserve"> </w:t>
      </w:r>
    </w:p>
    <w:p w14:paraId="766458DF" w14:textId="3D1728EA" w:rsidR="001A2C3B" w:rsidRDefault="001A2C3B" w:rsidP="00927F40">
      <w:pPr>
        <w:pStyle w:val="ListParagraph"/>
        <w:numPr>
          <w:ilvl w:val="1"/>
          <w:numId w:val="4"/>
        </w:numPr>
        <w:spacing w:after="120"/>
        <w:ind w:left="720"/>
        <w:contextualSpacing w:val="0"/>
        <w:rPr>
          <w:bCs/>
        </w:rPr>
      </w:pPr>
      <w:r>
        <w:rPr>
          <w:bCs/>
        </w:rPr>
        <w:t>Run the model with the land compo</w:t>
      </w:r>
      <w:r w:rsidR="00D3374E">
        <w:rPr>
          <w:bCs/>
        </w:rPr>
        <w:t>nent turned off (</w:t>
      </w:r>
      <w:proofErr w:type="spellStart"/>
      <w:r w:rsidR="00D3374E">
        <w:rPr>
          <w:bCs/>
        </w:rPr>
        <w:t>DoTer</w:t>
      </w:r>
      <w:proofErr w:type="spellEnd"/>
      <w:r w:rsidR="008A6C0E">
        <w:rPr>
          <w:bCs/>
        </w:rPr>
        <w:t>=0)</w:t>
      </w:r>
      <w:r w:rsidR="00C74118">
        <w:rPr>
          <w:bCs/>
        </w:rPr>
        <w:t xml:space="preserve"> and ocean turned o</w:t>
      </w:r>
      <w:proofErr w:type="spellStart"/>
      <w:r w:rsidR="00C74118">
        <w:rPr>
          <w:bCs/>
        </w:rPr>
        <w:t>n (DoOcn</w:t>
      </w:r>
      <w:proofErr w:type="spellEnd"/>
      <w:r w:rsidR="00C74118">
        <w:rPr>
          <w:bCs/>
        </w:rPr>
        <w:t>=1)</w:t>
      </w:r>
      <w:r w:rsidR="008A6C0E">
        <w:rPr>
          <w:bCs/>
        </w:rPr>
        <w:t>.   The</w:t>
      </w:r>
      <w:r>
        <w:rPr>
          <w:bCs/>
        </w:rPr>
        <w:t xml:space="preserve"> increase in ocean and atmospheric CO</w:t>
      </w:r>
      <w:r w:rsidRPr="00C74118">
        <w:rPr>
          <w:bCs/>
          <w:vertAlign w:val="subscript"/>
        </w:rPr>
        <w:t>2</w:t>
      </w:r>
      <w:r>
        <w:rPr>
          <w:bCs/>
        </w:rPr>
        <w:t xml:space="preserve"> </w:t>
      </w:r>
      <w:r w:rsidR="008A6C0E">
        <w:rPr>
          <w:bCs/>
        </w:rPr>
        <w:t xml:space="preserve">(due to fossil fuel emissions) </w:t>
      </w:r>
      <w:r>
        <w:rPr>
          <w:bCs/>
        </w:rPr>
        <w:t>will automatically be plotted</w:t>
      </w:r>
      <w:r w:rsidR="00927F40">
        <w:rPr>
          <w:bCs/>
        </w:rPr>
        <w:t>, as will the DIC for several ocean pools</w:t>
      </w:r>
      <w:r>
        <w:rPr>
          <w:bCs/>
        </w:rPr>
        <w:t xml:space="preserve">.  Note the magnitude of the changes.  </w:t>
      </w:r>
      <w:r w:rsidR="00816508">
        <w:rPr>
          <w:bCs/>
        </w:rPr>
        <w:t>Where is most of the anthropogenic CO</w:t>
      </w:r>
      <w:r w:rsidR="00816508" w:rsidRPr="00C74118">
        <w:rPr>
          <w:bCs/>
          <w:vertAlign w:val="subscript"/>
        </w:rPr>
        <w:t xml:space="preserve">2 </w:t>
      </w:r>
      <w:r w:rsidR="00816508">
        <w:rPr>
          <w:bCs/>
        </w:rPr>
        <w:t>found</w:t>
      </w:r>
      <w:r w:rsidR="007069F4">
        <w:rPr>
          <w:bCs/>
        </w:rPr>
        <w:t xml:space="preserve"> (i.e. the increase over time due to fossil fuels)</w:t>
      </w:r>
      <w:r w:rsidR="00012784">
        <w:rPr>
          <w:bCs/>
        </w:rPr>
        <w:t>?</w:t>
      </w:r>
    </w:p>
    <w:p w14:paraId="02B25821" w14:textId="46134A28" w:rsidR="001A2C3B" w:rsidRDefault="001A2C3B" w:rsidP="00927F40">
      <w:pPr>
        <w:pStyle w:val="ListParagraph"/>
        <w:numPr>
          <w:ilvl w:val="1"/>
          <w:numId w:val="4"/>
        </w:numPr>
        <w:spacing w:after="120"/>
        <w:ind w:left="720"/>
        <w:contextualSpacing w:val="0"/>
        <w:rPr>
          <w:bCs/>
        </w:rPr>
      </w:pPr>
      <w:r>
        <w:rPr>
          <w:bCs/>
        </w:rPr>
        <w:t xml:space="preserve">Now run the model with gas exchange that is faster or slower by a factor of 2.  You can do this by </w:t>
      </w:r>
      <w:r w:rsidR="00485C0C">
        <w:rPr>
          <w:bCs/>
        </w:rPr>
        <w:t xml:space="preserve">changing </w:t>
      </w:r>
      <w:r>
        <w:rPr>
          <w:bCs/>
        </w:rPr>
        <w:t>the piston velocity (kw) by 2,</w:t>
      </w:r>
      <w:r w:rsidR="00485C0C">
        <w:rPr>
          <w:bCs/>
        </w:rPr>
        <w:t xml:space="preserve"> using the “</w:t>
      </w:r>
      <w:proofErr w:type="spellStart"/>
      <w:r w:rsidR="00485C0C" w:rsidRPr="00927F40">
        <w:rPr>
          <w:rFonts w:ascii="Courier New" w:hAnsi="Courier New" w:cs="Courier New"/>
          <w:bCs/>
          <w:sz w:val="20"/>
          <w:szCs w:val="20"/>
        </w:rPr>
        <w:t>kwScalar</w:t>
      </w:r>
      <w:proofErr w:type="spellEnd"/>
      <w:r w:rsidR="00485C0C">
        <w:rPr>
          <w:bCs/>
        </w:rPr>
        <w:t xml:space="preserve">” parameter </w:t>
      </w:r>
      <w:r>
        <w:rPr>
          <w:bCs/>
        </w:rPr>
        <w:t xml:space="preserve">in </w:t>
      </w:r>
      <w:r w:rsidR="00927F40" w:rsidRPr="00927F40">
        <w:rPr>
          <w:rFonts w:ascii="Courier New" w:hAnsi="Courier New" w:cs="Courier New"/>
          <w:b/>
          <w:bCs/>
          <w:sz w:val="20"/>
          <w:szCs w:val="20"/>
        </w:rPr>
        <w:t>Section A</w:t>
      </w:r>
      <w:r>
        <w:rPr>
          <w:bCs/>
        </w:rPr>
        <w:t xml:space="preserve">.  Note the new uptake rates.  How much do </w:t>
      </w:r>
      <w:r w:rsidR="00927F40">
        <w:rPr>
          <w:bCs/>
        </w:rPr>
        <w:t>they differ from the first case?</w:t>
      </w:r>
    </w:p>
    <w:p w14:paraId="0EEB99DF" w14:textId="2039CE08" w:rsidR="009846ED" w:rsidRDefault="00816508" w:rsidP="00927F40">
      <w:pPr>
        <w:pStyle w:val="ListParagraph"/>
        <w:numPr>
          <w:ilvl w:val="1"/>
          <w:numId w:val="4"/>
        </w:numPr>
        <w:spacing w:after="120"/>
        <w:ind w:left="720"/>
        <w:contextualSpacing w:val="0"/>
        <w:rPr>
          <w:bCs/>
        </w:rPr>
      </w:pPr>
      <w:r>
        <w:rPr>
          <w:bCs/>
        </w:rPr>
        <w:t xml:space="preserve">Repeat </w:t>
      </w:r>
      <w:proofErr w:type="spellStart"/>
      <w:r>
        <w:rPr>
          <w:bCs/>
        </w:rPr>
        <w:t>steb</w:t>
      </w:r>
      <w:proofErr w:type="spellEnd"/>
      <w:r>
        <w:rPr>
          <w:bCs/>
        </w:rPr>
        <w:t xml:space="preserve"> b, but reset the piston velocity to its in</w:t>
      </w:r>
      <w:r w:rsidR="004B0782">
        <w:rPr>
          <w:bCs/>
        </w:rPr>
        <w:t>i</w:t>
      </w:r>
      <w:r>
        <w:rPr>
          <w:bCs/>
        </w:rPr>
        <w:t xml:space="preserve">tial value and instead change the circulation </w:t>
      </w:r>
      <w:r w:rsidRPr="00927F40">
        <w:rPr>
          <w:bCs/>
        </w:rPr>
        <w:t>rates (Psi) by a factor of 2</w:t>
      </w:r>
      <w:r w:rsidR="00485C0C">
        <w:rPr>
          <w:bCs/>
        </w:rPr>
        <w:t xml:space="preserve"> using the “</w:t>
      </w:r>
      <w:proofErr w:type="spellStart"/>
      <w:r w:rsidR="00485C0C" w:rsidRPr="00927F40">
        <w:rPr>
          <w:rFonts w:ascii="Courier New" w:hAnsi="Courier New" w:cs="Courier New"/>
          <w:bCs/>
          <w:sz w:val="20"/>
          <w:szCs w:val="20"/>
        </w:rPr>
        <w:t>PsiScalar</w:t>
      </w:r>
      <w:proofErr w:type="spellEnd"/>
      <w:r w:rsidR="00485C0C">
        <w:rPr>
          <w:bCs/>
        </w:rPr>
        <w:t xml:space="preserve">” parameter in </w:t>
      </w:r>
      <w:r w:rsidR="00927F40" w:rsidRPr="00927F40">
        <w:rPr>
          <w:rFonts w:ascii="Courier New" w:hAnsi="Courier New" w:cs="Courier New"/>
          <w:b/>
          <w:bCs/>
          <w:sz w:val="20"/>
          <w:szCs w:val="20"/>
        </w:rPr>
        <w:t>Section A</w:t>
      </w:r>
      <w:r>
        <w:rPr>
          <w:bCs/>
        </w:rPr>
        <w:t>.</w:t>
      </w:r>
      <w:r w:rsidR="007069F4">
        <w:rPr>
          <w:bCs/>
        </w:rPr>
        <w:t xml:space="preserve"> You can also try turning circulation off entirely by setting </w:t>
      </w:r>
      <w:r w:rsidR="007069F4" w:rsidRPr="007069F4">
        <w:rPr>
          <w:rFonts w:ascii="Courier New" w:hAnsi="Courier New" w:cs="Courier New"/>
          <w:bCs/>
          <w:sz w:val="20"/>
          <w:szCs w:val="20"/>
        </w:rPr>
        <w:t>PS['</w:t>
      </w:r>
      <w:proofErr w:type="spellStart"/>
      <w:r w:rsidR="007069F4" w:rsidRPr="007069F4">
        <w:rPr>
          <w:rFonts w:ascii="Courier New" w:hAnsi="Courier New" w:cs="Courier New"/>
          <w:bCs/>
          <w:sz w:val="20"/>
          <w:szCs w:val="20"/>
        </w:rPr>
        <w:t>DoOcnCirc</w:t>
      </w:r>
      <w:proofErr w:type="spellEnd"/>
      <w:r w:rsidR="007069F4" w:rsidRPr="007069F4">
        <w:rPr>
          <w:rFonts w:ascii="Courier New" w:hAnsi="Courier New" w:cs="Courier New"/>
          <w:bCs/>
          <w:sz w:val="20"/>
          <w:szCs w:val="20"/>
        </w:rPr>
        <w:t xml:space="preserve">'] = </w:t>
      </w:r>
      <w:r w:rsidR="007069F4" w:rsidRPr="007069F4">
        <w:rPr>
          <w:rFonts w:ascii="Courier New" w:hAnsi="Courier New" w:cs="Courier New"/>
          <w:bCs/>
          <w:sz w:val="20"/>
          <w:szCs w:val="20"/>
        </w:rPr>
        <w:t>0</w:t>
      </w:r>
      <w:r w:rsidR="007069F4">
        <w:rPr>
          <w:bCs/>
        </w:rPr>
        <w:t>.</w:t>
      </w:r>
    </w:p>
    <w:p w14:paraId="7F7AB61C" w14:textId="77777777" w:rsidR="009846ED" w:rsidRDefault="009846ED" w:rsidP="00927F40">
      <w:pPr>
        <w:pStyle w:val="ListParagraph"/>
        <w:numPr>
          <w:ilvl w:val="1"/>
          <w:numId w:val="4"/>
        </w:numPr>
        <w:spacing w:after="120"/>
        <w:ind w:left="720"/>
        <w:contextualSpacing w:val="0"/>
        <w:rPr>
          <w:bCs/>
        </w:rPr>
      </w:pPr>
      <w:proofErr w:type="spellStart"/>
      <w:r>
        <w:rPr>
          <w:bCs/>
        </w:rPr>
        <w:t>E</w:t>
      </w:r>
      <w:proofErr w:type="spellEnd"/>
      <w:r>
        <w:rPr>
          <w:bCs/>
        </w:rPr>
        <w:t>xplain in simple terms why you got the answer that you did.  You should consider the time it takes a surface “box” to equilibrate its CO</w:t>
      </w:r>
      <w:r w:rsidRPr="00C74118">
        <w:rPr>
          <w:bCs/>
          <w:vertAlign w:val="subscript"/>
        </w:rPr>
        <w:t>2</w:t>
      </w:r>
      <w:r>
        <w:rPr>
          <w:bCs/>
        </w:rPr>
        <w:t xml:space="preserve">, and compare that to the time that waters spend in that box.  </w:t>
      </w:r>
    </w:p>
    <w:p w14:paraId="21A94690" w14:textId="77777777" w:rsidR="007A58CD" w:rsidRPr="001A2C3B" w:rsidRDefault="007A58CD" w:rsidP="00927F40">
      <w:pPr>
        <w:pStyle w:val="ListParagraph"/>
        <w:spacing w:after="120"/>
        <w:ind w:left="1440"/>
        <w:rPr>
          <w:bCs/>
        </w:rPr>
      </w:pPr>
    </w:p>
    <w:p w14:paraId="7604B57C" w14:textId="77777777" w:rsidR="0065255D" w:rsidRPr="0065255D" w:rsidRDefault="0065255D" w:rsidP="00927F40">
      <w:pPr>
        <w:pStyle w:val="ListParagraph"/>
        <w:numPr>
          <w:ilvl w:val="0"/>
          <w:numId w:val="4"/>
        </w:numPr>
        <w:spacing w:after="120"/>
        <w:contextualSpacing w:val="0"/>
        <w:rPr>
          <w:bCs/>
        </w:rPr>
      </w:pPr>
      <w:r w:rsidRPr="0065255D">
        <w:rPr>
          <w:bCs/>
        </w:rPr>
        <w:t xml:space="preserve">We’d like to understand the relative importance of solubility and biology in creating the vertical variation of DIC in the ocean.  We’ll take the DIC difference between the deep ocean and the surface ocean in low latitudes as a measure of the strength of these “carbon pumps”. </w:t>
      </w:r>
    </w:p>
    <w:p w14:paraId="2DB35893" w14:textId="710AEA2F" w:rsidR="0065255D" w:rsidRDefault="00927F40" w:rsidP="00927F40">
      <w:pPr>
        <w:pStyle w:val="ListParagraph"/>
        <w:numPr>
          <w:ilvl w:val="1"/>
          <w:numId w:val="4"/>
        </w:numPr>
        <w:spacing w:after="120"/>
        <w:ind w:left="720"/>
        <w:contextualSpacing w:val="0"/>
        <w:rPr>
          <w:bCs/>
        </w:rPr>
      </w:pPr>
      <w:r>
        <w:rPr>
          <w:bCs/>
        </w:rPr>
        <w:t>Run the model with the land component turned off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DoTer</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=0</w:t>
      </w:r>
      <w:r>
        <w:rPr>
          <w:bCs/>
        </w:rPr>
        <w:t>) and ocean turned on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DoOcn</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=1</w:t>
      </w:r>
      <w:r>
        <w:rPr>
          <w:bCs/>
        </w:rPr>
        <w:t xml:space="preserve">) and </w:t>
      </w:r>
      <w:r w:rsidR="0065255D">
        <w:rPr>
          <w:bCs/>
        </w:rPr>
        <w:t>note the magnitude of the vertical DIC gradient</w:t>
      </w:r>
      <w:r w:rsidR="00012784">
        <w:rPr>
          <w:bCs/>
        </w:rPr>
        <w:t xml:space="preserve"> in the ocean</w:t>
      </w:r>
      <w:r w:rsidR="0065255D">
        <w:rPr>
          <w:bCs/>
        </w:rPr>
        <w:t>.  How does it compare to what is observed?  (We mostly want to know that the simple model is in the right ballpark, but if you’d like to think about reasons for discrepancies, that could be instructive).</w:t>
      </w:r>
      <w:r w:rsidR="00012784">
        <w:rPr>
          <w:bCs/>
        </w:rPr>
        <w:t xml:space="preserve"> </w:t>
      </w:r>
      <w:r w:rsidR="002174A0">
        <w:rPr>
          <w:bCs/>
        </w:rPr>
        <w:t>A plot of the vertical profile of DIC is included after the model diagram.</w:t>
      </w:r>
    </w:p>
    <w:p w14:paraId="5459C310" w14:textId="6C8F3A3B" w:rsidR="00D939EE" w:rsidRDefault="0065255D" w:rsidP="00927F40">
      <w:pPr>
        <w:pStyle w:val="ListParagraph"/>
        <w:numPr>
          <w:ilvl w:val="1"/>
          <w:numId w:val="4"/>
        </w:numPr>
        <w:spacing w:after="120"/>
        <w:ind w:left="720"/>
        <w:contextualSpacing w:val="0"/>
        <w:rPr>
          <w:bCs/>
        </w:rPr>
      </w:pPr>
      <w:r>
        <w:rPr>
          <w:bCs/>
        </w:rPr>
        <w:t xml:space="preserve">Now run the model with the biological pump turned off.  This can be done by setting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DoOcnBio</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=0</w:t>
      </w:r>
      <w:r>
        <w:rPr>
          <w:bCs/>
        </w:rPr>
        <w:t xml:space="preserve">, in </w:t>
      </w:r>
      <w:r w:rsidR="00927F40" w:rsidRPr="00927F40">
        <w:rPr>
          <w:rFonts w:ascii="Courier New" w:hAnsi="Courier New" w:cs="Courier New"/>
          <w:b/>
          <w:bCs/>
          <w:sz w:val="20"/>
          <w:szCs w:val="20"/>
        </w:rPr>
        <w:t>Section A</w:t>
      </w:r>
      <w:r>
        <w:rPr>
          <w:bCs/>
        </w:rPr>
        <w:t>.  (This just sets the uptake of nutrients to 0).</w:t>
      </w:r>
      <w:r w:rsidR="00D939EE">
        <w:rPr>
          <w:bCs/>
        </w:rPr>
        <w:t xml:space="preserve">  What is the strength of the DIC gradient, and what does it represent?</w:t>
      </w:r>
    </w:p>
    <w:p w14:paraId="129D177B" w14:textId="07BC00BD" w:rsidR="001D04F5" w:rsidRDefault="00D939EE" w:rsidP="00927F40">
      <w:pPr>
        <w:pStyle w:val="ListParagraph"/>
        <w:numPr>
          <w:ilvl w:val="1"/>
          <w:numId w:val="4"/>
        </w:numPr>
        <w:spacing w:after="120"/>
        <w:ind w:left="720"/>
        <w:contextualSpacing w:val="0"/>
        <w:rPr>
          <w:bCs/>
        </w:rPr>
      </w:pPr>
      <w:r>
        <w:rPr>
          <w:bCs/>
        </w:rPr>
        <w:t xml:space="preserve">Now run the model with the solubility pump turned off.  This can be done by setting </w:t>
      </w:r>
      <w:r w:rsidR="007069F4" w:rsidRPr="007069F4">
        <w:rPr>
          <w:rFonts w:ascii="Courier New" w:hAnsi="Courier New" w:cs="Courier New"/>
          <w:bCs/>
          <w:sz w:val="20"/>
          <w:szCs w:val="20"/>
        </w:rPr>
        <w:t>PS[‘</w:t>
      </w:r>
      <w:proofErr w:type="spellStart"/>
      <w:r w:rsidRPr="007069F4">
        <w:rPr>
          <w:rFonts w:ascii="Courier New" w:hAnsi="Courier New" w:cs="Courier New"/>
          <w:bCs/>
          <w:sz w:val="20"/>
          <w:szCs w:val="20"/>
        </w:rPr>
        <w:t>DoOcnSol</w:t>
      </w:r>
      <w:proofErr w:type="spellEnd"/>
      <w:r w:rsidR="007069F4" w:rsidRPr="007069F4">
        <w:rPr>
          <w:rFonts w:ascii="Courier New" w:hAnsi="Courier New" w:cs="Courier New"/>
          <w:bCs/>
          <w:sz w:val="20"/>
          <w:szCs w:val="20"/>
        </w:rPr>
        <w:t>’]</w:t>
      </w:r>
      <w:r w:rsidRPr="007069F4">
        <w:rPr>
          <w:rFonts w:ascii="Courier New" w:hAnsi="Courier New" w:cs="Courier New"/>
          <w:bCs/>
          <w:sz w:val="20"/>
          <w:szCs w:val="20"/>
        </w:rPr>
        <w:t>=0</w:t>
      </w:r>
      <w:r>
        <w:rPr>
          <w:bCs/>
        </w:rPr>
        <w:t xml:space="preserve">, in </w:t>
      </w:r>
      <w:r w:rsidR="00927F40" w:rsidRPr="00927F40">
        <w:rPr>
          <w:rFonts w:ascii="Courier New" w:hAnsi="Courier New" w:cs="Courier New"/>
          <w:b/>
          <w:bCs/>
          <w:sz w:val="20"/>
          <w:szCs w:val="20"/>
        </w:rPr>
        <w:t>Section A</w:t>
      </w:r>
      <w:r>
        <w:rPr>
          <w:bCs/>
        </w:rPr>
        <w:t xml:space="preserve">.  (This sets the surface temperature and salinity in every box to the global average, so there are no variations in solubility). What is the strength of the DIC gradient, and what does it represent? </w:t>
      </w:r>
    </w:p>
    <w:p w14:paraId="2F9A74EB" w14:textId="014A0216" w:rsidR="007A58CD" w:rsidRPr="0065255D" w:rsidRDefault="001D04F5" w:rsidP="00927F40">
      <w:pPr>
        <w:pStyle w:val="ListParagraph"/>
        <w:numPr>
          <w:ilvl w:val="1"/>
          <w:numId w:val="4"/>
        </w:numPr>
        <w:spacing w:after="120"/>
        <w:ind w:left="720"/>
        <w:contextualSpacing w:val="0"/>
        <w:rPr>
          <w:bCs/>
        </w:rPr>
      </w:pPr>
      <w:r>
        <w:rPr>
          <w:bCs/>
        </w:rPr>
        <w:t>What fraction of the additional carbon storage in the deep ocean is due to biology, and what fraction is due to solubility?  How does your answer compare to what we saw in class lectures based on complex ocean general circulation models</w:t>
      </w:r>
      <w:r w:rsidR="00BB5BAA">
        <w:rPr>
          <w:bCs/>
        </w:rPr>
        <w:t xml:space="preserve"> (last figure on following page)</w:t>
      </w:r>
      <w:r>
        <w:rPr>
          <w:bCs/>
        </w:rPr>
        <w:t xml:space="preserve">?  </w:t>
      </w:r>
      <w:r w:rsidR="00D939EE">
        <w:rPr>
          <w:bCs/>
        </w:rPr>
        <w:t xml:space="preserve"> </w:t>
      </w:r>
    </w:p>
    <w:p w14:paraId="4F164CFA" w14:textId="77777777" w:rsidR="001D04F5" w:rsidRDefault="00C50D68" w:rsidP="00F13968">
      <w:pPr>
        <w:rPr>
          <w:b/>
          <w:bCs/>
        </w:rPr>
      </w:pPr>
      <w:r>
        <w:rPr>
          <w:b/>
          <w:bCs/>
        </w:rPr>
        <w:lastRenderedPageBreak/>
        <w:t>Model structure:</w:t>
      </w:r>
    </w:p>
    <w:tbl>
      <w:tblPr>
        <w:tblStyle w:val="TableGrid"/>
        <w:tblW w:w="0" w:type="auto"/>
        <w:tblLook w:val="04A0" w:firstRow="1" w:lastRow="0" w:firstColumn="1" w:lastColumn="0" w:noHBand="0" w:noVBand="1"/>
      </w:tblPr>
      <w:tblGrid>
        <w:gridCol w:w="4788"/>
        <w:gridCol w:w="445"/>
        <w:gridCol w:w="545"/>
        <w:gridCol w:w="3798"/>
      </w:tblGrid>
      <w:tr w:rsidR="00DA2C31" w14:paraId="6E4254FB" w14:textId="77777777" w:rsidTr="00DA2C31">
        <w:tc>
          <w:tcPr>
            <w:tcW w:w="5778" w:type="dxa"/>
            <w:gridSpan w:val="3"/>
            <w:tcBorders>
              <w:top w:val="nil"/>
              <w:left w:val="nil"/>
              <w:bottom w:val="nil"/>
              <w:right w:val="nil"/>
            </w:tcBorders>
          </w:tcPr>
          <w:p w14:paraId="3FFC12AA" w14:textId="01B83D7E" w:rsidR="00DA2C31" w:rsidRDefault="00DA2C31" w:rsidP="00F13968">
            <w:pPr>
              <w:rPr>
                <w:bCs/>
              </w:rPr>
            </w:pPr>
            <w:r>
              <w:rPr>
                <w:bCs/>
              </w:rPr>
              <w:t>The ocean model predicts the distribution of 3 variables:  nutrient concentrations (phosphate, P), dissolved inorganic carbon (C), and temperature (T, these are anomalies from a background mean state that is prescribed).  Each variable is predicted in each box (</w:t>
            </w:r>
            <w:proofErr w:type="spellStart"/>
            <w:r>
              <w:rPr>
                <w:bCs/>
              </w:rPr>
              <w:t>i</w:t>
            </w:r>
            <w:proofErr w:type="spellEnd"/>
            <w:r>
              <w:rPr>
                <w:bCs/>
              </w:rPr>
              <w:t>) according to a set of equations for the rate of change in that box:</w:t>
            </w:r>
          </w:p>
        </w:tc>
        <w:tc>
          <w:tcPr>
            <w:tcW w:w="3798" w:type="dxa"/>
            <w:tcBorders>
              <w:top w:val="nil"/>
              <w:left w:val="nil"/>
              <w:bottom w:val="nil"/>
              <w:right w:val="nil"/>
            </w:tcBorders>
          </w:tcPr>
          <w:p w14:paraId="04C2E537" w14:textId="77777777" w:rsidR="00DA2C31" w:rsidRDefault="00C85937" w:rsidP="00F13968">
            <w:r w:rsidRPr="00960CC1">
              <w:rPr>
                <w:noProof/>
                <w:position w:val="-30"/>
              </w:rPr>
              <w:object w:dxaOrig="2920" w:dyaOrig="680" w14:anchorId="74ECF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46.2pt;height:33.8pt;mso-width-percent:0;mso-height-percent:0;mso-width-percent:0;mso-height-percent:0" o:ole="">
                  <v:imagedata r:id="rId7" o:title=""/>
                </v:shape>
                <o:OLEObject Type="Embed" ProgID="Equation.3" ShapeID="_x0000_i1027" DrawAspect="Content" ObjectID="_1705169311" r:id="rId8"/>
              </w:object>
            </w:r>
          </w:p>
          <w:p w14:paraId="21C51A31" w14:textId="77777777" w:rsidR="00DA2C31" w:rsidRDefault="00C85937" w:rsidP="00F13968">
            <w:r w:rsidRPr="00960CC1">
              <w:rPr>
                <w:noProof/>
                <w:position w:val="-30"/>
              </w:rPr>
              <w:object w:dxaOrig="2420" w:dyaOrig="680" w14:anchorId="086B961F">
                <v:shape id="_x0000_i1026" type="#_x0000_t75" alt="" style="width:120.75pt;height:33.8pt;mso-width-percent:0;mso-height-percent:0;mso-width-percent:0;mso-height-percent:0" o:ole="">
                  <v:imagedata r:id="rId9" o:title=""/>
                </v:shape>
                <o:OLEObject Type="Embed" ProgID="Equation.3" ShapeID="_x0000_i1026" DrawAspect="Content" ObjectID="_1705169312" r:id="rId10"/>
              </w:object>
            </w:r>
          </w:p>
          <w:p w14:paraId="4464E8C3" w14:textId="218A805A" w:rsidR="00DA2C31" w:rsidRDefault="00C85937" w:rsidP="00F13968">
            <w:pPr>
              <w:rPr>
                <w:bCs/>
              </w:rPr>
            </w:pPr>
            <w:r w:rsidRPr="00960CC1">
              <w:rPr>
                <w:noProof/>
                <w:position w:val="-30"/>
              </w:rPr>
              <w:object w:dxaOrig="3560" w:dyaOrig="680" w14:anchorId="596AD02A">
                <v:shape id="_x0000_i1025" type="#_x0000_t75" alt="" style="width:177.8pt;height:33.8pt;mso-width-percent:0;mso-height-percent:0;mso-width-percent:0;mso-height-percent:0" o:ole="">
                  <v:imagedata r:id="rId11" o:title=""/>
                </v:shape>
                <o:OLEObject Type="Embed" ProgID="Equation.3" ShapeID="_x0000_i1025" DrawAspect="Content" ObjectID="_1705169313" r:id="rId12"/>
              </w:object>
            </w:r>
          </w:p>
        </w:tc>
      </w:tr>
      <w:tr w:rsidR="00DA2C31" w14:paraId="6F260FF1" w14:textId="77777777" w:rsidTr="00BB5BAA">
        <w:tc>
          <w:tcPr>
            <w:tcW w:w="5233" w:type="dxa"/>
            <w:gridSpan w:val="2"/>
            <w:tcBorders>
              <w:top w:val="nil"/>
              <w:left w:val="nil"/>
              <w:bottom w:val="nil"/>
              <w:right w:val="nil"/>
            </w:tcBorders>
          </w:tcPr>
          <w:p w14:paraId="5D934207" w14:textId="3F98BC42" w:rsidR="00DA2C31" w:rsidRDefault="00DA2C31">
            <w:pPr>
              <w:rPr>
                <w:b/>
                <w:bCs/>
                <w:sz w:val="16"/>
                <w:szCs w:val="16"/>
                <w:u w:val="single"/>
              </w:rPr>
            </w:pPr>
            <w:r>
              <w:rPr>
                <w:b/>
                <w:bCs/>
                <w:noProof/>
                <w:sz w:val="16"/>
                <w:szCs w:val="16"/>
                <w:u w:val="single"/>
              </w:rPr>
              <w:drawing>
                <wp:inline distT="0" distB="0" distL="0" distR="0" wp14:anchorId="617B06AB" wp14:editId="47BBAE07">
                  <wp:extent cx="3186332" cy="277884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238397" cy="2824255"/>
                          </a:xfrm>
                          <a:prstGeom prst="rect">
                            <a:avLst/>
                          </a:prstGeom>
                        </pic:spPr>
                      </pic:pic>
                    </a:graphicData>
                  </a:graphic>
                </wp:inline>
              </w:drawing>
            </w:r>
          </w:p>
        </w:tc>
        <w:tc>
          <w:tcPr>
            <w:tcW w:w="4343" w:type="dxa"/>
            <w:gridSpan w:val="2"/>
            <w:tcBorders>
              <w:top w:val="nil"/>
              <w:left w:val="nil"/>
              <w:bottom w:val="nil"/>
              <w:right w:val="nil"/>
            </w:tcBorders>
          </w:tcPr>
          <w:p w14:paraId="5DE8F82C" w14:textId="77777777" w:rsidR="00DA2C31" w:rsidRDefault="00DA2C31" w:rsidP="00DA2C31">
            <w:pPr>
              <w:autoSpaceDE w:val="0"/>
              <w:autoSpaceDN w:val="0"/>
              <w:adjustRightInd w:val="0"/>
              <w:spacing w:after="80"/>
              <w:rPr>
                <w:rFonts w:ascii="Gill Sans" w:hAnsi="Gill Sans" w:cs="Gill Sans"/>
                <w:color w:val="414141"/>
              </w:rPr>
            </w:pPr>
          </w:p>
          <w:p w14:paraId="40107729" w14:textId="7976CED0"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1=Antarctic</w:t>
            </w:r>
          </w:p>
          <w:p w14:paraId="52B840B3"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2=Subantarctic</w:t>
            </w:r>
          </w:p>
          <w:p w14:paraId="019706F2"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3=Low latitude surface</w:t>
            </w:r>
          </w:p>
          <w:p w14:paraId="19F22551"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4=North Atlantic surface</w:t>
            </w:r>
          </w:p>
          <w:p w14:paraId="798E5F21"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5=Thermocline</w:t>
            </w:r>
          </w:p>
          <w:p w14:paraId="65E45E00" w14:textId="77777777" w:rsidR="00DA2C31" w:rsidRPr="00DA2C31" w:rsidRDefault="00DA2C31" w:rsidP="00DA2C31">
            <w:pPr>
              <w:autoSpaceDE w:val="0"/>
              <w:autoSpaceDN w:val="0"/>
              <w:adjustRightInd w:val="0"/>
              <w:spacing w:after="80"/>
              <w:rPr>
                <w:rFonts w:ascii="Gill Sans" w:hAnsi="Gill Sans" w:cs="Gill Sans"/>
                <w:color w:val="414141"/>
              </w:rPr>
            </w:pPr>
            <w:r w:rsidRPr="00DA2C31">
              <w:rPr>
                <w:rFonts w:ascii="Gill Sans" w:hAnsi="Gill Sans" w:cs="Gill Sans"/>
                <w:color w:val="414141"/>
              </w:rPr>
              <w:t>6=NADW</w:t>
            </w:r>
          </w:p>
          <w:p w14:paraId="7558EA6B" w14:textId="04F7028A" w:rsidR="00DA2C31" w:rsidRDefault="00DA2C31" w:rsidP="00DA2C31">
            <w:pPr>
              <w:rPr>
                <w:b/>
                <w:bCs/>
                <w:sz w:val="16"/>
                <w:szCs w:val="16"/>
                <w:u w:val="single"/>
              </w:rPr>
            </w:pPr>
            <w:r w:rsidRPr="00DA2C31">
              <w:rPr>
                <w:rFonts w:ascii="Gill Sans" w:hAnsi="Gill Sans" w:cs="Gill Sans"/>
                <w:color w:val="414141"/>
              </w:rPr>
              <w:t>7=AABW (+NPDW)</w:t>
            </w:r>
          </w:p>
        </w:tc>
      </w:tr>
      <w:tr w:rsidR="00DA2C31" w14:paraId="2AECFE5B" w14:textId="77777777" w:rsidTr="00BB5BAA">
        <w:tc>
          <w:tcPr>
            <w:tcW w:w="4788" w:type="dxa"/>
            <w:tcBorders>
              <w:top w:val="nil"/>
              <w:left w:val="nil"/>
              <w:bottom w:val="nil"/>
              <w:right w:val="nil"/>
            </w:tcBorders>
          </w:tcPr>
          <w:p w14:paraId="0D380A49" w14:textId="0E61C821" w:rsidR="00DA2C31" w:rsidRDefault="00DA2C31">
            <w:pPr>
              <w:rPr>
                <w:noProof/>
              </w:rPr>
            </w:pPr>
            <w:r w:rsidRPr="00B87842">
              <w:rPr>
                <w:b/>
                <w:bCs/>
                <w:sz w:val="16"/>
                <w:szCs w:val="16"/>
                <w:u w:val="single"/>
              </w:rPr>
              <w:drawing>
                <wp:inline distT="0" distB="0" distL="0" distR="0" wp14:anchorId="58474453" wp14:editId="09EB504E">
                  <wp:extent cx="2736166" cy="378853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2795426" cy="3870590"/>
                          </a:xfrm>
                          <a:prstGeom prst="rect">
                            <a:avLst/>
                          </a:prstGeom>
                        </pic:spPr>
                      </pic:pic>
                    </a:graphicData>
                  </a:graphic>
                </wp:inline>
              </w:drawing>
            </w:r>
          </w:p>
        </w:tc>
        <w:tc>
          <w:tcPr>
            <w:tcW w:w="4788" w:type="dxa"/>
            <w:gridSpan w:val="3"/>
            <w:tcBorders>
              <w:top w:val="nil"/>
              <w:left w:val="nil"/>
              <w:bottom w:val="nil"/>
              <w:right w:val="nil"/>
            </w:tcBorders>
          </w:tcPr>
          <w:p w14:paraId="0779947D" w14:textId="77777777" w:rsidR="00BB5BAA" w:rsidRDefault="00BB5BAA"/>
          <w:p w14:paraId="39EF4313" w14:textId="651D0856" w:rsidR="00DA2C31" w:rsidRDefault="00DA2C31">
            <w:pPr>
              <w:rPr>
                <w:noProof/>
              </w:rPr>
            </w:pPr>
            <w:r w:rsidRPr="00181049">
              <w:t>F</w:t>
            </w:r>
            <w:r w:rsidRPr="00B87842">
              <w:t>igure</w:t>
            </w:r>
            <w:r w:rsidRPr="00181049">
              <w:t xml:space="preserve"> </w:t>
            </w:r>
            <w:r w:rsidRPr="00B87842">
              <w:t>4</w:t>
            </w:r>
            <w:r w:rsidRPr="00181049">
              <w:t xml:space="preserve"> from Murnane et al. 1999, Global Biogeochemical Cycles</w:t>
            </w:r>
            <w:r w:rsidR="00BB5BAA">
              <w:t>:</w:t>
            </w:r>
            <w:r w:rsidRPr="00B87842">
              <w:t xml:space="preserve"> Global</w:t>
            </w:r>
            <w:r w:rsidRPr="00181049">
              <w:t xml:space="preserve"> average </w:t>
            </w:r>
            <w:r w:rsidRPr="00B87842">
              <w:t>DIC([</w:t>
            </w:r>
            <w:proofErr w:type="spellStart"/>
            <w:r w:rsidRPr="00181049">
              <w:t>u</w:t>
            </w:r>
            <w:r w:rsidRPr="00B87842">
              <w:t>mol</w:t>
            </w:r>
            <w:proofErr w:type="spellEnd"/>
            <w:r w:rsidRPr="00181049">
              <w:t xml:space="preserve"> </w:t>
            </w:r>
            <w:r w:rsidRPr="00B87842">
              <w:t>kg-l)</w:t>
            </w:r>
            <w:r w:rsidRPr="00181049">
              <w:t xml:space="preserve"> </w:t>
            </w:r>
            <w:r w:rsidRPr="00B87842">
              <w:t>profiles</w:t>
            </w:r>
            <w:r w:rsidRPr="00181049">
              <w:t xml:space="preserve"> </w:t>
            </w:r>
            <w:r w:rsidRPr="00B87842">
              <w:t>for</w:t>
            </w:r>
            <w:r w:rsidRPr="00181049">
              <w:t xml:space="preserve"> </w:t>
            </w:r>
            <w:r w:rsidRPr="00B87842">
              <w:t>the</w:t>
            </w:r>
            <w:r w:rsidRPr="00181049">
              <w:t xml:space="preserve"> p</w:t>
            </w:r>
            <w:r w:rsidRPr="00B87842">
              <w:t>re</w:t>
            </w:r>
            <w:r w:rsidRPr="00181049">
              <w:t xml:space="preserve">industrial solubility </w:t>
            </w:r>
            <w:r w:rsidRPr="00B87842">
              <w:t>model</w:t>
            </w:r>
            <w:r w:rsidRPr="00181049">
              <w:t xml:space="preserve"> </w:t>
            </w:r>
            <w:r w:rsidRPr="00B87842">
              <w:t>and</w:t>
            </w:r>
            <w:r w:rsidRPr="00181049">
              <w:t xml:space="preserve"> Ocean Biogeochemistry Model (</w:t>
            </w:r>
            <w:r w:rsidRPr="00B87842">
              <w:t>OBM</w:t>
            </w:r>
            <w:r w:rsidRPr="00181049">
              <w:t xml:space="preserve">) </w:t>
            </w:r>
            <w:r w:rsidRPr="00B87842">
              <w:t>and</w:t>
            </w:r>
            <w:r w:rsidRPr="00181049">
              <w:t xml:space="preserve"> </w:t>
            </w:r>
            <w:r w:rsidRPr="00B87842">
              <w:t>for</w:t>
            </w:r>
            <w:r w:rsidRPr="00181049">
              <w:t xml:space="preserve"> </w:t>
            </w:r>
            <w:r w:rsidRPr="00B87842">
              <w:t>an</w:t>
            </w:r>
            <w:r w:rsidRPr="00181049">
              <w:t xml:space="preserve"> </w:t>
            </w:r>
            <w:r w:rsidRPr="00B87842">
              <w:t>averag</w:t>
            </w:r>
            <w:r w:rsidRPr="00181049">
              <w:t>e o</w:t>
            </w:r>
            <w:r w:rsidRPr="00B87842">
              <w:t>f Global</w:t>
            </w:r>
            <w:r w:rsidRPr="00181049">
              <w:t xml:space="preserve"> </w:t>
            </w:r>
            <w:r w:rsidRPr="00B87842">
              <w:t>Ocean</w:t>
            </w:r>
            <w:r w:rsidRPr="00181049">
              <w:t xml:space="preserve"> </w:t>
            </w:r>
            <w:r w:rsidRPr="00B87842">
              <w:t>Sections</w:t>
            </w:r>
            <w:r w:rsidRPr="00181049">
              <w:t xml:space="preserve"> </w:t>
            </w:r>
            <w:r w:rsidRPr="00B87842">
              <w:t>Study</w:t>
            </w:r>
            <w:r w:rsidRPr="00181049">
              <w:t xml:space="preserve"> </w:t>
            </w:r>
            <w:r w:rsidRPr="00B87842">
              <w:t>(GEOSECS)</w:t>
            </w:r>
            <w:r w:rsidRPr="00181049">
              <w:t xml:space="preserve"> </w:t>
            </w:r>
            <w:r w:rsidRPr="00B87842">
              <w:t>analyses</w:t>
            </w:r>
            <w:r>
              <w:t>.</w:t>
            </w:r>
          </w:p>
        </w:tc>
      </w:tr>
    </w:tbl>
    <w:p w14:paraId="6075DAA2" w14:textId="3E5A586B" w:rsidR="004D212B" w:rsidRPr="00DA2C31" w:rsidRDefault="004D212B">
      <w:pPr>
        <w:rPr>
          <w:sz w:val="16"/>
          <w:szCs w:val="16"/>
          <w:u w:val="single"/>
        </w:rPr>
      </w:pPr>
    </w:p>
    <w:sectPr w:rsidR="004D212B" w:rsidRPr="00DA2C31" w:rsidSect="00454783">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D3AF4" w14:textId="77777777" w:rsidR="00C85937" w:rsidRDefault="00C85937" w:rsidP="00BE7C42">
      <w:pPr>
        <w:spacing w:after="0"/>
      </w:pPr>
      <w:r>
        <w:separator/>
      </w:r>
    </w:p>
  </w:endnote>
  <w:endnote w:type="continuationSeparator" w:id="0">
    <w:p w14:paraId="1B413FE3" w14:textId="77777777" w:rsidR="00C85937" w:rsidRDefault="00C85937" w:rsidP="00BE7C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Gill Sans">
    <w:panose1 w:val="020B0502020104020203"/>
    <w:charset w:val="B1"/>
    <w:family w:val="swiss"/>
    <w:pitch w:val="variable"/>
    <w:sig w:usb0="80000A67" w:usb1="00000000" w:usb2="00000000" w:usb3="00000000" w:csb0="000001F7"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68F0" w14:textId="77777777" w:rsidR="00BE7C42" w:rsidRDefault="00BE7C42" w:rsidP="00BE7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FFE1AB" w14:textId="77777777" w:rsidR="00BE7C42" w:rsidRDefault="00BE7C42" w:rsidP="00BE7C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496F" w14:textId="77777777" w:rsidR="00BE7C42" w:rsidRDefault="00BE7C42" w:rsidP="00BE7C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4A15">
      <w:rPr>
        <w:rStyle w:val="PageNumber"/>
        <w:noProof/>
      </w:rPr>
      <w:t>1</w:t>
    </w:r>
    <w:r>
      <w:rPr>
        <w:rStyle w:val="PageNumber"/>
      </w:rPr>
      <w:fldChar w:fldCharType="end"/>
    </w:r>
  </w:p>
  <w:p w14:paraId="73E1F6D5" w14:textId="6EA9252D" w:rsidR="00BE7C42" w:rsidRDefault="00927F40" w:rsidP="00BE7C42">
    <w:pPr>
      <w:pStyle w:val="Footer"/>
      <w:ind w:right="360"/>
    </w:pPr>
    <w:r>
      <w:t>588 – PS3, Ocean Box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01D5" w14:textId="77777777" w:rsidR="00C85937" w:rsidRDefault="00C85937" w:rsidP="00BE7C42">
      <w:pPr>
        <w:spacing w:after="0"/>
      </w:pPr>
      <w:r>
        <w:separator/>
      </w:r>
    </w:p>
  </w:footnote>
  <w:footnote w:type="continuationSeparator" w:id="0">
    <w:p w14:paraId="44CAED4D" w14:textId="77777777" w:rsidR="00C85937" w:rsidRDefault="00C85937" w:rsidP="00BE7C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0E2E"/>
    <w:multiLevelType w:val="hybridMultilevel"/>
    <w:tmpl w:val="FCD2A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63C7F"/>
    <w:multiLevelType w:val="hybridMultilevel"/>
    <w:tmpl w:val="E3806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917B7"/>
    <w:multiLevelType w:val="hybridMultilevel"/>
    <w:tmpl w:val="15CEDE9E"/>
    <w:lvl w:ilvl="0" w:tplc="0A0CC776">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51371"/>
    <w:multiLevelType w:val="hybridMultilevel"/>
    <w:tmpl w:val="A32E9C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Global Biogeochem Cycl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ndNoteLibrary-Converted.enl&lt;/item&gt;&lt;/Libraries&gt;&lt;/ENLibraries&gt;"/>
  </w:docVars>
  <w:rsids>
    <w:rsidRoot w:val="00D371D7"/>
    <w:rsid w:val="00012784"/>
    <w:rsid w:val="00021D81"/>
    <w:rsid w:val="00066A0A"/>
    <w:rsid w:val="000C3081"/>
    <w:rsid w:val="000F224C"/>
    <w:rsid w:val="000F585F"/>
    <w:rsid w:val="0017568E"/>
    <w:rsid w:val="00181049"/>
    <w:rsid w:val="0018773D"/>
    <w:rsid w:val="001A0442"/>
    <w:rsid w:val="001A2C3B"/>
    <w:rsid w:val="001B7796"/>
    <w:rsid w:val="001D04F5"/>
    <w:rsid w:val="001E7BC4"/>
    <w:rsid w:val="002174A0"/>
    <w:rsid w:val="002A65D3"/>
    <w:rsid w:val="002F44AA"/>
    <w:rsid w:val="0035199D"/>
    <w:rsid w:val="00354C08"/>
    <w:rsid w:val="00365A38"/>
    <w:rsid w:val="003A6A4F"/>
    <w:rsid w:val="00405449"/>
    <w:rsid w:val="00454783"/>
    <w:rsid w:val="00485C0C"/>
    <w:rsid w:val="004B0782"/>
    <w:rsid w:val="004D212B"/>
    <w:rsid w:val="004D67AC"/>
    <w:rsid w:val="004E2A07"/>
    <w:rsid w:val="00506F83"/>
    <w:rsid w:val="00541864"/>
    <w:rsid w:val="00566645"/>
    <w:rsid w:val="00593229"/>
    <w:rsid w:val="005A1335"/>
    <w:rsid w:val="005B3253"/>
    <w:rsid w:val="005E45CA"/>
    <w:rsid w:val="0060554F"/>
    <w:rsid w:val="00632C50"/>
    <w:rsid w:val="0065255D"/>
    <w:rsid w:val="00695BEA"/>
    <w:rsid w:val="006D1E93"/>
    <w:rsid w:val="007069F4"/>
    <w:rsid w:val="007A58CD"/>
    <w:rsid w:val="007C09F6"/>
    <w:rsid w:val="007D3CAA"/>
    <w:rsid w:val="007E04DE"/>
    <w:rsid w:val="007F0B01"/>
    <w:rsid w:val="00816508"/>
    <w:rsid w:val="0082194E"/>
    <w:rsid w:val="00843560"/>
    <w:rsid w:val="00857328"/>
    <w:rsid w:val="008943DA"/>
    <w:rsid w:val="008A6C0E"/>
    <w:rsid w:val="008E3862"/>
    <w:rsid w:val="008E5045"/>
    <w:rsid w:val="008F4F6B"/>
    <w:rsid w:val="0090637C"/>
    <w:rsid w:val="00927F40"/>
    <w:rsid w:val="00951436"/>
    <w:rsid w:val="0096072C"/>
    <w:rsid w:val="00960CC1"/>
    <w:rsid w:val="009625D5"/>
    <w:rsid w:val="009846ED"/>
    <w:rsid w:val="009A32EF"/>
    <w:rsid w:val="009E20C7"/>
    <w:rsid w:val="00A44A8E"/>
    <w:rsid w:val="00AA7021"/>
    <w:rsid w:val="00AF57D6"/>
    <w:rsid w:val="00B00A77"/>
    <w:rsid w:val="00B06B1F"/>
    <w:rsid w:val="00B70C8D"/>
    <w:rsid w:val="00B74783"/>
    <w:rsid w:val="00B87842"/>
    <w:rsid w:val="00BB0E60"/>
    <w:rsid w:val="00BB5BAA"/>
    <w:rsid w:val="00BB6CC6"/>
    <w:rsid w:val="00BC4A15"/>
    <w:rsid w:val="00BD4DEB"/>
    <w:rsid w:val="00BE7C42"/>
    <w:rsid w:val="00C50D68"/>
    <w:rsid w:val="00C74118"/>
    <w:rsid w:val="00C85937"/>
    <w:rsid w:val="00CA3396"/>
    <w:rsid w:val="00CC3B1E"/>
    <w:rsid w:val="00CE16E0"/>
    <w:rsid w:val="00CE53E1"/>
    <w:rsid w:val="00D103CC"/>
    <w:rsid w:val="00D261FB"/>
    <w:rsid w:val="00D3374E"/>
    <w:rsid w:val="00D371D7"/>
    <w:rsid w:val="00D92334"/>
    <w:rsid w:val="00D939EE"/>
    <w:rsid w:val="00D96C76"/>
    <w:rsid w:val="00DA2C31"/>
    <w:rsid w:val="00E2347F"/>
    <w:rsid w:val="00E451BD"/>
    <w:rsid w:val="00E45435"/>
    <w:rsid w:val="00E67375"/>
    <w:rsid w:val="00E8543A"/>
    <w:rsid w:val="00EE2AA4"/>
    <w:rsid w:val="00F030F9"/>
    <w:rsid w:val="00F13968"/>
    <w:rsid w:val="00FD4A5D"/>
    <w:rsid w:val="00FF4DA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EFD2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C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229"/>
    <w:pPr>
      <w:ind w:left="720"/>
      <w:contextualSpacing/>
    </w:pPr>
  </w:style>
  <w:style w:type="paragraph" w:styleId="BalloonText">
    <w:name w:val="Balloon Text"/>
    <w:basedOn w:val="Normal"/>
    <w:link w:val="BalloonTextChar"/>
    <w:uiPriority w:val="99"/>
    <w:semiHidden/>
    <w:unhideWhenUsed/>
    <w:rsid w:val="007C09F6"/>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9F6"/>
    <w:rPr>
      <w:rFonts w:ascii="Lucida Grande" w:hAnsi="Lucida Grande"/>
      <w:sz w:val="18"/>
      <w:szCs w:val="18"/>
    </w:rPr>
  </w:style>
  <w:style w:type="character" w:styleId="CommentReference">
    <w:name w:val="annotation reference"/>
    <w:basedOn w:val="DefaultParagraphFont"/>
    <w:uiPriority w:val="99"/>
    <w:semiHidden/>
    <w:unhideWhenUsed/>
    <w:rsid w:val="007C09F6"/>
    <w:rPr>
      <w:sz w:val="18"/>
      <w:szCs w:val="18"/>
    </w:rPr>
  </w:style>
  <w:style w:type="paragraph" w:styleId="CommentText">
    <w:name w:val="annotation text"/>
    <w:basedOn w:val="Normal"/>
    <w:link w:val="CommentTextChar"/>
    <w:uiPriority w:val="99"/>
    <w:semiHidden/>
    <w:unhideWhenUsed/>
    <w:rsid w:val="007C09F6"/>
  </w:style>
  <w:style w:type="character" w:customStyle="1" w:styleId="CommentTextChar">
    <w:name w:val="Comment Text Char"/>
    <w:basedOn w:val="DefaultParagraphFont"/>
    <w:link w:val="CommentText"/>
    <w:uiPriority w:val="99"/>
    <w:semiHidden/>
    <w:rsid w:val="007C09F6"/>
  </w:style>
  <w:style w:type="paragraph" w:styleId="CommentSubject">
    <w:name w:val="annotation subject"/>
    <w:basedOn w:val="CommentText"/>
    <w:next w:val="CommentText"/>
    <w:link w:val="CommentSubjectChar"/>
    <w:uiPriority w:val="99"/>
    <w:semiHidden/>
    <w:unhideWhenUsed/>
    <w:rsid w:val="007C09F6"/>
    <w:rPr>
      <w:b/>
      <w:bCs/>
      <w:sz w:val="20"/>
      <w:szCs w:val="20"/>
    </w:rPr>
  </w:style>
  <w:style w:type="character" w:customStyle="1" w:styleId="CommentSubjectChar">
    <w:name w:val="Comment Subject Char"/>
    <w:basedOn w:val="CommentTextChar"/>
    <w:link w:val="CommentSubject"/>
    <w:uiPriority w:val="99"/>
    <w:semiHidden/>
    <w:rsid w:val="007C09F6"/>
    <w:rPr>
      <w:b/>
      <w:bCs/>
      <w:sz w:val="20"/>
      <w:szCs w:val="20"/>
    </w:rPr>
  </w:style>
  <w:style w:type="paragraph" w:styleId="Footer">
    <w:name w:val="footer"/>
    <w:basedOn w:val="Normal"/>
    <w:link w:val="FooterChar"/>
    <w:uiPriority w:val="99"/>
    <w:unhideWhenUsed/>
    <w:rsid w:val="00BE7C42"/>
    <w:pPr>
      <w:tabs>
        <w:tab w:val="center" w:pos="4320"/>
        <w:tab w:val="right" w:pos="8640"/>
      </w:tabs>
      <w:spacing w:after="0"/>
    </w:pPr>
  </w:style>
  <w:style w:type="character" w:customStyle="1" w:styleId="FooterChar">
    <w:name w:val="Footer Char"/>
    <w:basedOn w:val="DefaultParagraphFont"/>
    <w:link w:val="Footer"/>
    <w:uiPriority w:val="99"/>
    <w:rsid w:val="00BE7C42"/>
  </w:style>
  <w:style w:type="character" w:styleId="PageNumber">
    <w:name w:val="page number"/>
    <w:basedOn w:val="DefaultParagraphFont"/>
    <w:uiPriority w:val="99"/>
    <w:semiHidden/>
    <w:unhideWhenUsed/>
    <w:rsid w:val="00BE7C42"/>
  </w:style>
  <w:style w:type="paragraph" w:styleId="Header">
    <w:name w:val="header"/>
    <w:basedOn w:val="Normal"/>
    <w:link w:val="HeaderChar"/>
    <w:uiPriority w:val="99"/>
    <w:unhideWhenUsed/>
    <w:rsid w:val="00927F40"/>
    <w:pPr>
      <w:tabs>
        <w:tab w:val="center" w:pos="4680"/>
        <w:tab w:val="right" w:pos="9360"/>
      </w:tabs>
      <w:spacing w:after="0"/>
    </w:pPr>
  </w:style>
  <w:style w:type="character" w:customStyle="1" w:styleId="HeaderChar">
    <w:name w:val="Header Char"/>
    <w:basedOn w:val="DefaultParagraphFont"/>
    <w:link w:val="Header"/>
    <w:uiPriority w:val="99"/>
    <w:rsid w:val="00927F40"/>
  </w:style>
  <w:style w:type="table" w:styleId="TableGrid">
    <w:name w:val="Table Grid"/>
    <w:basedOn w:val="TableNormal"/>
    <w:uiPriority w:val="59"/>
    <w:rsid w:val="00DA2C3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31069">
      <w:bodyDiv w:val="1"/>
      <w:marLeft w:val="0"/>
      <w:marRight w:val="0"/>
      <w:marTop w:val="0"/>
      <w:marBottom w:val="0"/>
      <w:divBdr>
        <w:top w:val="none" w:sz="0" w:space="0" w:color="auto"/>
        <w:left w:val="none" w:sz="0" w:space="0" w:color="auto"/>
        <w:bottom w:val="none" w:sz="0" w:space="0" w:color="auto"/>
        <w:right w:val="none" w:sz="0" w:space="0" w:color="auto"/>
      </w:divBdr>
    </w:div>
    <w:div w:id="909273692">
      <w:bodyDiv w:val="1"/>
      <w:marLeft w:val="0"/>
      <w:marRight w:val="0"/>
      <w:marTop w:val="0"/>
      <w:marBottom w:val="0"/>
      <w:divBdr>
        <w:top w:val="none" w:sz="0" w:space="0" w:color="auto"/>
        <w:left w:val="none" w:sz="0" w:space="0" w:color="auto"/>
        <w:bottom w:val="none" w:sz="0" w:space="0" w:color="auto"/>
        <w:right w:val="none" w:sz="0" w:space="0" w:color="auto"/>
      </w:divBdr>
      <w:divsChild>
        <w:div w:id="1467166021">
          <w:marLeft w:val="0"/>
          <w:marRight w:val="0"/>
          <w:marTop w:val="0"/>
          <w:marBottom w:val="0"/>
          <w:divBdr>
            <w:top w:val="none" w:sz="0" w:space="0" w:color="auto"/>
            <w:left w:val="none" w:sz="0" w:space="0" w:color="auto"/>
            <w:bottom w:val="none" w:sz="0" w:space="0" w:color="auto"/>
            <w:right w:val="none" w:sz="0" w:space="0" w:color="auto"/>
          </w:divBdr>
          <w:divsChild>
            <w:div w:id="231621292">
              <w:marLeft w:val="0"/>
              <w:marRight w:val="0"/>
              <w:marTop w:val="0"/>
              <w:marBottom w:val="0"/>
              <w:divBdr>
                <w:top w:val="none" w:sz="0" w:space="0" w:color="auto"/>
                <w:left w:val="none" w:sz="0" w:space="0" w:color="auto"/>
                <w:bottom w:val="none" w:sz="0" w:space="0" w:color="auto"/>
                <w:right w:val="none" w:sz="0" w:space="0" w:color="auto"/>
              </w:divBdr>
              <w:divsChild>
                <w:div w:id="4797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Deutsch</dc:creator>
  <cp:keywords/>
  <cp:lastModifiedBy>Abby Swann She.Her</cp:lastModifiedBy>
  <cp:revision>6</cp:revision>
  <dcterms:created xsi:type="dcterms:W3CDTF">2022-02-01T00:19:00Z</dcterms:created>
  <dcterms:modified xsi:type="dcterms:W3CDTF">2022-02-01T05:22:00Z</dcterms:modified>
</cp:coreProperties>
</file>