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  <w:highlight w:val="none"/>
        </w:rPr>
      </w:pP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eastAsia="Arial" w:cs="Arial"/>
          <w:highlight w:val="none"/>
        </w:rPr>
      </w:r>
      <w:r>
        <w:rPr>
          <w:rStyle w:val="1270"/>
          <w:rFonts w:ascii="Arial" w:hAnsi="Arial" w:cs="Arial"/>
          <w:highlight w:val="none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</w:rPr>
      </w:pPr>
      <w:r>
        <w:rPr>
          <w:rStyle w:val="1270"/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4011" cy="287673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67769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274010" cy="28767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5.28pt;height:226.5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Style w:val="1270"/>
          <w:rFonts w:ascii="Arial" w:hAnsi="Arial" w:eastAsia="Arial" w:cs="Arial"/>
        </w:rPr>
      </w:r>
      <w:r>
        <w:rPr>
          <w:rStyle w:val="1270"/>
          <w:rFonts w:ascii="Arial" w:hAnsi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eastAsia="Arial" w:cs="Arial"/>
          <w:highlight w:val="none"/>
          <w:lang w:val="en-US"/>
        </w:rPr>
      </w:pPr>
      <w:r>
        <w:rPr>
          <w:rStyle w:val="1270"/>
          <w:rFonts w:ascii="Arial" w:hAnsi="Arial" w:eastAsia="Arial" w:cs="Arial"/>
          <w:lang w:val="es-ES"/>
        </w:rPr>
        <w:t xml:space="preserve">NetZero</w:t>
      </w:r>
      <w:r>
        <w:rPr>
          <w:rStyle w:val="1270"/>
          <w:rFonts w:ascii="Arial" w:hAnsi="Arial" w:eastAsia="Arial" w:cs="Arial"/>
          <w:lang w:val="en-US"/>
        </w:rPr>
      </w:r>
      <w:r>
        <w:rPr>
          <w:rStyle w:val="1270"/>
          <w:rFonts w:ascii="Arial" w:hAnsi="Arial" w:cs="Arial"/>
        </w:rPr>
      </w:r>
    </w:p>
    <w:p>
      <w:pPr>
        <w:pBdr/>
        <w:spacing/>
        <w:ind/>
        <w:jc w:val="center"/>
        <w:rPr>
          <w:rStyle w:val="1270"/>
          <w:rFonts w:ascii="Arial" w:hAnsi="Arial" w:cs="Arial"/>
          <w:sz w:val="36"/>
          <w:szCs w:val="14"/>
        </w:rPr>
      </w:pPr>
      <w:r>
        <w:rPr>
          <w:rStyle w:val="1270"/>
          <w:rFonts w:ascii="Arial" w:hAnsi="Arial" w:eastAsia="Arial" w:cs="Arial"/>
          <w:sz w:val="36"/>
          <w:szCs w:val="14"/>
          <w:highlight w:val="none"/>
          <w:lang w:val="en-US"/>
        </w:rPr>
      </w:r>
      <w:hyperlink r:id="rId18" w:tooltip="https://ecodigithon.github.io/NetZero/" w:history="1">
        <w:r>
          <w:rPr>
            <w:rStyle w:val="1292"/>
            <w:rFonts w:ascii="Arial" w:hAnsi="Arial" w:eastAsia="Arial" w:cs="Arial"/>
            <w:sz w:val="36"/>
            <w:szCs w:val="14"/>
            <w:highlight w:val="none"/>
            <w:lang w:val="en-US"/>
          </w:rPr>
        </w:r>
        <w:r>
          <w:rPr>
            <w:rStyle w:val="1292"/>
            <w:rFonts w:ascii="Arial" w:hAnsi="Arial" w:eastAsia="Arial" w:cs="Arial"/>
            <w:sz w:val="36"/>
            <w:szCs w:val="14"/>
            <w:highlight w:val="none"/>
            <w:lang w:val="en-US"/>
          </w:rPr>
          <w:t xml:space="preserve">https://ecodigithon.github.io/NetZero</w:t>
        </w:r>
        <w:r>
          <w:rPr>
            <w:rStyle w:val="1292"/>
            <w:rFonts w:ascii="Arial" w:hAnsi="Arial" w:eastAsia="Arial" w:cs="Arial"/>
            <w:sz w:val="36"/>
            <w:szCs w:val="14"/>
            <w:highlight w:val="none"/>
            <w:lang w:val="en-US"/>
          </w:rPr>
        </w:r>
        <w:r>
          <w:rPr>
            <w:rStyle w:val="1292"/>
            <w:rFonts w:ascii="Arial" w:hAnsi="Arial" w:eastAsia="Arial" w:cs="Arial"/>
            <w:sz w:val="36"/>
            <w:szCs w:val="14"/>
            <w:highlight w:val="none"/>
            <w:lang w:val="en-US"/>
          </w:rPr>
        </w:r>
      </w:hyperlink>
      <w:r/>
      <w:r>
        <w:rPr>
          <w:rStyle w:val="1270"/>
          <w:rFonts w:ascii="Arial" w:hAnsi="Arial" w:eastAsia="Arial" w:cs="Arial"/>
          <w:sz w:val="36"/>
          <w:szCs w:val="14"/>
          <w:highlight w:val="none"/>
          <w:lang w:val="en-US"/>
        </w:rPr>
      </w:r>
    </w:p>
    <w:p>
      <w:pPr>
        <w:pStyle w:val="1271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530225</wp:posOffset>
                </wp:positionH>
                <wp:positionV relativeFrom="paragraph">
                  <wp:posOffset>199308</wp:posOffset>
                </wp:positionV>
                <wp:extent cx="5057960" cy="141169"/>
                <wp:effectExtent l="0" t="0" r="0" b="0"/>
                <wp:wrapNone/>
                <wp:docPr id="9" name="Elemento grafico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660515" name="Elemento grafico 20616605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>
                          <a:extLst>
                            <a:ext uri="{96DAC541-7B7A-43D3-8B79-37D633B846F1}">
                              <asvg:svgBlip xmlns:asvg="http://schemas.microsoft.com/office/drawing/2016/SVG/main" r:embed="rId20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057960" cy="141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251658240;o:allowoverlap:true;o:allowincell:true;mso-position-horizontal-relative:margin;margin-left:41.75pt;mso-position-horizontal:absolute;mso-position-vertical-relative:text;margin-top:15.69pt;mso-position-vertical:absolute;width:398.26pt;height:11.12pt;mso-wrap-distance-left:9.00pt;mso-wrap-distance-top:0.00pt;mso-wrap-distance-right:9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n-US"/>
        </w:rPr>
      </w:r>
      <w:r>
        <w:rPr>
          <w:rFonts w:ascii="Arial" w:hAnsi="Arial" w:cs="Arial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Autores:</w:t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Iván Jimenez</w:t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Diego Rojo</w:t>
      </w:r>
      <w:r>
        <w:rPr>
          <w:rFonts w:ascii="Arial" w:hAnsi="Arial" w:eastAsia="Arial" w:cs="Arial"/>
          <w:b/>
          <w:bCs/>
          <w:sz w:val="28"/>
          <w:szCs w:val="28"/>
          <w:lang w:val="en-US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lang w:val="en-US"/>
        </w:rPr>
        <w:t xml:space="preserve">Aitor de Santos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lang w:val="en-US"/>
        </w:rPr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1008" behindDoc="0" locked="0" layoutInCell="1" allowOverlap="1">
                <wp:simplePos x="0" y="0"/>
                <wp:positionH relativeFrom="column">
                  <wp:posOffset>1197045</wp:posOffset>
                </wp:positionH>
                <wp:positionV relativeFrom="paragraph">
                  <wp:posOffset>1692843</wp:posOffset>
                </wp:positionV>
                <wp:extent cx="1652610" cy="590218"/>
                <wp:effectExtent l="0" t="0" r="0" b="0"/>
                <wp:wrapNone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12812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1652609" cy="5902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251691008;o:allowoverlap:true;o:allowincell:true;mso-position-horizontal-relative:text;margin-left:94.26pt;mso-position-horizontal:absolute;mso-position-vertical-relative:text;margin-top:133.29pt;mso-position-vertical:absolute;width:130.13pt;height:46.47pt;mso-wrap-distance-left:9.07pt;mso-wrap-distance-top:0.00pt;mso-wrap-distance-right:9.07pt;mso-wrap-distance-bottom:0.00pt;rotation:0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5104" behindDoc="0" locked="0" layoutInCell="1" allowOverlap="1">
                <wp:simplePos x="0" y="0"/>
                <wp:positionH relativeFrom="column">
                  <wp:posOffset>-93662</wp:posOffset>
                </wp:positionH>
                <wp:positionV relativeFrom="paragraph">
                  <wp:posOffset>920986</wp:posOffset>
                </wp:positionV>
                <wp:extent cx="1152525" cy="1362075"/>
                <wp:effectExtent l="0" t="0" r="0" b="0"/>
                <wp:wrapNone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24143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1152524" cy="1362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251695104;o:allowoverlap:true;o:allowincell:true;mso-position-horizontal-relative:text;margin-left:-7.37pt;mso-position-horizontal:absolute;mso-position-vertical-relative:text;margin-top:72.52pt;mso-position-vertical:absolute;width:90.75pt;height:107.25pt;mso-wrap-distance-left:9.07pt;mso-wrap-distance-top:0.00pt;mso-wrap-distance-right:9.07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color w:val="00000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97152" behindDoc="0" locked="0" layoutInCell="1" allowOverlap="1">
                <wp:simplePos x="0" y="0"/>
                <wp:positionH relativeFrom="column">
                  <wp:posOffset>3279140</wp:posOffset>
                </wp:positionH>
                <wp:positionV relativeFrom="paragraph">
                  <wp:posOffset>1835552</wp:posOffset>
                </wp:positionV>
                <wp:extent cx="2951588" cy="400050"/>
                <wp:effectExtent l="0" t="0" r="0" b="0"/>
                <wp:wrapNone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87243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rot="0" flipH="0" flipV="0">
                          <a:off x="0" y="0"/>
                          <a:ext cx="2951588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251697152;o:allowoverlap:true;o:allowincell:true;mso-position-horizontal-relative:text;margin-left:258.20pt;mso-position-horizontal:absolute;mso-position-vertical-relative:text;margin-top:144.53pt;mso-position-vertical:absolute;width:232.41pt;height:31.50pt;mso-wrap-distance-left:9.07pt;mso-wrap-distance-top:0.00pt;mso-wrap-distance-right:9.07pt;mso-wrap-distance-bottom:0.00pt;rotation:0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n-US"/>
        </w:rPr>
        <w:br w:type="page" w:clear="all"/>
      </w:r>
      <w:r>
        <w:rPr>
          <w:rFonts w:ascii="Arial" w:hAnsi="Arial" w:eastAsia="Arial" w:cs="Arial"/>
          <w:color w:val="000000"/>
        </w:rPr>
        <w:t xml:space="preserve"> </w:t>
      </w:r>
      <w:r>
        <w:rPr>
          <w:rFonts w:ascii="Arial" w:hAnsi="Arial" w:eastAsia="Arial" w:cs="Arial"/>
          <w:lang w:val="en-US"/>
        </w:rPr>
      </w:r>
      <w:r>
        <w:rPr>
          <w:rFonts w:ascii="Arial" w:hAnsi="Arial" w:cs="Arial"/>
        </w:rPr>
      </w:r>
    </w:p>
    <w:p>
      <w:pPr>
        <w:pStyle w:val="1254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Introducción </w:t>
      </w:r>
      <w:r>
        <w:rPr>
          <w:rFonts w:ascii="Arial" w:hAnsi="Arial" w:eastAsia="Arial" w:cs="Arial"/>
        </w:rPr>
        <w:t xml:space="preserve">- Plantilla de proyecto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Objeto </w:t>
      </w:r>
      <w:r>
        <w:rPr>
          <w:rFonts w:ascii="Arial" w:hAnsi="Arial" w:eastAsia="Arial" w:cs="Arial"/>
          <w:u w:val="single"/>
        </w:rPr>
        <w:t xml:space="preserve">del documento</w:t>
      </w:r>
      <w:r>
        <w:rPr>
          <w:rFonts w:ascii="Arial" w:hAnsi="Arial" w:eastAsia="Arial" w:cs="Arial"/>
          <w:u w:val="single"/>
        </w:rPr>
      </w:r>
      <w:r>
        <w:rPr>
          <w:rFonts w:ascii="Arial" w:hAnsi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La "Plantilla del proyecto" </w:t>
      </w:r>
      <w:r>
        <w:rPr>
          <w:rFonts w:ascii="Arial" w:hAnsi="Arial" w:eastAsia="Arial" w:cs="Arial"/>
        </w:rPr>
        <w:t xml:space="preserve">es un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clave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</w:rPr>
        <w:t xml:space="preserve">cada </w:t>
      </w:r>
      <w:r>
        <w:rPr>
          <w:rFonts w:ascii="Arial" w:hAnsi="Arial" w:eastAsia="Arial" w:cs="Arial"/>
        </w:rPr>
        <w:t xml:space="preserve">centro de FP o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secundaria superior </w:t>
      </w:r>
      <w:r>
        <w:rPr>
          <w:rFonts w:ascii="Arial" w:hAnsi="Arial" w:eastAsia="Arial" w:cs="Arial"/>
        </w:rPr>
        <w:t xml:space="preserve">que participe </w:t>
      </w:r>
      <w:r>
        <w:rPr>
          <w:rFonts w:ascii="Arial" w:hAnsi="Arial" w:eastAsia="Arial" w:cs="Arial"/>
        </w:rPr>
        <w:t xml:space="preserve">en el </w:t>
      </w:r>
      <w:r>
        <w:rPr>
          <w:rFonts w:ascii="Arial" w:hAnsi="Arial" w:eastAsia="Arial" w:cs="Arial"/>
        </w:rPr>
        <w:t xml:space="preserve">Eco-Digitón </w:t>
      </w:r>
      <w:r>
        <w:rPr>
          <w:rFonts w:ascii="Arial" w:hAnsi="Arial" w:eastAsia="Arial" w:cs="Arial"/>
        </w:rPr>
        <w:t xml:space="preserve">debe cumplimentar y </w:t>
      </w:r>
      <w:r>
        <w:rPr>
          <w:rFonts w:ascii="Arial" w:hAnsi="Arial" w:eastAsia="Arial" w:cs="Arial"/>
        </w:rPr>
        <w:t xml:space="preserve">actualizar perió</w:t>
      </w:r>
      <w:r>
        <w:rPr>
          <w:rFonts w:ascii="Arial" w:hAnsi="Arial" w:eastAsia="Arial" w:cs="Arial"/>
        </w:rPr>
        <w:t xml:space="preserve">dicamente</w:t>
      </w:r>
      <w:r>
        <w:rPr>
          <w:rFonts w:ascii="Arial" w:hAnsi="Arial" w:eastAsia="Arial" w:cs="Arial"/>
        </w:rPr>
        <w:t xml:space="preserve">.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Es una </w:t>
      </w:r>
      <w:r>
        <w:rPr>
          <w:rFonts w:ascii="Arial" w:hAnsi="Arial" w:eastAsia="Arial" w:cs="Arial"/>
        </w:rPr>
        <w:t xml:space="preserve">herramienta </w:t>
      </w:r>
      <w:r>
        <w:rPr>
          <w:rFonts w:ascii="Arial" w:hAnsi="Arial" w:eastAsia="Arial" w:cs="Arial"/>
        </w:rPr>
        <w:t xml:space="preserve">esencial </w:t>
      </w:r>
      <w:r>
        <w:rPr>
          <w:rFonts w:ascii="Arial" w:hAnsi="Arial" w:eastAsia="Arial" w:cs="Arial"/>
        </w:rPr>
        <w:t xml:space="preserve">para supervisar el progreso del proyecto, compartir información y </w:t>
      </w:r>
      <w:r>
        <w:rPr>
          <w:rFonts w:ascii="Arial" w:hAnsi="Arial" w:eastAsia="Arial" w:cs="Arial"/>
        </w:rPr>
        <w:t xml:space="preserve">fomentar </w:t>
      </w:r>
      <w:r>
        <w:rPr>
          <w:rFonts w:ascii="Arial" w:hAnsi="Arial" w:eastAsia="Arial" w:cs="Arial"/>
        </w:rPr>
        <w:t xml:space="preserve">una </w:t>
      </w:r>
      <w:r>
        <w:rPr>
          <w:rFonts w:ascii="Arial" w:hAnsi="Arial" w:eastAsia="Arial" w:cs="Arial"/>
        </w:rPr>
        <w:t xml:space="preserve">colaboración eficaz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Una vez </w:t>
      </w:r>
      <w:r>
        <w:rPr>
          <w:rFonts w:ascii="Arial" w:hAnsi="Arial" w:eastAsia="Arial" w:cs="Arial"/>
        </w:rPr>
        <w:t xml:space="preserve">completado</w:t>
      </w:r>
      <w:r>
        <w:rPr>
          <w:rFonts w:ascii="Arial" w:hAnsi="Arial" w:eastAsia="Arial" w:cs="Arial"/>
        </w:rPr>
        <w:t xml:space="preserve">, 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debe </w:t>
      </w:r>
      <w:r>
        <w:rPr>
          <w:rFonts w:ascii="Arial" w:hAnsi="Arial" w:eastAsia="Arial" w:cs="Arial"/>
        </w:rPr>
        <w:t xml:space="preserve">subirse </w:t>
      </w:r>
      <w:r>
        <w:rPr>
          <w:rFonts w:ascii="Arial" w:hAnsi="Arial" w:eastAsia="Arial" w:cs="Arial"/>
        </w:rPr>
        <w:t xml:space="preserve">al área </w:t>
      </w:r>
      <w:r>
        <w:rPr>
          <w:rFonts w:ascii="Arial" w:hAnsi="Arial" w:eastAsia="Arial" w:cs="Arial"/>
        </w:rPr>
        <w:t xml:space="preserve">reservada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equipo.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Estructura </w:t>
      </w:r>
      <w:r>
        <w:rPr>
          <w:rFonts w:ascii="Arial" w:hAnsi="Arial" w:eastAsia="Arial" w:cs="Arial"/>
          <w:u w:val="single"/>
        </w:rPr>
        <w:t xml:space="preserve">del </w:t>
      </w:r>
      <w:r>
        <w:rPr>
          <w:rFonts w:ascii="Arial" w:hAnsi="Arial" w:eastAsia="Arial" w:cs="Arial"/>
          <w:u w:val="single"/>
        </w:rPr>
      </w:r>
      <w:r>
        <w:rPr>
          <w:rFonts w:ascii="Arial" w:hAnsi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El documento </w:t>
      </w:r>
      <w:r>
        <w:rPr>
          <w:rFonts w:ascii="Arial" w:hAnsi="Arial" w:eastAsia="Arial" w:cs="Arial"/>
        </w:rPr>
        <w:t xml:space="preserve">consta </w:t>
      </w:r>
      <w:r>
        <w:rPr>
          <w:rFonts w:ascii="Arial" w:hAnsi="Arial" w:eastAsia="Arial" w:cs="Arial"/>
        </w:rPr>
        <w:t xml:space="preserve">de dos </w:t>
      </w:r>
      <w:r>
        <w:rPr>
          <w:rFonts w:ascii="Arial" w:hAnsi="Arial" w:eastAsia="Arial" w:cs="Arial"/>
        </w:rPr>
        <w:t xml:space="preserve">secciones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La primera </w:t>
      </w:r>
      <w:r>
        <w:rPr>
          <w:rFonts w:ascii="Arial" w:hAnsi="Arial" w:eastAsia="Arial" w:cs="Arial"/>
        </w:rPr>
        <w:t xml:space="preserve">es principalmente </w:t>
      </w:r>
      <w:r>
        <w:rPr>
          <w:rFonts w:ascii="Arial" w:hAnsi="Arial" w:eastAsia="Arial" w:cs="Arial"/>
        </w:rPr>
        <w:t xml:space="preserve">estática </w:t>
      </w:r>
      <w:r>
        <w:rPr>
          <w:rFonts w:ascii="Arial" w:hAnsi="Arial" w:eastAsia="Arial" w:cs="Arial"/>
        </w:rPr>
        <w:t xml:space="preserve">y </w:t>
      </w:r>
      <w:r>
        <w:rPr>
          <w:rFonts w:ascii="Arial" w:hAnsi="Arial" w:eastAsia="Arial" w:cs="Arial"/>
        </w:rPr>
        <w:t xml:space="preserve">resume </w:t>
      </w:r>
      <w:r>
        <w:rPr>
          <w:rFonts w:ascii="Arial" w:hAnsi="Arial" w:eastAsia="Arial" w:cs="Arial"/>
        </w:rPr>
        <w:t xml:space="preserve">la información clave </w:t>
      </w:r>
      <w:r>
        <w:rPr>
          <w:rFonts w:ascii="Arial" w:hAnsi="Arial" w:eastAsia="Arial" w:cs="Arial"/>
        </w:rPr>
        <w:t xml:space="preserve">sobre </w:t>
      </w:r>
      <w:r>
        <w:rPr>
          <w:rFonts w:ascii="Arial" w:hAnsi="Arial" w:eastAsia="Arial" w:cs="Arial"/>
        </w:rPr>
        <w:t xml:space="preserve">el proyecto </w:t>
      </w:r>
      <w:r>
        <w:rPr>
          <w:rFonts w:ascii="Arial" w:hAnsi="Arial" w:eastAsia="Arial" w:cs="Arial"/>
        </w:rPr>
        <w:t xml:space="preserve">que se está </w:t>
      </w:r>
      <w:r>
        <w:rPr>
          <w:rFonts w:ascii="Arial" w:hAnsi="Arial" w:eastAsia="Arial" w:cs="Arial"/>
        </w:rPr>
        <w:t xml:space="preserve">desarrollando </w:t>
      </w:r>
      <w:r>
        <w:rPr>
          <w:rFonts w:ascii="Arial" w:hAnsi="Arial" w:eastAsia="Arial" w:cs="Arial"/>
        </w:rPr>
        <w:t xml:space="preserve">para el </w:t>
      </w:r>
      <w:r>
        <w:rPr>
          <w:rFonts w:ascii="Arial" w:hAnsi="Arial" w:eastAsia="Arial" w:cs="Arial"/>
        </w:rPr>
        <w:t xml:space="preserve">Eco-Digitón</w:t>
      </w:r>
      <w:r>
        <w:rPr>
          <w:rFonts w:ascii="Arial" w:hAnsi="Arial" w:eastAsia="Arial" w:cs="Arial"/>
        </w:rPr>
        <w:t xml:space="preserve">. </w:t>
      </w:r>
      <w:r>
        <w:rPr>
          <w:rFonts w:ascii="Arial" w:hAnsi="Arial" w:eastAsia="Arial" w:cs="Arial"/>
        </w:rPr>
        <w:t xml:space="preserve">La segunda </w:t>
      </w:r>
      <w:r>
        <w:rPr>
          <w:rFonts w:ascii="Arial" w:hAnsi="Arial" w:eastAsia="Arial" w:cs="Arial"/>
        </w:rPr>
        <w:t xml:space="preserve">sección </w:t>
      </w:r>
      <w:r>
        <w:rPr>
          <w:rFonts w:ascii="Arial" w:hAnsi="Arial" w:eastAsia="Arial" w:cs="Arial"/>
        </w:rPr>
        <w:t xml:space="preserve">se centra </w:t>
      </w:r>
      <w:r>
        <w:rPr>
          <w:rFonts w:ascii="Arial" w:hAnsi="Arial" w:eastAsia="Arial" w:cs="Arial"/>
        </w:rPr>
        <w:t xml:space="preserve">en las </w:t>
      </w:r>
      <w:r>
        <w:rPr>
          <w:rFonts w:ascii="Arial" w:hAnsi="Arial" w:eastAsia="Arial" w:cs="Arial"/>
        </w:rPr>
        <w:t xml:space="preserve">actualizaciones periódicas de las actividades </w:t>
      </w:r>
      <w:r>
        <w:rPr>
          <w:rFonts w:ascii="Arial" w:hAnsi="Arial" w:eastAsia="Arial" w:cs="Arial"/>
        </w:rPr>
        <w:t xml:space="preserve">llevadas </w:t>
      </w:r>
      <w:r>
        <w:rPr>
          <w:rFonts w:ascii="Arial" w:hAnsi="Arial" w:eastAsia="Arial" w:cs="Arial"/>
        </w:rPr>
        <w:t xml:space="preserve">a cabo para </w:t>
      </w:r>
      <w:r>
        <w:rPr>
          <w:rFonts w:ascii="Arial" w:hAnsi="Arial" w:eastAsia="Arial" w:cs="Arial"/>
        </w:rPr>
        <w:t xml:space="preserve">crear </w:t>
      </w:r>
      <w:r>
        <w:rPr>
          <w:rFonts w:ascii="Arial" w:hAnsi="Arial" w:eastAsia="Arial" w:cs="Arial"/>
        </w:rPr>
        <w:t xml:space="preserve">un </w:t>
      </w:r>
      <w:r>
        <w:rPr>
          <w:rFonts w:ascii="Arial" w:hAnsi="Arial" w:eastAsia="Arial" w:cs="Arial"/>
        </w:rPr>
        <w:t xml:space="preserve">prototipo </w:t>
      </w:r>
      <w:r>
        <w:rPr>
          <w:rFonts w:ascii="Arial" w:hAnsi="Arial" w:eastAsia="Arial" w:cs="Arial"/>
        </w:rPr>
        <w:t xml:space="preserve">de solución </w:t>
      </w:r>
      <w:r>
        <w:rPr>
          <w:rFonts w:ascii="Arial" w:hAnsi="Arial" w:eastAsia="Arial" w:cs="Arial"/>
        </w:rPr>
        <w:t xml:space="preserve">ecoinnovadora, </w:t>
      </w:r>
      <w:r>
        <w:rPr>
          <w:rFonts w:ascii="Arial" w:hAnsi="Arial" w:eastAsia="Arial" w:cs="Arial"/>
        </w:rPr>
        <w:t xml:space="preserve">digital </w:t>
      </w:r>
      <w:r>
        <w:rPr>
          <w:rFonts w:ascii="Arial" w:hAnsi="Arial" w:eastAsia="Arial" w:cs="Arial"/>
        </w:rPr>
        <w:t xml:space="preserve">o </w:t>
      </w:r>
      <w:r>
        <w:rPr>
          <w:rFonts w:ascii="Arial" w:hAnsi="Arial" w:eastAsia="Arial" w:cs="Arial"/>
        </w:rPr>
        <w:t xml:space="preserve">tecnológica que </w:t>
      </w:r>
      <w:r>
        <w:rPr>
          <w:rFonts w:ascii="Arial" w:hAnsi="Arial" w:eastAsia="Arial" w:cs="Arial"/>
        </w:rPr>
        <w:t xml:space="preserve">responda a </w:t>
      </w:r>
      <w:r>
        <w:rPr>
          <w:rFonts w:ascii="Arial" w:hAnsi="Arial" w:eastAsia="Arial" w:cs="Arial"/>
        </w:rPr>
        <w:t xml:space="preserve">las necesidades reales </w:t>
      </w:r>
      <w:r>
        <w:rPr>
          <w:rFonts w:ascii="Arial" w:hAnsi="Arial" w:eastAsia="Arial" w:cs="Arial"/>
        </w:rPr>
        <w:t xml:space="preserve">de la </w:t>
      </w:r>
      <w:r>
        <w:rPr>
          <w:rFonts w:ascii="Arial" w:hAnsi="Arial" w:eastAsia="Arial" w:cs="Arial"/>
        </w:rPr>
        <w:t xml:space="preserve">comunidad local </w:t>
      </w:r>
      <w:r>
        <w:rPr>
          <w:rFonts w:ascii="Arial" w:hAnsi="Arial" w:eastAsia="Arial" w:cs="Arial"/>
        </w:rPr>
        <w:t xml:space="preserve">seleccionada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19"/>
        </w:numPr>
        <w:pBdr/>
        <w:spacing/>
        <w:ind/>
        <w:jc w:val="both"/>
        <w:rPr>
          <w:rFonts w:ascii="Arial" w:hAnsi="Arial" w:cs="Arial"/>
          <w:u w:val="single"/>
        </w:rPr>
      </w:pPr>
      <w:r>
        <w:rPr>
          <w:rFonts w:ascii="Arial" w:hAnsi="Arial" w:eastAsia="Arial" w:cs="Arial"/>
          <w:u w:val="single"/>
        </w:rPr>
        <w:t xml:space="preserve">Carga </w:t>
      </w:r>
      <w:r>
        <w:rPr>
          <w:rFonts w:ascii="Arial" w:hAnsi="Arial" w:eastAsia="Arial" w:cs="Arial"/>
          <w:u w:val="single"/>
        </w:rPr>
        <w:t xml:space="preserve">y </w:t>
      </w:r>
      <w:r>
        <w:rPr>
          <w:rFonts w:ascii="Arial" w:hAnsi="Arial" w:eastAsia="Arial" w:cs="Arial"/>
          <w:u w:val="single"/>
        </w:rPr>
        <w:t xml:space="preserve">actualización</w:t>
      </w:r>
      <w:r>
        <w:rPr>
          <w:rFonts w:ascii="Arial" w:hAnsi="Arial" w:eastAsia="Arial" w:cs="Arial"/>
          <w:u w:val="single"/>
        </w:rPr>
      </w:r>
      <w:r>
        <w:rPr>
          <w:rFonts w:ascii="Arial" w:hAnsi="Arial" w:cs="Arial"/>
          <w:u w:val="single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Una vez </w:t>
      </w:r>
      <w:r>
        <w:rPr>
          <w:rFonts w:ascii="Arial" w:hAnsi="Arial" w:eastAsia="Arial" w:cs="Arial"/>
        </w:rPr>
        <w:t xml:space="preserve">completado</w:t>
      </w:r>
      <w:r>
        <w:rPr>
          <w:rFonts w:ascii="Arial" w:hAnsi="Arial" w:eastAsia="Arial" w:cs="Arial"/>
        </w:rPr>
        <w:t xml:space="preserve">, </w:t>
      </w:r>
      <w:r>
        <w:rPr>
          <w:rFonts w:ascii="Arial" w:hAnsi="Arial" w:eastAsia="Arial" w:cs="Arial"/>
        </w:rPr>
        <w:t xml:space="preserve">recomendamos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</w:rPr>
        <w:t xml:space="preserve">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se comparta </w:t>
      </w:r>
      <w:r>
        <w:rPr>
          <w:rFonts w:ascii="Arial" w:hAnsi="Arial" w:eastAsia="Arial" w:cs="Arial"/>
        </w:rPr>
        <w:t xml:space="preserve">y </w:t>
      </w:r>
      <w:r>
        <w:rPr>
          <w:rFonts w:ascii="Arial" w:hAnsi="Arial" w:eastAsia="Arial" w:cs="Arial"/>
        </w:rPr>
        <w:t xml:space="preserve">gestione </w:t>
      </w:r>
      <w:r>
        <w:rPr>
          <w:rFonts w:ascii="Arial" w:hAnsi="Arial" w:eastAsia="Arial" w:cs="Arial"/>
        </w:rPr>
        <w:t xml:space="preserve">a través de </w:t>
      </w:r>
      <w:r>
        <w:rPr>
          <w:rFonts w:ascii="Arial" w:hAnsi="Arial" w:eastAsia="Arial" w:cs="Arial"/>
        </w:rPr>
        <w:t xml:space="preserve">una unidad externa, </w:t>
      </w:r>
      <w:r>
        <w:rPr>
          <w:rFonts w:ascii="Arial" w:hAnsi="Arial" w:eastAsia="Arial" w:cs="Arial"/>
          <w:b/>
          <w:bCs/>
        </w:rPr>
        <w:t xml:space="preserve">con el enlace a la carpeta del proyecto </w:t>
      </w:r>
      <w:r>
        <w:rPr>
          <w:rFonts w:ascii="Arial" w:hAnsi="Arial" w:eastAsia="Arial" w:cs="Arial"/>
        </w:rPr>
        <w:t xml:space="preserve">añadido </w:t>
      </w:r>
      <w:r>
        <w:rPr>
          <w:rFonts w:ascii="Arial" w:hAnsi="Arial" w:eastAsia="Arial" w:cs="Arial"/>
        </w:rPr>
        <w:t xml:space="preserve">en la </w:t>
      </w:r>
      <w:r>
        <w:rPr>
          <w:rFonts w:ascii="Arial" w:hAnsi="Arial" w:eastAsia="Arial" w:cs="Arial"/>
          <w:b/>
          <w:bCs/>
        </w:rPr>
        <w:t xml:space="preserve">pestaña </w:t>
      </w:r>
      <w:r>
        <w:rPr>
          <w:rFonts w:ascii="Arial" w:hAnsi="Arial" w:eastAsia="Arial" w:cs="Arial"/>
        </w:rPr>
        <w:t xml:space="preserve">"</w:t>
      </w:r>
      <w:r>
        <w:rPr>
          <w:rFonts w:ascii="Arial" w:hAnsi="Arial" w:eastAsia="Arial" w:cs="Arial"/>
          <w:b/>
          <w:bCs/>
        </w:rPr>
        <w:t xml:space="preserve">Documentos de </w:t>
      </w:r>
      <w:r>
        <w:rPr>
          <w:rFonts w:ascii="Arial" w:hAnsi="Arial" w:eastAsia="Arial" w:cs="Arial"/>
          <w:b/>
          <w:bCs/>
        </w:rPr>
        <w:t xml:space="preserve">colaboración </w:t>
      </w:r>
      <w:r>
        <w:rPr>
          <w:rFonts w:ascii="Arial" w:hAnsi="Arial" w:eastAsia="Arial" w:cs="Arial"/>
          <w:b/>
          <w:bCs/>
        </w:rPr>
        <w:t xml:space="preserve">"**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grupo de trabajo.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En la </w:t>
      </w:r>
      <w:r>
        <w:rPr>
          <w:rFonts w:ascii="Arial" w:hAnsi="Arial" w:eastAsia="Arial" w:cs="Arial"/>
        </w:rPr>
        <w:t xml:space="preserve">carpeta del disco duro externo </w:t>
      </w:r>
      <w:r>
        <w:rPr>
          <w:rFonts w:ascii="Arial" w:hAnsi="Arial" w:eastAsia="Arial" w:cs="Arial"/>
        </w:rPr>
        <w:t xml:space="preserve">dedicada a </w:t>
      </w:r>
      <w:r>
        <w:rPr>
          <w:rFonts w:ascii="Arial" w:hAnsi="Arial" w:eastAsia="Arial" w:cs="Arial"/>
        </w:rPr>
        <w:t xml:space="preserve">su proyecto</w:t>
      </w:r>
      <w:r>
        <w:rPr>
          <w:rFonts w:ascii="Arial" w:hAnsi="Arial" w:eastAsia="Arial" w:cs="Arial"/>
        </w:rPr>
        <w:t xml:space="preserve">, también </w:t>
      </w:r>
      <w:r>
        <w:rPr>
          <w:rFonts w:ascii="Arial" w:hAnsi="Arial" w:eastAsia="Arial" w:cs="Arial"/>
        </w:rPr>
        <w:t xml:space="preserve">le sugerimos </w:t>
      </w:r>
      <w:r>
        <w:rPr>
          <w:rFonts w:ascii="Arial" w:hAnsi="Arial" w:eastAsia="Arial" w:cs="Arial"/>
        </w:rPr>
        <w:t xml:space="preserve">que </w:t>
      </w:r>
      <w:r>
        <w:rPr>
          <w:rFonts w:ascii="Arial" w:hAnsi="Arial" w:eastAsia="Arial" w:cs="Arial"/>
          <w:b/>
          <w:bCs/>
        </w:rPr>
        <w:t xml:space="preserve">cree </w:t>
      </w:r>
      <w:r>
        <w:rPr>
          <w:rFonts w:ascii="Arial" w:hAnsi="Arial" w:eastAsia="Arial" w:cs="Arial"/>
          <w:b/>
          <w:bCs/>
        </w:rPr>
        <w:t xml:space="preserve">subcarpetas </w:t>
      </w:r>
      <w:r>
        <w:rPr>
          <w:rFonts w:ascii="Arial" w:hAnsi="Arial" w:eastAsia="Arial" w:cs="Arial"/>
          <w:b/>
          <w:bCs/>
        </w:rPr>
        <w:t xml:space="preserve">organizadas </w:t>
      </w:r>
      <w:r>
        <w:rPr>
          <w:rFonts w:ascii="Arial" w:hAnsi="Arial" w:eastAsia="Arial" w:cs="Arial"/>
          <w:b/>
          <w:bCs/>
        </w:rPr>
        <w:t xml:space="preserve">por reunión </w:t>
      </w:r>
      <w:r>
        <w:rPr>
          <w:rFonts w:ascii="Arial" w:hAnsi="Arial" w:eastAsia="Arial" w:cs="Arial"/>
        </w:rPr>
        <w:t xml:space="preserve">(por ejemplo, "Reunión 1", "Reunión 2", etc.), </w:t>
      </w:r>
      <w:r>
        <w:rPr>
          <w:rFonts w:ascii="Arial" w:hAnsi="Arial" w:eastAsia="Arial" w:cs="Arial"/>
        </w:rPr>
        <w:t xml:space="preserve">donde </w:t>
      </w:r>
      <w:r>
        <w:rPr>
          <w:rFonts w:ascii="Arial" w:hAnsi="Arial" w:eastAsia="Arial" w:cs="Arial"/>
        </w:rPr>
        <w:t xml:space="preserve">podrá subir </w:t>
      </w:r>
      <w:r>
        <w:rPr>
          <w:rFonts w:ascii="Arial" w:hAnsi="Arial" w:eastAsia="Arial" w:cs="Arial"/>
        </w:rPr>
        <w:t xml:space="preserve">fotos</w:t>
      </w:r>
      <w:r>
        <w:rPr>
          <w:rFonts w:ascii="Arial" w:hAnsi="Arial" w:eastAsia="Arial" w:cs="Arial"/>
        </w:rPr>
        <w:t xml:space="preserve">, </w:t>
      </w:r>
      <w:r>
        <w:rPr>
          <w:rFonts w:ascii="Arial" w:hAnsi="Arial" w:eastAsia="Arial" w:cs="Arial"/>
        </w:rPr>
        <w:t xml:space="preserve">vídeos</w:t>
      </w:r>
      <w:r>
        <w:rPr>
          <w:rFonts w:ascii="Arial" w:hAnsi="Arial" w:eastAsia="Arial" w:cs="Arial"/>
        </w:rPr>
        <w:t xml:space="preserve">, imágenes y </w:t>
      </w:r>
      <w:r>
        <w:rPr>
          <w:rFonts w:ascii="Arial" w:hAnsi="Arial" w:eastAsia="Arial" w:cs="Arial"/>
        </w:rPr>
        <w:t xml:space="preserve">otros </w:t>
      </w:r>
      <w:r>
        <w:rPr>
          <w:rFonts w:ascii="Arial" w:hAnsi="Arial" w:eastAsia="Arial" w:cs="Arial"/>
        </w:rPr>
        <w:t xml:space="preserve">materiales </w:t>
      </w:r>
      <w:r>
        <w:rPr>
          <w:rFonts w:ascii="Arial" w:hAnsi="Arial" w:eastAsia="Arial" w:cs="Arial"/>
        </w:rPr>
        <w:t xml:space="preserve">relacionados</w:t>
      </w:r>
      <w:r>
        <w:rPr>
          <w:rFonts w:ascii="Arial" w:hAnsi="Arial" w:eastAsia="Arial" w:cs="Arial"/>
        </w:rPr>
        <w:t xml:space="preserve">.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Ventajas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Este </w:t>
      </w:r>
      <w:r>
        <w:rPr>
          <w:rFonts w:ascii="Arial" w:hAnsi="Arial" w:eastAsia="Arial" w:cs="Arial"/>
        </w:rPr>
        <w:t xml:space="preserve">método </w:t>
      </w:r>
      <w:r>
        <w:rPr>
          <w:rFonts w:ascii="Arial" w:hAnsi="Arial" w:eastAsia="Arial" w:cs="Arial"/>
        </w:rPr>
        <w:t xml:space="preserve">le permite: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Actualice </w:t>
      </w:r>
      <w:r>
        <w:rPr>
          <w:rFonts w:ascii="Arial" w:hAnsi="Arial" w:eastAsia="Arial" w:cs="Arial"/>
        </w:rPr>
        <w:t xml:space="preserve">fácilmente </w:t>
      </w:r>
      <w:r>
        <w:rPr>
          <w:rFonts w:ascii="Arial" w:hAnsi="Arial" w:eastAsia="Arial" w:cs="Arial"/>
        </w:rPr>
        <w:t xml:space="preserve">el </w:t>
      </w:r>
      <w:r>
        <w:rPr>
          <w:rFonts w:ascii="Arial" w:hAnsi="Arial" w:eastAsia="Arial" w:cs="Arial"/>
        </w:rPr>
        <w:t xml:space="preserve">documento </w:t>
      </w:r>
      <w:r>
        <w:rPr>
          <w:rFonts w:ascii="Arial" w:hAnsi="Arial" w:eastAsia="Arial" w:cs="Arial"/>
        </w:rPr>
        <w:t xml:space="preserve">directamente </w:t>
      </w:r>
      <w:r>
        <w:rPr>
          <w:rFonts w:ascii="Arial" w:hAnsi="Arial" w:eastAsia="Arial" w:cs="Arial"/>
        </w:rPr>
        <w:t xml:space="preserve">en la unidad </w:t>
      </w:r>
      <w:r>
        <w:rPr>
          <w:rFonts w:ascii="Arial" w:hAnsi="Arial" w:eastAsia="Arial" w:cs="Arial"/>
        </w:rPr>
        <w:t xml:space="preserve">sin </w:t>
      </w:r>
      <w:r>
        <w:rPr>
          <w:rFonts w:ascii="Arial" w:hAnsi="Arial" w:eastAsia="Arial" w:cs="Arial"/>
        </w:rPr>
        <w:t xml:space="preserve">necesidad </w:t>
      </w:r>
      <w:r>
        <w:rPr>
          <w:rFonts w:ascii="Arial" w:hAnsi="Arial" w:eastAsia="Arial" w:cs="Arial"/>
        </w:rPr>
        <w:t xml:space="preserve">de </w:t>
      </w:r>
      <w:r>
        <w:rPr>
          <w:rFonts w:ascii="Arial" w:hAnsi="Arial" w:eastAsia="Arial" w:cs="Arial"/>
        </w:rPr>
        <w:t xml:space="preserve">descargarlo</w:t>
      </w:r>
      <w:r>
        <w:rPr>
          <w:rFonts w:ascii="Arial" w:hAnsi="Arial" w:eastAsia="Arial" w:cs="Arial"/>
        </w:rPr>
        <w:t xml:space="preserve"> y volver a cargarlo </w:t>
      </w:r>
      <w:r>
        <w:rPr>
          <w:rFonts w:ascii="Arial" w:hAnsi="Arial" w:eastAsia="Arial" w:cs="Arial"/>
        </w:rPr>
        <w:t xml:space="preserve">cada </w:t>
      </w:r>
      <w:r>
        <w:rPr>
          <w:rFonts w:ascii="Arial" w:hAnsi="Arial" w:eastAsia="Arial" w:cs="Arial"/>
        </w:rPr>
        <w:t xml:space="preserve">vez.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Centralice </w:t>
      </w:r>
      <w:r>
        <w:rPr>
          <w:rFonts w:ascii="Arial" w:hAnsi="Arial" w:eastAsia="Arial" w:cs="Arial"/>
        </w:rPr>
        <w:t xml:space="preserve">todos los </w:t>
      </w:r>
      <w:r>
        <w:rPr>
          <w:rFonts w:ascii="Arial" w:hAnsi="Arial" w:eastAsia="Arial" w:cs="Arial"/>
        </w:rPr>
        <w:t xml:space="preserve">recursos </w:t>
      </w:r>
      <w:r>
        <w:rPr>
          <w:rFonts w:ascii="Arial" w:hAnsi="Arial" w:eastAsia="Arial" w:cs="Arial"/>
        </w:rPr>
        <w:t xml:space="preserve">en un lugar </w:t>
      </w:r>
      <w:r>
        <w:rPr>
          <w:rFonts w:ascii="Arial" w:hAnsi="Arial" w:eastAsia="Arial" w:cs="Arial"/>
        </w:rPr>
        <w:t xml:space="preserve">accesible </w:t>
      </w:r>
      <w:r>
        <w:rPr>
          <w:rFonts w:ascii="Arial" w:hAnsi="Arial" w:eastAsia="Arial" w:cs="Arial"/>
        </w:rPr>
        <w:t xml:space="preserve">para el equipo y </w:t>
      </w:r>
      <w:r>
        <w:rPr>
          <w:rFonts w:ascii="Arial" w:hAnsi="Arial" w:eastAsia="Arial" w:cs="Arial"/>
        </w:rPr>
        <w:t xml:space="preserve">su </w:t>
      </w:r>
      <w:r>
        <w:rPr>
          <w:rFonts w:ascii="Arial" w:hAnsi="Arial" w:eastAsia="Arial" w:cs="Arial"/>
        </w:rPr>
        <w:t xml:space="preserve">mentor.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20"/>
        </w:numPr>
        <w:pBdr/>
        <w:spacing w:line="360" w:lineRule="auto"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Facilitar </w:t>
      </w:r>
      <w:r>
        <w:rPr>
          <w:rFonts w:ascii="Arial" w:hAnsi="Arial" w:eastAsia="Arial" w:cs="Arial"/>
        </w:rPr>
        <w:t xml:space="preserve">la consulta </w:t>
      </w:r>
      <w:r>
        <w:rPr>
          <w:rFonts w:ascii="Arial" w:hAnsi="Arial" w:eastAsia="Arial" w:cs="Arial"/>
        </w:rPr>
        <w:t xml:space="preserve">y la </w:t>
      </w:r>
      <w:r>
        <w:rPr>
          <w:rFonts w:ascii="Arial" w:hAnsi="Arial" w:eastAsia="Arial" w:cs="Arial"/>
        </w:rPr>
        <w:t xml:space="preserve">colaboración </w:t>
      </w:r>
      <w:r>
        <w:rPr>
          <w:rFonts w:ascii="Arial" w:hAnsi="Arial" w:eastAsia="Arial" w:cs="Arial"/>
        </w:rPr>
        <w:t xml:space="preserve">entre </w:t>
      </w:r>
      <w:r>
        <w:rPr>
          <w:rFonts w:ascii="Arial" w:hAnsi="Arial" w:eastAsia="Arial" w:cs="Arial"/>
        </w:rPr>
        <w:t xml:space="preserve">todos los </w:t>
      </w:r>
      <w:r>
        <w:rPr>
          <w:rFonts w:ascii="Arial" w:hAnsi="Arial" w:eastAsia="Arial" w:cs="Arial"/>
        </w:rPr>
        <w:t xml:space="preserve">miembros</w:t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br w:type="page" w:clear="all"/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53"/>
        <w:pBdr/>
        <w:spacing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PLANTILLA DE PROYECTO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54"/>
        <w:numPr>
          <w:ilvl w:val="0"/>
          <w:numId w:val="2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El proyecto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</w:rPr>
        <w:t xml:space="preserve">Título del proyecto:</w:t>
      </w:r>
      <w:r>
        <w:rPr>
          <w:rFonts w:ascii="Arial" w:hAnsi="Arial" w:eastAsia="Arial" w:cs="Arial"/>
        </w:rPr>
        <w:t xml:space="preserve"> NetZero: Auditoría y Certificación de la Huella Digital.</w:t>
      </w:r>
      <w:r>
        <w:rPr>
          <w:rFonts w:ascii="Arial" w:hAnsi="Arial" w:eastAsia="Arial" w:cs="Arial"/>
          <w:lang w:val="es-ES"/>
        </w:rPr>
      </w:r>
      <w:r>
        <w:rPr>
          <w:rFonts w:ascii="Arial" w:hAnsi="Arial" w:cs="Arial"/>
        </w:rPr>
      </w:r>
    </w:p>
    <w:p>
      <w:pPr>
        <w:pBdr/>
        <w:spacing/>
        <w:ind w:firstLine="0" w:left="720"/>
        <w:jc w:val="center"/>
        <w:rPr>
          <w:rFonts w:ascii="Arial" w:hAnsi="Arial" w:eastAsia="Arial" w:cs="Arial"/>
          <w:highlight w:val="none"/>
          <w:lang w:val="es-ES"/>
        </w:rPr>
      </w:pPr>
      <w:r>
        <w:rPr>
          <w:rFonts w:ascii="Arial" w:hAnsi="Arial" w:eastAsia="Arial" w:cs="Arial"/>
          <w:highlight w:val="none"/>
          <w:lang w:val="es-ES" w:bidi="es-ES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157310" cy="1170004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40193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rot="0" flipH="0" flipV="0">
                          <a:off x="0" y="0"/>
                          <a:ext cx="1157310" cy="1170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91.13pt;height:92.13pt;mso-wrap-distance-left:0.00pt;mso-wrap-distance-top:0.00pt;mso-wrap-distance-right:0.00pt;mso-wrap-distance-bottom:0.00pt;rotation:0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lang w:val="es-ES"/>
        </w:rPr>
      </w:r>
      <w:r>
        <w:rPr>
          <w:rFonts w:ascii="Arial" w:hAnsi="Arial" w:cs="Arial"/>
        </w:rPr>
      </w:r>
    </w:p>
    <w:p>
      <w:pPr>
        <w:pBdr/>
        <w:spacing/>
        <w:ind w:firstLine="0" w:left="720"/>
        <w:jc w:val="center"/>
        <w:rPr>
          <w:highlight w:val="none"/>
        </w:rPr>
      </w:pPr>
      <w:r>
        <w:rPr>
          <w:rFonts w:ascii="Arial" w:hAnsi="Arial" w:eastAsia="Arial" w:cs="Arial"/>
          <w:highlight w:val="none"/>
          <w:lang w:val="es-ES"/>
        </w:rPr>
        <w:t xml:space="preserve">Enlace: </w:t>
      </w:r>
      <w:hyperlink r:id="rId25" w:tooltip="https://ecodigithon.github.io/NetZero/" w:history="1">
        <w:r>
          <w:rPr>
            <w:rStyle w:val="1292"/>
            <w:rFonts w:ascii="Arial" w:hAnsi="Arial" w:eastAsia="Arial" w:cs="Arial"/>
            <w:highlight w:val="none"/>
            <w:lang w:val="es-ES"/>
          </w:rPr>
        </w:r>
        <w:r>
          <w:rPr>
            <w:rStyle w:val="1292"/>
            <w:rFonts w:ascii="Arial" w:hAnsi="Arial" w:eastAsia="Arial" w:cs="Arial"/>
            <w:highlight w:val="none"/>
            <w:lang w:val="es-ES"/>
          </w:rPr>
          <w:t xml:space="preserve">https://ecodigithon.github.io/NetZero/</w:t>
        </w:r>
        <w:r>
          <w:rPr>
            <w:rStyle w:val="1292"/>
            <w:rFonts w:ascii="Arial" w:hAnsi="Arial" w:eastAsia="Arial" w:cs="Arial"/>
            <w:highlight w:val="none"/>
            <w:lang w:val="es-ES"/>
          </w:rPr>
        </w:r>
        <w:r>
          <w:rPr>
            <w:rStyle w:val="1292"/>
            <w:rFonts w:ascii="Arial" w:hAnsi="Arial" w:eastAsia="Arial" w:cs="Arial"/>
            <w:highlight w:val="none"/>
            <w:lang w:val="es-ES"/>
          </w:rPr>
        </w:r>
        <w:r>
          <w:rPr>
            <w:rStyle w:val="1292"/>
            <w:rFonts w:ascii="Arial" w:hAnsi="Arial" w:eastAsia="Arial" w:cs="Arial"/>
            <w:highlight w:val="none"/>
            <w:lang w:val="es-ES"/>
          </w:rPr>
        </w:r>
      </w:hyperlink>
      <w:r/>
      <w:r>
        <w:rPr>
          <w:rFonts w:ascii="Arial" w:hAnsi="Arial" w:cs="Arial"/>
        </w:rPr>
      </w:r>
    </w:p>
    <w:p>
      <w:pPr>
        <w:pBdr/>
        <w:spacing/>
        <w:ind w:firstLine="0" w:left="720"/>
        <w:jc w:val="center"/>
        <w:rPr>
          <w:rFonts w:ascii="Arial" w:hAnsi="Arial" w:cs="Arial"/>
        </w:rPr>
      </w:pPr>
      <w:r>
        <w:rPr>
          <w:highlight w:val="none"/>
          <w:lang w:val="es-ES"/>
        </w:rPr>
        <w:t xml:space="preserve">Repositorio: </w:t>
      </w:r>
      <w:r>
        <w:rPr>
          <w:highlight w:val="none"/>
          <w:lang w:val="es-ES"/>
        </w:rPr>
      </w:r>
      <w:hyperlink r:id="rId26" w:tooltip="https://github.com/Ecodigithon/NetZero" w:history="1">
        <w:r>
          <w:rPr>
            <w:rStyle w:val="1292"/>
            <w:highlight w:val="none"/>
            <w:lang w:val="es-ES"/>
          </w:rPr>
          <w:t xml:space="preserve">https://github.com/Ecodigithon/NetZero</w:t>
        </w:r>
        <w:r>
          <w:rPr>
            <w:rStyle w:val="1292"/>
            <w:highlight w:val="none"/>
            <w:lang w:val="es-ES"/>
          </w:rPr>
        </w:r>
        <w:r>
          <w:rPr>
            <w:rStyle w:val="1292"/>
            <w:highlight w:val="none"/>
          </w:rPr>
        </w:r>
      </w:hyperlink>
      <w:r>
        <w:rPr>
          <w:highlight w:val="none"/>
        </w:rPr>
      </w:r>
      <w:r>
        <w:rPr>
          <w:highlight w:val="none"/>
        </w:rPr>
      </w:r>
    </w:p>
    <w:p>
      <w:pPr>
        <w:pStyle w:val="1283"/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Problema </w:t>
      </w:r>
      <w:r>
        <w:rPr>
          <w:rFonts w:ascii="Arial" w:hAnsi="Arial" w:eastAsia="Arial" w:cs="Arial"/>
          <w:b/>
          <w:bCs/>
        </w:rPr>
        <w:t xml:space="preserve">de la </w:t>
      </w:r>
      <w:r>
        <w:rPr>
          <w:rFonts w:ascii="Arial" w:hAnsi="Arial" w:eastAsia="Arial" w:cs="Arial"/>
          <w:b/>
          <w:bCs/>
        </w:rPr>
        <w:t xml:space="preserve">comunidad local </w:t>
      </w:r>
      <w:r>
        <w:rPr>
          <w:rFonts w:ascii="Arial" w:hAnsi="Arial" w:eastAsia="Arial" w:cs="Arial"/>
          <w:b/>
          <w:bCs/>
        </w:rPr>
        <w:t xml:space="preserve">que abordará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Bdr/>
        <w:spacing/>
        <w:ind w:firstLine="0" w:left="72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eastAsia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La invisibilidad del "Humo Digital".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problema es la falta de conciencia sobre la "sed" y el "hambre" de la tecnología. En 2026, la IA y el streaming no son solo datos, son recursos físicos: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Hídrico: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Una sesión de 20-50 preguntas a una IA "bebe"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0.5 litros de agua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U. California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Energético: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Generar una imagen con IA gasta tanta electricidad como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cargar un móvil al 100%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Emisiones Locales: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1 minuto de TikTok emite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2.63g de </w:t>
      </w:r>
      <w:r>
        <w:rPr>
          <w:rFonts w:ascii="Arial" w:hAnsi="Arial" w:eastAsia="Arial" w:cs="Arial"/>
          <w:b/>
          <w:color w:val="000000"/>
          <w:sz w:val="22"/>
          <w:szCs w:val="20"/>
          <w:lang w:val="es-ES"/>
        </w:rPr>
        <w:t xml:space="preserve">CO2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En una ciudad media, el scroll infinito equivale a las emisiones de miles de coches diarios.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Residuos en España: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Existen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50 millones de dispositivos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olvidados en cajones españoles, una mina de residuos tóxicos sin gestionar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Recyclia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Style w:val="1283"/>
        <w:numPr>
          <w:ilvl w:val="0"/>
          <w:numId w:val="23"/>
        </w:numPr>
        <w:pBdr/>
        <w:spacing/>
        <w:ind/>
        <w:jc w:val="both"/>
        <w:rPr>
          <w:rFonts w:ascii="Arial" w:hAnsi="Arial" w:cs="Arial"/>
          <w:b/>
          <w:bCs/>
        </w:rPr>
      </w:pPr>
      <w:r>
        <w:rPr>
          <w:rFonts w:ascii="Arial" w:hAnsi="Arial" w:eastAsia="Arial" w:cs="Arial"/>
          <w:b/>
          <w:bCs/>
        </w:rPr>
        <w:t xml:space="preserve">Solución </w:t>
      </w:r>
      <w:r>
        <w:rPr>
          <w:rFonts w:ascii="Arial" w:hAnsi="Arial" w:eastAsia="Arial" w:cs="Arial"/>
          <w:b/>
          <w:bCs/>
        </w:rPr>
        <w:t xml:space="preserve">propuesta</w:t>
      </w:r>
      <w:r>
        <w:rPr>
          <w:rFonts w:ascii="Arial" w:hAnsi="Arial" w:eastAsia="Arial" w:cs="Arial"/>
          <w:b/>
          <w:bCs/>
        </w:rPr>
        <w:t xml:space="preserve">:</w:t>
      </w:r>
      <w:r>
        <w:rPr>
          <w:rFonts w:ascii="Arial" w:hAnsi="Arial" w:eastAsia="Arial" w:cs="Arial"/>
          <w:b/>
          <w:bCs/>
        </w:rPr>
      </w:r>
      <w:r>
        <w:rPr>
          <w:rFonts w:ascii="Arial" w:hAnsi="Arial" w:cs="Arial"/>
          <w:b/>
          <w:bCs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NetZero: Arquitectura del Cambio.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es un ecosistema digital que traduce el uso del teléfono en impacto ambiental real mediante: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Algoritmo LCA (Life Cycle Assessment)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2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Cálculo dinámico de emisiones en tiempo real basado en el tráfico de red (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TCP/IP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 y uso de CPU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/GPU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App Móvil Gamificada: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Interfaz de usuario que desglosa la huella por aplicaciones, permitiendo ver qué app es la más "contaminante" y ofreciendo alternativas sostenibles 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 Control Hub (B2B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3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Dashboard web para empresas que permite la gestión de flotas y la exportación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informes de Alcance 3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4"/>
      </w:r>
      <w:r>
        <w:rPr>
          <w:rFonts w:ascii="Arial" w:hAnsi="Arial" w:eastAsia="Arial" w:cs="Arial"/>
          <w:color w:val="000000"/>
          <w:sz w:val="22"/>
          <w:szCs w:val="20"/>
        </w:rPr>
        <w:t xml:space="preserve">, ahorrando miles de euros en consultoría ambiental.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Bdr/>
        <w:spacing/>
        <w:ind w:left="36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Impacto del proyecto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Social: De la "Invisibilidad del Dato" a la Acción Colectiva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0"/>
          <w:highlight w:val="none"/>
        </w:rPr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color w:val="000000"/>
          <w:sz w:val="22"/>
          <w:szCs w:val="22"/>
          <w:highlight w:val="none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no se limita a informar; reconfigura el comportamiento social mediante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Gamificación Estratégica y la Psicología del Comportamiento (Nudging</w:t>
      </w:r>
      <w:r>
        <w:rPr>
          <w:rStyle w:val="1240"/>
          <w:rFonts w:ascii="Arial" w:hAnsi="Arial" w:eastAsia="Arial" w:cs="Arial"/>
          <w:b/>
          <w:color w:val="000000"/>
          <w:sz w:val="22"/>
          <w:szCs w:val="20"/>
        </w:rPr>
        <w:footnoteReference w:id="5"/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)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color w:val="000000"/>
          <w:sz w:val="22"/>
          <w:szCs w:val="22"/>
          <w:highlight w:val="none"/>
        </w:rPr>
      </w:r>
      <w:r>
        <w:rPr>
          <w:rFonts w:ascii="Arial" w:hAnsi="Arial" w:cs="Arial"/>
          <w:color w:val="000000"/>
          <w:sz w:val="22"/>
          <w:szCs w:val="22"/>
          <w:highlight w:val="none"/>
        </w:rPr>
      </w:r>
    </w:p>
    <w:p>
      <w:pPr>
        <w:pStyle w:val="12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Ranking de Sostenibilidad Multicapa: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Implementa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re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mos un sistema de clasificación dinámico que opera a nivel individual, departamental y corporativo. Esto transforma la "parálisis climática" en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competencia de eficiencia positiva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donde el ahorro energético se convierte en un activo reputacional.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Cultura de Transparencia Digital: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Fomentamos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Responsabilidad Digital Colectiva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permitiendo que comunidades y empresas locales se posicionen como líderes en sostenibilidad verificada. Esto genera un efecto de "presión social positiva" que acelera la adopción de hábitos de bajo consumo de datos y energía.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Medioambiental: Descarbonización Activa del Alcance 3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El proyecto aborda directamente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huella de carbono digital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que es el vector de emisión con mayor crecimiento y menor monitorización en la actualidad.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Mitigación de la "Sed de la IA":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visibilizar el coste hídrico real (0.5 litros de agua por cada ciclo de consultas) y energético de la GenAI, NetZero actúa como un mecanismo de control de demanda, optimizando el uso de recursos críticos.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Alineación con el Pacto Verde Europeo (2050):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proyecto proporciona la métrica necesaria para que los usuarios y organizaciones sean agentes activos en la transición hacia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Neutralidad Climática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Al reducir el tráfico de datos innecesario y la redundancia en la nube, disminuimos la carga operativa de los Data Centers, responsables de un consumo eléctrico masivo a nivel global.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Economía Circular Incentivada: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través de nuestro módulo de gestión de terminales, promovemos la extensión del ciclo de vida de los dispositivos y el reciclaje certificado de RAEE, combatiendo la obsolescencia programada.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Digital y Tecnológico: Soberanía del Dato y Edge Analytics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representa la vanguardia de la tecnología responsable (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Tech for Good</w:t>
      </w:r>
      <w:r>
        <w:rPr>
          <w:rStyle w:val="1240"/>
          <w:rFonts w:ascii="Arial" w:hAnsi="Arial" w:eastAsia="Arial" w:cs="Arial"/>
          <w:i/>
          <w:color w:val="000000"/>
          <w:sz w:val="22"/>
          <w:szCs w:val="20"/>
        </w:rPr>
        <w:footnoteReference w:id="6"/>
      </w:r>
      <w:r>
        <w:rPr>
          <w:rFonts w:ascii="Arial" w:hAnsi="Arial" w:eastAsia="Arial" w:cs="Arial"/>
          <w:color w:val="000000"/>
          <w:sz w:val="22"/>
          <w:szCs w:val="20"/>
        </w:rPr>
        <w:t xml:space="preserve">), priorizando la eficiencia computacional y la seguridad.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Arquitectura de Edge Computing: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diferencia de las soluciones en la nube, NetZero procesa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análisis de paquetes y consumo de CPU localmente en el terminal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Esto minimiza la latencia y elimina el consumo energético adicional que supondría enviar gigabytes de registros a un servidor externo para su análisis.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Privacidad por Diseño (Privacy by Design - RGPD):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procesar los datos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in-situ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garantizamos que la información sensible del usuario nunca abandone el dispositivo. Cumplimos estrictamente con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RGPD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ofreciendo una analítica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alta fidelidad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sin comprometer la integridad ni la soberanía de los datos personales.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Style w:val="12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>
          <w:rFonts w:ascii="Arial" w:hAnsi="Arial" w:cs="Arial"/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Interoperabilidad B2B: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integra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API de Reporte de Sostenibilidad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que se conecta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ría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con sistemas ERP de gestión empresarial, automatizando la recopilación de datos para auditorías ambientales bajo el estándar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ISO 14064-1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y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Directiva CSRD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rFonts w:ascii="Arial" w:hAnsi="Arial" w:eastAsia="Arial" w:cs="Arial"/>
          <w:sz w:val="22"/>
          <w:szCs w:val="20"/>
        </w:rPr>
      </w:r>
      <w:r>
        <w:rPr>
          <w:rFonts w:ascii="Arial" w:hAnsi="Arial" w:cs="Arial"/>
          <w:sz w:val="22"/>
          <w:szCs w:val="20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</w:rPr>
        <w:t xml:space="preserve">Innovación</w:t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cs="Arial"/>
          <w:b/>
          <w:bCs/>
          <w:sz w:val="28"/>
          <w:szCs w:val="28"/>
          <w:highlight w:val="none"/>
        </w:rPr>
      </w:r>
    </w:p>
    <w:p>
      <w:pPr>
        <w:pBdr/>
        <w:spacing/>
        <w:ind w:left="360"/>
        <w:jc w:val="both"/>
        <w:rPr>
          <w:rFonts w:ascii="Arial" w:hAnsi="Arial" w:cs="Arial"/>
          <w:sz w:val="32"/>
          <w:szCs w:val="32"/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L</w:t>
      </w:r>
      <w:r>
        <w:rPr>
          <w:rFonts w:ascii="Arial" w:hAnsi="Arial" w:eastAsia="Arial" w:cs="Arial"/>
          <w:sz w:val="22"/>
          <w:szCs w:val="22"/>
        </w:rPr>
        <w:t xml:space="preserve">a innovación principal es convertir el consumo energético digital en información clara, visual y comparable. A diferencia de otras aplicaciones que solo muestran tiempo de uso o batería, esta app traduce esos datos en impacto energético real y los compleme</w:t>
      </w:r>
      <w:r>
        <w:rPr>
          <w:rFonts w:ascii="Arial" w:hAnsi="Arial" w:eastAsia="Arial" w:cs="Arial"/>
          <w:sz w:val="22"/>
          <w:szCs w:val="22"/>
        </w:rPr>
        <w:t xml:space="preserve">nta con rankings por zonas, empresas y a nivel global.</w:t>
      </w:r>
      <w:r>
        <w:rPr>
          <w:rFonts w:ascii="Arial" w:hAnsi="Arial" w:eastAsia="Arial" w:cs="Arial"/>
          <w:sz w:val="32"/>
          <w:szCs w:val="32"/>
          <w:highlight w:val="none"/>
        </w:rPr>
      </w:r>
      <w:r>
        <w:rPr>
          <w:rFonts w:ascii="Arial" w:hAnsi="Arial" w:cs="Arial"/>
          <w:sz w:val="32"/>
          <w:szCs w:val="32"/>
          <w:highlight w:val="none"/>
        </w:rPr>
      </w:r>
    </w:p>
    <w:p>
      <w:pPr>
        <w:pBdr/>
        <w:spacing/>
        <w:ind w:left="36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Lo distintivo del proyecto es su enfoque educativo, participativo y competitivo, que </w:t>
      </w:r>
      <w:r>
        <w:rPr>
          <w:rFonts w:ascii="Arial" w:hAnsi="Arial" w:eastAsia="Arial" w:cs="Arial"/>
          <w:sz w:val="22"/>
          <w:szCs w:val="22"/>
        </w:rPr>
        <w:t xml:space="preserve">transforma datos técnicos en una herramienta práctica de concienciación y acción colectiva.</w:t>
      </w: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cs="Arial"/>
          <w:b/>
          <w:bCs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La innovación de NetZero es la </w:t>
      </w:r>
      <w:r>
        <w:rPr>
          <w:rFonts w:ascii="Arial" w:hAnsi="Arial" w:eastAsia="Arial" w:cs="Arial"/>
          <w:b/>
          <w:bCs/>
        </w:rPr>
        <w:t xml:space="preserve">Certificación Normativa Automatizada</w:t>
      </w:r>
      <w:r>
        <w:rPr>
          <w:rFonts w:ascii="Arial" w:hAnsi="Arial" w:eastAsia="Arial" w:cs="Arial"/>
        </w:rPr>
        <w:t xml:space="preserve">. No solo </w:t>
        <w:tab/>
        <w:t xml:space="preserve">medimos, </w:t>
      </w:r>
      <w:r>
        <w:rPr>
          <w:rFonts w:ascii="Arial" w:hAnsi="Arial" w:eastAsia="Arial" w:cs="Arial"/>
          <w:b/>
          <w:bCs/>
          <w:u w:val="single"/>
        </w:rPr>
        <w:t xml:space="preserve">validamos</w:t>
      </w:r>
      <w:r>
        <w:rPr>
          <w:rFonts w:ascii="Arial" w:hAnsi="Arial" w:eastAsia="Arial" w:cs="Arial"/>
        </w:rPr>
        <w:t xml:space="preserve">: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i/>
          <w:iCs/>
        </w:rPr>
        <w:t xml:space="preserve">Sello NetZero</w:t>
      </w:r>
      <w:r>
        <w:rPr>
          <w:rFonts w:ascii="Arial" w:hAnsi="Arial" w:eastAsia="Arial" w:cs="Arial"/>
        </w:rPr>
        <w:t xml:space="preserve">: Un sistema de niveles (Oro, Plata, Bronce) blindado por la Directiva (UE) 2024/825 contra el </w:t>
      </w:r>
      <w:r>
        <w:rPr>
          <w:rFonts w:ascii="Arial" w:hAnsi="Arial" w:eastAsia="Arial" w:cs="Arial"/>
          <w:i/>
          <w:iCs/>
        </w:rPr>
        <w:t xml:space="preserve">greenwashing</w:t>
      </w:r>
      <w:r>
        <w:rPr>
          <w:rStyle w:val="1240"/>
          <w:rFonts w:ascii="Arial" w:hAnsi="Arial" w:eastAsia="Arial" w:cs="Arial"/>
        </w:rPr>
        <w:footnoteReference w:id="7"/>
      </w:r>
      <w:r>
        <w:rPr>
          <w:rFonts w:ascii="Arial" w:hAnsi="Arial" w:eastAsia="Arial" w:cs="Arial"/>
        </w:rPr>
        <w:t xml:space="preserve">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</w:rPr>
      </w:pPr>
      <w:r>
        <w:rPr>
          <w:rFonts w:ascii="Arial" w:hAnsi="Arial" w:eastAsia="Arial" w:cs="Arial"/>
          <w:b/>
          <w:bCs/>
          <w:i/>
          <w:iCs/>
        </w:rPr>
        <w:t xml:space="preserve">Compliance Lega</w:t>
      </w:r>
      <w:r>
        <w:rPr>
          <w:rFonts w:ascii="Arial" w:hAnsi="Arial" w:eastAsia="Arial" w:cs="Arial"/>
        </w:rPr>
        <w:t xml:space="preserve">l: Es la primera herramienta en España diseñada nativamente para facilitar el registro obligatorio de huella de carbono según el RD 214/2025.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hd w:val="nil" w:color="auto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</w:rPr>
      </w:r>
      <w:r>
        <w:rPr>
          <w:rFonts w:ascii="Arial" w:hAnsi="Arial" w:eastAsia="Arial" w:cs="Arial"/>
          <w:sz w:val="24"/>
          <w:szCs w:val="24"/>
          <w:lang w:val="es-ES"/>
        </w:rPr>
        <w:t xml:space="preserve">A continuación se expone un análisis de  la competencia o competitividad, estadísticas para apoyar  con datos referenciales y rigurosos sobre la problemática y un marco legal para dar soporte legislativa  a NetZero.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  <w:lang w:val="es-ES"/>
        </w:rPr>
      </w:r>
      <w:r>
        <w:rPr>
          <w:rFonts w:ascii="Arial" w:hAnsi="Arial" w:eastAsia="Arial" w:cs="Arial"/>
          <w:sz w:val="24"/>
          <w:szCs w:val="24"/>
          <w:highlight w:val="none"/>
          <w:lang w:val="es-ES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Análisis de la competitividad: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cs="Arial"/>
          <w:b/>
          <w:bCs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68"/>
        <w:gridCol w:w="3681"/>
        <w:gridCol w:w="6376"/>
        <w:gridCol w:w="9098"/>
      </w:tblGrid>
      <w:tr>
        <w:trPr/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Tipo de Proyecto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Ejemplos (Nacionales/UE)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Limitación Principal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/>
                <w:bCs/>
                <w:sz w:val="24"/>
                <w:szCs w:val="24"/>
              </w:rPr>
              <w:t xml:space="preserve">Ventaja de NetZero</w:t>
            </w:r>
            <w:r>
              <w:rPr>
                <w:rFonts w:ascii="Arial" w:hAnsi="Arial" w:eastAsia="Arial" w:cs="Arial"/>
                <w:b/>
                <w:bCs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Apps de Bienestar Digital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Forest, Screen Time (iOS/Android)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Solo miden "tiempo", no impacto biofísico (CO</w:t>
            </w:r>
            <w:r>
              <w:rPr>
                <w:rFonts w:ascii="Arial" w:hAnsi="Arial" w:eastAsia="Arial" w:cs="Arial"/>
                <w:sz w:val="24"/>
                <w:szCs w:val="24"/>
                <w:lang w:val="es-ES"/>
              </w:rPr>
              <w:t xml:space="preserve">2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, agua).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Conversión Física: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Traducimos minutos en gramos de carbono y centilitros de agua.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Consultoras de Carbono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Carbon Trust, South Pole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Procesos manuales, caros y lentos (auditorías trimestrales).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Real-Time Audit: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Auditoría automatizada y continua vía software (SaaS).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Extensiones de Navegador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b w:val="0"/>
                <w:bCs w:val="0"/>
                <w:i/>
                <w:iCs/>
                <w:sz w:val="24"/>
                <w:szCs w:val="24"/>
              </w:rPr>
              <w:t xml:space="preserve">Carbonalyser (The Shift Project)</w:t>
            </w:r>
            <w:r>
              <w:rPr>
                <w:rFonts w:ascii="Arial" w:hAnsi="Arial" w:eastAsia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b w:val="0"/>
                <w:bCs w:val="0"/>
                <w:i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Solo miden tráfico de navegador, ignoran Apps e IA.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 w:color="auto"/>
              <w:spacing/>
              <w:ind/>
              <w:rPr>
                <w:rFonts w:ascii="Arial" w:hAnsi="Arial" w:cs="Arial"/>
                <w:sz w:val="24"/>
                <w:szCs w:val="24"/>
                <w14:ligatures w14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Análisis Sistémico: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 Monitoriza todo el dispositivo (Apps, IA, CPU y Red).</w:t>
            </w:r>
            <w:r>
              <w:rPr>
                <w:rFonts w:ascii="Arial" w:hAnsi="Arial" w:eastAsia="Arial" w:cs="Arial"/>
                <w:sz w:val="24"/>
                <w:szCs w:val="24"/>
                <w14:ligatures w14:val="none"/>
              </w:rPr>
            </w:r>
            <w:r>
              <w:rPr>
                <w:rFonts w:ascii="Arial" w:hAnsi="Arial" w:cs="Arial"/>
                <w:sz w:val="24"/>
                <w:szCs w:val="24"/>
                <w14:ligatures w14:val="none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lang w:val="es-ES"/>
        </w:rPr>
        <w:t xml:space="preserve">Estadísticas y Marco Legal:</w:t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cs="Arial"/>
          <w:b/>
          <w:bCs/>
          <w:sz w:val="28"/>
          <w:szCs w:val="28"/>
          <w:highlight w:val="none"/>
        </w:rPr>
      </w:r>
    </w:p>
    <w:p>
      <w:pPr>
        <w:pBdr/>
        <w:shd w:val="nil" w:color="auto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single" w:color="808080" w:sz="6" w:space="0"/>
          <w:left w:val="single" w:color="808080" w:sz="6" w:space="0"/>
          <w:bottom w:val="single" w:color="808080" w:sz="6" w:space="0"/>
          <w:right w:val="single" w:color="808080" w:sz="6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5670"/>
      </w:tblGrid>
      <w:tr>
        <w:trPr>
          <w:trHeight w:val="78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 </w:t>
            </w: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Categoría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Dato Clave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auto"/>
                <w:sz w:val="24"/>
                <w:szCs w:val="24"/>
              </w:rPr>
              <w:t xml:space="preserve">Fuente de Referencia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Inteligencia Artificial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Consumo de agua (0.5L / 50 prompts)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U. of California, Riverside &amp; UT Arlington (2023): "Making AI Less Thirsty"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Consumo Energético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IA vs. Búsqueda Tradicional (10x más energía)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Agencia Internacional de la Energía (IEA): "Electricity 2024 Analysis and Forecast"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Streaming &amp; Apps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Huella por minuto (2.63g $CO_2$ en TikTok)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Greenly &amp; Carbon Trust: "The Carbon Footprint of Social Media" (2024-2025)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Ciclo de Vida (LCA)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Emisiones de fabricación vs. uso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Apple Environmental Progress Reports &amp; Fairphone LCA Studies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Contexto Nacional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50M de dispositivos en desuso en España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Fundación Ecolec &amp; Recyclia: "Informe Anual de Gestión de RAEE 2025"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140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Legislación (UE)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Reporte obligatorio de Alcance 3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Directiva (UE) 2022/2464 (CSRD) &amp; Reglamento (UE) 2021/1119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  <w:tr>
        <w:trPr>
          <w:trHeight w:val="1389"/>
        </w:trPr>
        <w:tc>
          <w:tcPr>
            <w:shd w:val="clear" w:color="ffffff" w:themeColor="background1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 w:themeColor="text1"/>
                <w:sz w:val="24"/>
                <w:szCs w:val="24"/>
              </w:rPr>
              <w:t xml:space="preserve">Legislación (ES)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Huella de carbono corporativa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670" w:type="dxa"/>
            <w:vAlign w:val="center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Arial" w:hAnsi="Arial" w:cs="Arial"/>
                <w:color w:val="auto"/>
                <w:sz w:val="24"/>
                <w:szCs w:val="24"/>
              </w:rPr>
            </w:pPr>
            <w:r>
              <w:rPr>
                <w:rFonts w:ascii="Arial" w:hAnsi="Arial" w:eastAsia="Arial" w:cs="Arial"/>
                <w:i/>
                <w:color w:val="auto"/>
                <w:sz w:val="24"/>
                <w:szCs w:val="24"/>
              </w:rPr>
              <w:t xml:space="preserve">Ley 7/2021 de Cambio Climático y Transición Energética (España)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  <w:t xml:space="preserve">​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</w:rPr>
            </w:r>
            <w:r>
              <w:rPr>
                <w:rFonts w:ascii="Arial" w:hAnsi="Arial" w:cs="Arial"/>
                <w:color w:val="auto"/>
                <w:sz w:val="24"/>
                <w:szCs w:val="24"/>
              </w:rPr>
            </w:r>
          </w:p>
        </w:tc>
      </w:tr>
    </w:tbl>
    <w:p>
      <w:pPr>
        <w:pBdr/>
        <w:shd w:val="nil" w:color="000000"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b/>
          <w:bCs/>
          <w:sz w:val="28"/>
          <w:szCs w:val="28"/>
          <w:highlight w:val="none"/>
        </w:rPr>
      </w:pP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eastAsia="Arial" w:cs="Arial"/>
          <w:b/>
          <w:bCs/>
          <w:sz w:val="28"/>
          <w:szCs w:val="28"/>
          <w:highlight w:val="none"/>
        </w:rPr>
      </w:r>
      <w:r>
        <w:rPr>
          <w:rFonts w:ascii="Arial" w:hAnsi="Arial" w:cs="Arial"/>
          <w:b/>
          <w:bCs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highlight w:val="none"/>
          <w:lang w:val="es-ES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26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701"/>
        <w:gridCol w:w="1907"/>
        <w:gridCol w:w="3479"/>
      </w:tblGrid>
      <w:tr>
        <w:trPr/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Norma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Ámbito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Lo que exige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Cómo ayuda NetZero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RD 214/2025 (ES)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Nacional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Reporte obligatorio de huella de carbono.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Cálculo automatizado de emisiones TIC.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Dir. (UE) 2024/825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Europeo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Prohibición de sellos "eco" sin datos.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Sello certificado basado en métricas reales.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Directiva CSRD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Europeo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Auditoría de Alcance 3 (Digital).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Medición del impacto de dispositivos remotos.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  <w:tr>
        <w:trPr/>
        <w:tc>
          <w:tcPr>
            <w:shd w:val="clear" w:color="ffffff" w:themeColor="background1" w:fill="ffffff" w:themeFill="background1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1f1f1f"/>
                <w:sz w:val="24"/>
                <w:szCs w:val="22"/>
              </w:rPr>
              <w:t xml:space="preserve">ISO 14064-1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70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Internacional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190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Estándar de verificación de GEI.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3479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color w:val="1f1f1f"/>
                <w:sz w:val="24"/>
                <w:szCs w:val="22"/>
              </w:rPr>
              <w:t xml:space="preserve">Metodología de cálculo certificable.</w:t>
            </w:r>
            <w:r>
              <w:rPr>
                <w:rFonts w:ascii="Arial" w:hAnsi="Arial" w:eastAsia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</w:r>
          </w:p>
        </w:tc>
      </w:tr>
    </w:tbl>
    <w:p>
      <w:pPr>
        <w:pBdr/>
        <w:spacing/>
        <w:ind w:left="360"/>
        <w:jc w:val="both"/>
        <w:rPr>
          <w:rFonts w:ascii="Arial" w:hAnsi="Arial" w:cs="Arial"/>
          <w:sz w:val="32"/>
          <w:szCs w:val="32"/>
        </w:rPr>
      </w:pPr>
      <w:r>
        <w:rPr>
          <w:rFonts w:ascii="Arial" w:hAnsi="Arial" w:eastAsia="Arial" w:cs="Arial"/>
          <w:b/>
          <w:bCs/>
          <w:sz w:val="22"/>
          <w:szCs w:val="22"/>
        </w:rPr>
      </w:r>
      <w:r>
        <w:rPr>
          <w:rFonts w:ascii="Arial" w:hAnsi="Arial" w:eastAsia="Arial" w:cs="Arial"/>
          <w:sz w:val="32"/>
          <w:szCs w:val="32"/>
        </w:rPr>
      </w:r>
      <w:r>
        <w:rPr>
          <w:rFonts w:ascii="Arial" w:hAnsi="Arial" w:cs="Arial"/>
          <w:sz w:val="32"/>
          <w:szCs w:val="32"/>
        </w:rPr>
      </w:r>
    </w:p>
    <w:p>
      <w:pPr>
        <w:pBdr/>
        <w:shd w:val="nil" w:color="auto"/>
        <w:spacing/>
        <w:ind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eastAsia="Arial" w:cs="Arial"/>
          <w:b/>
          <w:bCs/>
          <w:sz w:val="28"/>
          <w:szCs w:val="28"/>
        </w:rPr>
        <w:br w:type="page" w:clear="all"/>
      </w:r>
      <w:r>
        <w:rPr>
          <w:rFonts w:ascii="Arial" w:hAnsi="Arial" w:eastAsia="Arial" w:cs="Arial"/>
          <w:b/>
          <w:bCs/>
          <w:sz w:val="28"/>
          <w:szCs w:val="28"/>
        </w:rPr>
      </w:r>
      <w:r>
        <w:rPr>
          <w:rFonts w:ascii="Arial" w:hAnsi="Arial" w:cs="Arial"/>
          <w:b/>
          <w:bCs/>
          <w:sz w:val="28"/>
          <w:szCs w:val="28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54"/>
        <w:numPr>
          <w:ilvl w:val="0"/>
          <w:numId w:val="2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Hacia </w:t>
      </w:r>
      <w:r>
        <w:rPr>
          <w:rFonts w:ascii="Arial" w:hAnsi="Arial" w:eastAsia="Arial" w:cs="Arial"/>
        </w:rPr>
        <w:t xml:space="preserve">la solución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1. Fecha: 10/12/2025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1: Definición de la Identidad Visual.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Lluvia de ideas sobre cómo visualizar la "contaminación invisible".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Decidimos que NetZero no puede ser una app aburrida de datos. Definimos la paleta de colores y el concepto de "Humo Digital". El objetivo es que el usuario </w:t>
      </w:r>
      <w:r>
        <w:rPr>
          <w:rFonts w:ascii="Arial" w:hAnsi="Arial" w:eastAsia="Arial" w:cs="Arial"/>
          <w:i/>
          <w:iCs/>
          <w:color w:val="000000"/>
          <w:sz w:val="24"/>
        </w:rPr>
        <w:t xml:space="preserve">vea</w:t>
      </w:r>
      <w:r>
        <w:rPr>
          <w:rFonts w:ascii="Arial" w:hAnsi="Arial" w:eastAsia="Arial" w:cs="Arial"/>
          <w:color w:val="000000"/>
          <w:sz w:val="24"/>
        </w:rPr>
        <w:t xml:space="preserve"> el C</w:t>
      </w:r>
      <w:r>
        <w:rPr>
          <w:rFonts w:ascii="Arial" w:hAnsi="Arial" w:eastAsia="Arial" w:cs="Arial"/>
          <w:color w:val="000000"/>
          <w:sz w:val="24"/>
          <w:lang w:val="es-ES"/>
        </w:rPr>
        <w:t xml:space="preserve">O2</w:t>
      </w:r>
      <w:r>
        <w:rPr>
          <w:rFonts w:ascii="Arial" w:hAnsi="Arial" w:eastAsia="Arial" w:cs="Arial"/>
          <w:color w:val="000000"/>
          <w:sz w:val="24"/>
        </w:rPr>
        <w:t xml:space="preserve"> en su pantalla.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2. Fecha: 28/01/2025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2: Wireframes de la App Móvil.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Primeros bocetos de la navegación del usuario.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Diseñamos en papel el flujo de usuario: desde que abre la App hasta que ve su ranking de ahorro. Decidimos aplicar </w:t>
      </w:r>
      <w:r>
        <w:rPr>
          <w:rFonts w:ascii="Arial" w:hAnsi="Arial" w:eastAsia="Arial" w:cs="Arial"/>
          <w:b/>
          <w:color w:val="000000"/>
          <w:sz w:val="24"/>
        </w:rPr>
        <w:t xml:space="preserve">Nudging⁴</w:t>
      </w:r>
      <w:r>
        <w:rPr>
          <w:rFonts w:ascii="Arial" w:hAnsi="Arial" w:eastAsia="Arial" w:cs="Arial"/>
          <w:color w:val="000000"/>
          <w:sz w:val="24"/>
        </w:rPr>
        <w:t xml:space="preserve"> mediante alertas visuales de colores (Rojo/Verde) según el consumo de datos.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3. Fecha: 15/01/2026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3: Prototipado en Figma (App B2C).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Traslado de los bocetos a un </w:t>
      </w:r>
      <w:r>
        <w:rPr>
          <w:rFonts w:ascii="Arial" w:hAnsi="Arial" w:eastAsia="Arial" w:cs="Arial"/>
          <w:b/>
          <w:color w:val="000000"/>
          <w:sz w:val="24"/>
        </w:rPr>
        <w:t xml:space="preserve">Mockup de alta fidelidad</w:t>
      </w:r>
      <w:r>
        <w:rPr>
          <w:rFonts w:ascii="Arial" w:hAnsi="Arial" w:eastAsia="Arial" w:cs="Arial"/>
          <w:color w:val="000000"/>
          <w:sz w:val="24"/>
        </w:rPr>
        <w:t xml:space="preserve"> en Figma.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Hemos finalizado el diseño de la App para el ciudadano. Incluye pantallas de "Impacto por App" (Instagram vs. IA) y el ranking social. Todo el diseño prioriza la claridad para que cualquier persona entienda su huella de </w:t>
      </w:r>
      <w:r>
        <w:rPr>
          <w:rFonts w:ascii="Arial" w:hAnsi="Arial" w:eastAsia="Arial" w:cs="Arial"/>
          <w:b/>
          <w:color w:val="000000"/>
          <w:sz w:val="24"/>
        </w:rPr>
        <w:t xml:space="preserve">Alcance 3¹</w:t>
      </w:r>
      <w:r>
        <w:rPr>
          <w:rFonts w:ascii="Arial" w:hAnsi="Arial" w:eastAsia="Arial" w:cs="Arial"/>
          <w:color w:val="000000"/>
          <w:sz w:val="24"/>
        </w:rPr>
        <w:t xml:space="preserve">.</w:t>
        <w:br/>
        <w:br/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25092" cy="3509162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641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1725092" cy="3509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135.83pt;height:276.31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30280" cy="3509162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30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1730279" cy="3509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136.24pt;height:276.31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1066" cy="3428854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21608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1821066" cy="34288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143.39pt;height:269.9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</w:rPr>
        <w:fldChar w:fldCharType="begin"/>
        <w:instrText xml:space="preserve"> SEQ Figura \* Arabic </w:instrText>
        <w:fldChar w:fldCharType="separate"/>
      </w:r>
      <w:r>
        <w:rPr>
          <w:rFonts w:ascii="Arial" w:hAnsi="Arial" w:eastAsia="Arial" w:cs="Arial"/>
        </w:rPr>
        <w:t xml:space="preserve">1</w:t>
      </w:r>
      <w:r>
        <w:rPr>
          <w:rFonts w:ascii="Arial" w:hAnsi="Arial" w:eastAsia="Arial" w:cs="Arial"/>
        </w:rPr>
        <w:fldChar w:fldCharType="end"/>
      </w:r>
      <w:r>
        <w:rPr>
          <w:rFonts w:ascii="Arial" w:hAnsi="Arial" w:eastAsia="Arial" w:cs="Arial"/>
          <w:lang w:val="es-ES"/>
        </w:rPr>
        <w:t xml:space="preserve">:  Captura de Mockups  de pantalla de huella de carbono digital (izq), uso de Youtube (central), Gamification (dcha)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4. Fecha: 2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6</w:t>
      </w:r>
      <w:r>
        <w:rPr>
          <w:rFonts w:ascii="Arial" w:hAnsi="Arial" w:eastAsia="Arial" w:cs="Arial"/>
          <w:b/>
          <w:color w:val="000000"/>
          <w:sz w:val="24"/>
        </w:rPr>
        <w:t xml:space="preserve">/02/2026</w:t>
      </w:r>
      <w:r>
        <w:rPr>
          <w:rFonts w:ascii="Arial" w:hAnsi="Arial" w:eastAsia="Arial" w:cs="Arial"/>
          <w:color w:val="000000"/>
          <w:sz w:val="24"/>
        </w:rPr>
        <w:t xml:space="preserve"> | </w:t>
      </w:r>
      <w:r>
        <w:rPr>
          <w:rFonts w:ascii="Arial" w:hAnsi="Arial" w:eastAsia="Arial" w:cs="Arial"/>
          <w:b/>
          <w:color w:val="000000"/>
          <w:sz w:val="24"/>
        </w:rPr>
        <w:t xml:space="preserve">Reunión 4: Diseño de la WebApp y Control Hub.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Creación del </w:t>
      </w:r>
      <w:r>
        <w:rPr>
          <w:rFonts w:ascii="Arial" w:hAnsi="Arial" w:eastAsia="Arial" w:cs="Arial"/>
          <w:b/>
          <w:color w:val="000000"/>
          <w:sz w:val="24"/>
        </w:rPr>
        <w:t xml:space="preserve">Mockup 16:9</w:t>
      </w:r>
      <w:r>
        <w:rPr>
          <w:rFonts w:ascii="Arial" w:hAnsi="Arial" w:eastAsia="Arial" w:cs="Arial"/>
          <w:color w:val="000000"/>
          <w:sz w:val="24"/>
        </w:rPr>
        <w:t xml:space="preserve"> para el panel de gestión de empresas.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Finalizamos en Figma la </w:t>
      </w:r>
      <w:r>
        <w:rPr>
          <w:rFonts w:ascii="Arial" w:hAnsi="Arial" w:eastAsia="Arial" w:cs="Arial"/>
          <w:b/>
          <w:color w:val="000000"/>
          <w:sz w:val="24"/>
        </w:rPr>
        <w:t xml:space="preserve">WebApp (B2B³)</w:t>
      </w:r>
      <w:r>
        <w:rPr>
          <w:rFonts w:ascii="Arial" w:hAnsi="Arial" w:eastAsia="Arial" w:cs="Arial"/>
          <w:color w:val="000000"/>
          <w:sz w:val="24"/>
        </w:rPr>
        <w:t xml:space="preserve">. Hemos diseñado un Dashboard profesional con gráficas de barras y sectores que muestran el consumo total de una oficina, permitiendo visualizar cómo sería un informe de sostenibilidad real.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highlight w:val="none"/>
        </w:rPr>
      </w: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60609" cy="431035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90036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860609" cy="4310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382.73pt;height:339.4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  <w:lang w:val="es-ES"/>
        </w:rPr>
        <w:t xml:space="preserve">2</w:t>
      </w:r>
      <w:r>
        <w:rPr>
          <w:rFonts w:ascii="Arial" w:hAnsi="Arial" w:eastAsia="Arial" w:cs="Arial"/>
        </w:rPr>
        <w:t xml:space="preserve">: Dashboard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5. Fecha: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 27</w:t>
      </w:r>
      <w:r>
        <w:rPr>
          <w:rFonts w:ascii="Arial" w:hAnsi="Arial" w:eastAsia="Arial" w:cs="Arial"/>
          <w:b/>
          <w:color w:val="000000"/>
          <w:sz w:val="24"/>
        </w:rPr>
        <w:t xml:space="preserve">/0</w:t>
      </w:r>
      <w:r>
        <w:rPr>
          <w:rFonts w:ascii="Arial" w:hAnsi="Arial" w:eastAsia="Arial" w:cs="Arial"/>
          <w:b/>
          <w:color w:val="000000"/>
          <w:sz w:val="24"/>
          <w:lang w:val="es-ES"/>
        </w:rPr>
        <w:t xml:space="preserve">2</w:t>
      </w:r>
      <w:r>
        <w:rPr>
          <w:rFonts w:ascii="Arial" w:hAnsi="Arial" w:eastAsia="Arial" w:cs="Arial"/>
          <w:b/>
          <w:color w:val="000000"/>
          <w:sz w:val="24"/>
        </w:rPr>
        <w:t xml:space="preserve">/2026</w:t>
      </w:r>
      <w:r>
        <w:rPr>
          <w:rFonts w:ascii="Arial" w:hAnsi="Arial" w:eastAsia="Arial" w:cs="Arial"/>
          <w:color w:val="000000"/>
          <w:sz w:val="24"/>
        </w:rPr>
        <w:t xml:space="preserve">| </w:t>
      </w:r>
      <w:r>
        <w:rPr>
          <w:rFonts w:ascii="Arial" w:hAnsi="Arial" w:eastAsia="Arial" w:cs="Arial"/>
          <w:b/>
          <w:color w:val="000000"/>
          <w:sz w:val="24"/>
        </w:rPr>
        <w:t xml:space="preserve">Reunión 5: Sistema de Sellos y Validación Visual.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Detalles:</w:t>
      </w:r>
      <w:r>
        <w:rPr>
          <w:rFonts w:ascii="Arial" w:hAnsi="Arial" w:eastAsia="Arial" w:cs="Arial"/>
          <w:color w:val="000000"/>
          <w:sz w:val="24"/>
        </w:rPr>
        <w:t xml:space="preserve"> Diseño gráfico de los </w:t>
      </w:r>
      <w:r>
        <w:rPr>
          <w:rFonts w:ascii="Arial" w:hAnsi="Arial" w:eastAsia="Arial" w:cs="Arial"/>
          <w:b/>
          <w:color w:val="000000"/>
          <w:sz w:val="24"/>
        </w:rPr>
        <w:t xml:space="preserve">Sellos NetZero</w:t>
      </w:r>
      <w:r>
        <w:rPr>
          <w:rFonts w:ascii="Arial" w:hAnsi="Arial" w:eastAsia="Arial" w:cs="Arial"/>
          <w:color w:val="000000"/>
          <w:sz w:val="24"/>
        </w:rPr>
        <w:t xml:space="preserve"> (Oro, Plata, Bronce).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8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</w:rPr>
      </w:pPr>
      <w:r>
        <w:rPr>
          <w:rFonts w:ascii="Arial" w:hAnsi="Arial" w:eastAsia="Arial" w:cs="Arial"/>
          <w:b/>
          <w:color w:val="000000"/>
          <w:sz w:val="24"/>
        </w:rPr>
        <w:t xml:space="preserve">Informe:</w:t>
      </w:r>
      <w:r>
        <w:rPr>
          <w:rFonts w:ascii="Arial" w:hAnsi="Arial" w:eastAsia="Arial" w:cs="Arial"/>
          <w:color w:val="000000"/>
          <w:sz w:val="24"/>
        </w:rPr>
        <w:t xml:space="preserve"> Hemos diseñado los sellos que las empresas podrán lucir en sus webs. El diseño está blindado visualmente para evitar el </w:t>
      </w:r>
      <w:r>
        <w:rPr>
          <w:rFonts w:ascii="Arial" w:hAnsi="Arial" w:eastAsia="Arial" w:cs="Arial"/>
          <w:b/>
          <w:color w:val="000000"/>
          <w:sz w:val="24"/>
        </w:rPr>
        <w:t xml:space="preserve">Greenwashing⁶</w:t>
      </w:r>
      <w:r>
        <w:rPr>
          <w:rFonts w:ascii="Arial" w:hAnsi="Arial" w:eastAsia="Arial" w:cs="Arial"/>
          <w:color w:val="000000"/>
          <w:sz w:val="24"/>
        </w:rPr>
        <w:t xml:space="preserve">, incluyendo un código QR (simulado en el mockup) que llevaría a los datos de la auditoría. El proyecto conceptual está cerrado y listo para su presentación.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Bdr/>
        <w:spacing/>
        <w:ind/>
        <w:jc w:val="both"/>
        <w:rPr>
          <w:rFonts w:ascii="Arial" w:hAnsi="Arial" w:cs="Arial"/>
        </w:rPr>
      </w:pPr>
      <w:r>
        <w:rPr>
          <w:rFonts w:ascii="Arial" w:hAnsi="Arial" w:eastAsia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06648" cy="450422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6414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706648" cy="45042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49.34pt;height:354.66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>
      <w:pPr>
        <w:pStyle w:val="1237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Figura </w:t>
      </w:r>
      <w:r>
        <w:rPr>
          <w:rFonts w:ascii="Arial" w:hAnsi="Arial" w:eastAsia="Arial" w:cs="Arial"/>
          <w:lang w:val="es-ES"/>
        </w:rPr>
        <w:t xml:space="preserve">3: Sellos Huella Digital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Montserrat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column">
                <wp:posOffset>-299720</wp:posOffset>
              </wp:positionH>
              <wp:positionV relativeFrom="paragraph">
                <wp:posOffset>-57624</wp:posOffset>
              </wp:positionV>
              <wp:extent cx="6743760" cy="541594"/>
              <wp:effectExtent l="0" t="0" r="0" b="0"/>
              <wp:wrapNone/>
              <wp:docPr id="6" name="Grup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43760" cy="541594"/>
                        <a:chOff x="0" y="0"/>
                        <a:chExt cx="7418136" cy="595753"/>
                      </a:xfrm>
                    </wpg:grpSpPr>
                    <wpg:grpSp>
                      <wpg:cNvGrpSpPr/>
                      <wpg:grpSpPr bwMode="auto">
                        <a:xfrm>
                          <a:off x="0" y="69338"/>
                          <a:ext cx="7418136" cy="526415"/>
                          <a:chOff x="0" y="0"/>
                          <a:chExt cx="7418136" cy="526415"/>
                        </a:xfrm>
                      </wpg:grpSpPr>
                      <pic:pic xmlns:pic="http://schemas.openxmlformats.org/drawingml/2006/picture">
                        <pic:nvPicPr>
                          <pic:cNvPr id="600460239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5295331" y="34119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460240" name=""/>
                        <wps:cNvSpPr txBox="1"/>
                        <wps:spPr bwMode="auto">
                          <a:xfrm>
                            <a:off x="0" y="0"/>
                            <a:ext cx="5308600" cy="5264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right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Financiado por la Unión Europea. No obstante, los puntos de vista y opiniones expresados son e</w:t>
                              </w: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/>
                          <a:noAutofit/>
                        </wps:bodyPr>
                      </wps:wsp>
                    </wpg:grpSp>
                    <wps:wsp>
                      <wps:cNvPr id="600460241" name=""/>
                      <wps:cNvSpPr/>
                      <wps:spPr bwMode="auto">
                        <a:xfrm>
                          <a:off x="130010" y="0"/>
                          <a:ext cx="7134225" cy="45719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9A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1" o:spid="_x0000_s0000" style="position:absolute;z-index:251671552;o:allowoverlap:true;o:allowincell:true;mso-position-horizontal-relative:text;margin-left:-23.60pt;mso-position-horizontal:absolute;mso-position-vertical-relative:text;margin-top:-4.54pt;mso-position-vertical:absolute;width:531.00pt;height:42.65pt;mso-wrap-distance-left:9.00pt;mso-wrap-distance-top:0.00pt;mso-wrap-distance-right:9.00pt;mso-wrap-distance-bottom:0.00pt;" coordorigin="0,0" coordsize="74181,5957">
              <v:group id="group 12" o:spid="_x0000_s0000" style="position:absolute;left:0;top:693;width:74181;height:5264;" coordorigin="0,0" coordsize="74181,526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" o:spid="_x0000_s13" type="#_x0000_t75" style="position:absolute;left:52953;top:341;width:21228;height:4457;z-index:1;" stroked="false">
                  <v:imagedata r:id="rId1" o:title=""/>
                  <o:lock v:ext="edit" rotation="t"/>
                </v:shape>
                <v:shape id="shape 14" o:spid="_x0000_s14" o:spt="202" type="#_x0000_t202" style="position:absolute;left:0;top:0;width:53086;height:5264;v-text-anchor:top;visibility:visible;" filled="f" stroked="f" strokeweight="0.50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right"/>
                          <w:rPr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Financiado por la Unión Europea. No obstante, los puntos de vista y opiniones expresados son e</w:t>
                        </w: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shape id="shape 15" o:spid="_x0000_s15" o:spt="2" type="#_x0000_t2" style="position:absolute;left:1300;top:0;width:71342;height:457;visibility:visible;" fillcolor="#79AC2B" stroked="f" strokeweight="1.00pt">
                <v:stroke dashstyle="solid"/>
              </v:shape>
            </v:group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381173" cy="699655"/>
              <wp:effectExtent l="0" t="0" r="635" b="5715"/>
              <wp:wrapNone/>
              <wp:docPr id="7" name="Immagin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2016775" name="Immagine 208201677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381173" cy="699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6" o:spid="_x0000_s16" type="#_x0000_t75" style="position:absolute;z-index:251658240;o:allowoverlap:true;o:allowincell:true;mso-position-horizontal-relative:margin;mso-position-horizontal:center;mso-position-vertical-relative:page;mso-position-vertical:bottom;width:502.45pt;height:55.0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  <w:footnote w:id="2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Metodología LCA (Life Cycle Assessment): El motor de cálculo emplea el modelo OneByte (intensidad energética por transferencia de datos) combinado con algoritmos de Amortización de Carbono Embebido (fabricación/vida útil) y Tracking de Inferencia Neuronal.</w:t>
      </w:r>
      <w:r>
        <w:rPr>
          <w:sz w:val="20"/>
          <w:szCs w:val="20"/>
        </w:rPr>
        <w:t xml:space="preserve"> Esta arquitectura permite diferenciar el impacto masivo de la IA frente al cómputo tradicional, integrando factores de emisión dinámicos de la IEA y MITECO bajo el estándar ISO 14064-1.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3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Segmento de la solución orientado exclusivamente a organizaciones y administraciones públicas. Permite la gestión centralizada de flotas de dispositivos, la consolidación de métricas grupales y la emisión de certificados de sostenibilidad corporativa con v</w:t>
      </w:r>
      <w:r>
        <w:rPr>
          <w:sz w:val="20"/>
          <w:szCs w:val="20"/>
        </w:rPr>
        <w:t xml:space="preserve">alidez legal.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4">
    <w:p>
      <w:pPr>
        <w:pStyle w:val="1238"/>
        <w:pBdr/>
        <w:spacing/>
        <w:ind/>
        <w:rPr>
          <w:sz w:val="20"/>
          <w:szCs w:val="20"/>
        </w:rPr>
      </w:pPr>
      <w:r>
        <w:rPr>
          <w:rStyle w:val="1240"/>
          <w:sz w:val="20"/>
          <w:szCs w:val="20"/>
        </w:rPr>
        <w:footnoteRef/>
      </w:r>
      <w:r>
        <w:rPr>
          <w:sz w:val="20"/>
          <w:szCs w:val="20"/>
        </w:rPr>
        <w:t xml:space="preserve">Clasificación GHG Protocol: Alcance 1 (Emisiones directas/combustión); Alcance 2 (Energía comprada); Alcance 3 (Cadena de valor y uso de tecnología). NetZero se especializa en el Alcance 3, auditando el impacto indirecto derivado del uso de dispositivos y </w:t>
      </w:r>
      <w:r>
        <w:rPr>
          <w:sz w:val="20"/>
          <w:szCs w:val="20"/>
        </w:rPr>
        <w:t xml:space="preserve">servicios digitales.</w:t>
      </w:r>
      <w:r>
        <w:rPr>
          <w:sz w:val="20"/>
          <w:szCs w:val="20"/>
        </w:rPr>
      </w:r>
      <w:r>
        <w:rPr>
          <w:sz w:val="20"/>
          <w:szCs w:val="20"/>
        </w:rPr>
      </w:r>
    </w:p>
  </w:footnote>
  <w:footnote w:id="5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Nudging (Teoría del Empujón): Metodología de la economía del comportamiento que utiliza intervenciones de diseño sutiles y no restrictivas (ej. comparativas sociales o alertas de impacto hídrico en tiempo real) para orientar al usuario hacia decisiones dig</w:t>
      </w:r>
      <w:r>
        <w:t xml:space="preserve">itales más sostenibles sin limitar su libertad de u</w:t>
      </w:r>
      <w:r/>
    </w:p>
  </w:footnote>
  <w:footnote w:id="6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Marco de desarrollo tecnológico que prioriza el impacto positivo en los grandes desafíos globales (sociales y ambientales). En NetZero, esto se traduce en el uso de Edge Computing para maximizar la eficiencia energética y la Privacidad por Diseño (Privacy </w:t>
      </w:r>
      <w:r>
        <w:t xml:space="preserve">by Design), garantizando que el avance digital no comprometa los recursos del planeta ni la seguridad del ciudadano.</w:t>
      </w:r>
      <w:r/>
    </w:p>
  </w:footnote>
  <w:footnote w:id="7">
    <w:p>
      <w:pPr>
        <w:pStyle w:val="1238"/>
        <w:pBdr/>
        <w:spacing/>
        <w:ind/>
        <w:rPr/>
      </w:pPr>
      <w:r>
        <w:rPr>
          <w:rStyle w:val="1240"/>
        </w:rPr>
        <w:footnoteRef/>
      </w:r>
      <w:r>
        <w:t xml:space="preserve"> </w:t>
      </w:r>
      <w:r>
        <w:t xml:space="preserve">Greenwashing (Blanqueo Ecológico): Práctica de marketing engañosa que presenta una imagen de sostenibilidad sin una base de datos real.</w:t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64"/>
      <w:tblInd w:w="4111" w:type="dxa"/>
      <w:tblW w:w="907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single" w:color="00b29e" w:sz="18" w:space="0"/>
      </w:tblBorders>
      <w:tblLook w:val="04A0" w:firstRow="1" w:lastRow="0" w:firstColumn="1" w:lastColumn="0" w:noHBand="0" w:noVBand="1"/>
    </w:tblPr>
    <w:tblGrid>
      <w:gridCol w:w="889"/>
      <w:gridCol w:w="8183"/>
    </w:tblGrid>
    <w:tr>
      <w:trPr/>
      <w:tc>
        <w:tcPr>
          <w:shd w:val="clear" w:color="auto" w:fill="auto"/>
          <w:tcBorders>
            <w:bottom w:val="none" w:color="000000" w:sz="4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Título: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none" w:color="000000" w:sz="4" w:space="0"/>
          </w:tcBorders>
          <w:tcW w:w="8183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  <w:lang w:val="es-ES"/>
            </w:rPr>
            <w:t xml:space="preserve">NetZero</w:t>
          </w:r>
          <w:r>
            <w:rPr>
              <w:b/>
              <w:sz w:val="16"/>
              <w:szCs w:val="16"/>
            </w:rPr>
          </w:r>
          <w:r>
            <w:rPr>
              <w:b/>
              <w:sz w:val="16"/>
              <w:szCs w:val="16"/>
            </w:rPr>
          </w:r>
        </w:p>
      </w:tc>
    </w:tr>
    <w:tr>
      <w:trPr/>
      <w:tc>
        <w:tcPr>
          <w:tcBorders>
            <w:bottom w:val="single" w:color="467445" w:sz="18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Autores: 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single" w:color="467445" w:sz="18" w:space="0"/>
          </w:tcBorders>
          <w:tcW w:w="8183" w:type="dxa"/>
          <w:textDirection w:val="lrTb"/>
          <w:noWrap w:val="false"/>
        </w:tcPr>
        <w:p>
          <w:pPr>
            <w:pStyle w:val="1260"/>
            <w:pBdr/>
            <w:spacing w:line="276" w:lineRule="auto"/>
            <w:ind/>
            <w:rPr>
              <w:sz w:val="16"/>
              <w:szCs w:val="16"/>
            </w:rPr>
          </w:pPr>
          <w:r>
            <w:rPr>
              <w:sz w:val="16"/>
              <w:szCs w:val="16"/>
              <w:lang w:val="es-ES"/>
            </w:rPr>
            <w:t xml:space="preserve">Iván Jimenez, Diego Rojo, Aitor de Santos y Borja Bergua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</w:tr>
  </w:tbl>
  <w:p>
    <w:pPr>
      <w:pStyle w:val="12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margin">
                <wp:posOffset>-158115</wp:posOffset>
              </wp:positionH>
              <wp:positionV relativeFrom="paragraph">
                <wp:posOffset>-570156</wp:posOffset>
              </wp:positionV>
              <wp:extent cx="1956435" cy="697082"/>
              <wp:effectExtent l="0" t="0" r="5715" b="8255"/>
              <wp:wrapNone/>
              <wp:docPr id="1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2558524" name="Immagine 4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956435" cy="6970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9504;o:allowoverlap:true;o:allowincell:true;mso-position-horizontal-relative:margin;margin-left:-12.45pt;mso-position-horizontal:absolute;mso-position-vertical-relative:text;margin-top:-44.89pt;mso-position-vertical:absolute;width:154.05pt;height:54.8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2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3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67456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2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769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-254015</wp:posOffset>
              </wp:positionV>
              <wp:extent cx="6224391" cy="697230"/>
              <wp:effectExtent l="0" t="0" r="5080" b="7620"/>
              <wp:wrapNone/>
              <wp:docPr id="3" name="Grup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24391" cy="697082"/>
                        <a:chOff x="0" y="74"/>
                        <a:chExt cx="6224391" cy="697082"/>
                      </a:xfrm>
                    </wpg:grpSpPr>
                    <wpg:grpSp>
                      <wpg:cNvGrpSpPr/>
                      <wpg:grpSpPr bwMode="auto">
                        <a:xfrm>
                          <a:off x="0" y="74"/>
                          <a:ext cx="2068901" cy="697082"/>
                          <a:chOff x="0" y="74"/>
                          <a:chExt cx="2068901" cy="697082"/>
                        </a:xfrm>
                      </wpg:grpSpPr>
                      <pic:pic xmlns:pic="http://schemas.openxmlformats.org/drawingml/2006/picture">
                        <pic:nvPicPr>
                          <pic:cNvPr id="1381050287" name="Immagine 4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112466" y="74"/>
                            <a:ext cx="1956435" cy="697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8" name=""/>
                        <wps:cNvSpPr/>
                        <wps:spPr bwMode="auto">
                          <a:xfrm>
                            <a:off x="0" y="166254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4101586" y="110997"/>
                          <a:ext cx="2122805" cy="445770"/>
                          <a:chOff x="0" y="0"/>
                          <a:chExt cx="2122805" cy="445770"/>
                        </a:xfrm>
                      </wpg:grpSpPr>
                      <pic:pic xmlns:pic="http://schemas.openxmlformats.org/drawingml/2006/picture">
                        <pic:nvPicPr>
                          <pic:cNvPr id="430163484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">
                            <a:extLst>
                              <a:ext uri="{96DAC541-7B7A-43D3-8B79-37D633B846F1}">
                                <asvg:svgBlip xmlns:asvg="http://schemas.microsoft.com/office/drawing/2016/SVG/main" r:embed="rId3"/>
                              </a:ext>
                            </a:extLst>
                          </a:blip>
                          <a:stretch/>
                        </pic:blipFill>
                        <pic:spPr bwMode="auto">
                          <a:xfrm>
                            <a:off x="0" y="0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9" name=""/>
                        <wps:cNvSpPr/>
                        <wps:spPr bwMode="auto">
                          <a:xfrm>
                            <a:off x="1971675" y="230505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251677696;o:allowoverlap:true;o:allowincell:true;mso-position-horizontal-relative:margin;mso-position-horizontal:center;mso-position-vertical-relative:text;margin-top:-20.00pt;mso-position-vertical:absolute;width:490.11pt;height:54.90pt;mso-wrap-distance-left:9.00pt;mso-wrap-distance-top:0.00pt;mso-wrap-distance-right:9.00pt;mso-wrap-distance-bottom:0.00pt;" coordorigin="0,0" coordsize="62243,6970">
              <v:group id="group 3" o:spid="_x0000_s0000" style="position:absolute;left:0;top:0;width:20689;height:6970;" coordorigin="0,0" coordsize="20689,697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1124;top:0;width:19564;height:6970;z-index:1;" stroked="false">
                  <v:imagedata r:id="rId1" o:title=""/>
                  <o:lock v:ext="edit" rotation="t"/>
                </v:shape>
                <v:shape id="shape 5" o:spid="_x0000_s5" o:spt="1" type="#_x0000_t1" style="position:absolute;left:0;top:1662;width:1511;height:1257;visibility:visible;" filled="f" stroked="f" strokeweight="1.00pt">
                  <v:stroke dashstyle="solid"/>
                </v:shape>
              </v:group>
              <v:group id="group 6" o:spid="_x0000_s0000" style="position:absolute;left:41015;top:1109;width:21228;height:4457;" coordorigin="0,0" coordsize="21228,44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0;top:0;width:21228;height:4457;z-index:1;" stroked="false">
                  <v:imagedata r:id="rId2" o:title=""/>
                  <o:lock v:ext="edit" rotation="t"/>
                </v:shape>
                <v:shape id="shape 8" o:spid="_x0000_s8" o:spt="1" type="#_x0000_t1" style="position:absolute;left:19716;top:2305;width:1511;height:1257;visibility:visible;" filled="f" stroked="f" strokeweight="1.00pt">
                  <v:stroke dashstyle="solid"/>
                </v:shape>
              </v:group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4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4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5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251655168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4144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95330" cy="10658475"/>
              <wp:effectExtent l="4127" t="0" r="5398" b="5397"/>
              <wp:wrapNone/>
              <wp:docPr id="5" name="Rettango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6199998">
                        <a:off x="0" y="0"/>
                        <a:ext cx="10895330" cy="10658475"/>
                      </a:xfrm>
                      <a:prstGeom prst="rect">
                        <a:avLst/>
                      </a:prstGeom>
                      <a:solidFill>
                        <a:srgbClr val="79AC2B">
                          <a:alpha val="34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251654144;o:allowoverlap:true;o:allowincell:true;mso-position-horizontal-relative:margin;mso-position-horizontal:center;mso-position-vertical-relative:margin;mso-position-vertical:center;width:857.90pt;height:839.25pt;mso-wrap-distance-left:9.00pt;mso-wrap-distance-top:0.00pt;mso-wrap-distance-right:9.00pt;mso-wrap-distance-bottom:0.00pt;rotation:269;visibility:visible;" fillcolor="#79AC2B" stroked="f" strokeweight="1.00pt">
              <v:fill opacity="22102f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EB1EF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3E56C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4D30F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95A3DE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E263F6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3DD1D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42E31D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79E00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C95050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61619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8B37AD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D2754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446E6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481B678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49C678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535252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5C41A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59D4570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6214698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62686A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4E86D00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9023DA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6EC83CA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73DB6DE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D922AD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B3CB2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C214F6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7">
    <w:nsid w:val="78855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0D5A5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51157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10073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FA1805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2">
    <w:nsid w:val="400724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5AA2DC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0A0DE02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9D210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271F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3"/>
  </w:num>
  <w:num w:numId="2">
    <w:abstractNumId w:val="21"/>
  </w:num>
  <w:num w:numId="3">
    <w:abstractNumId w:val="9"/>
  </w:num>
  <w:num w:numId="4">
    <w:abstractNumId w:val="14"/>
  </w:num>
  <w:num w:numId="5">
    <w:abstractNumId w:val="5"/>
  </w:num>
  <w:num w:numId="6">
    <w:abstractNumId w:val="23"/>
  </w:num>
  <w:num w:numId="7">
    <w:abstractNumId w:val="12"/>
  </w:num>
  <w:num w:numId="8">
    <w:abstractNumId w:val="11"/>
  </w:num>
  <w:num w:numId="9">
    <w:abstractNumId w:val="3"/>
  </w:num>
  <w:num w:numId="10">
    <w:abstractNumId w:val="1"/>
  </w:num>
  <w:num w:numId="11">
    <w:abstractNumId w:val="17"/>
  </w:num>
  <w:num w:numId="12">
    <w:abstractNumId w:val="16"/>
  </w:num>
  <w:num w:numId="13">
    <w:abstractNumId w:val="8"/>
  </w:num>
  <w:num w:numId="14">
    <w:abstractNumId w:val="24"/>
  </w:num>
  <w:num w:numId="15">
    <w:abstractNumId w:val="22"/>
  </w:num>
  <w:num w:numId="16">
    <w:abstractNumId w:val="7"/>
  </w:num>
  <w:num w:numId="17">
    <w:abstractNumId w:val="20"/>
  </w:num>
  <w:num w:numId="18">
    <w:abstractNumId w:val="0"/>
  </w:num>
  <w:num w:numId="19">
    <w:abstractNumId w:val="6"/>
  </w:num>
  <w:num w:numId="20">
    <w:abstractNumId w:val="2"/>
  </w:num>
  <w:num w:numId="21">
    <w:abstractNumId w:val="15"/>
  </w:num>
  <w:num w:numId="22">
    <w:abstractNumId w:val="4"/>
  </w:num>
  <w:num w:numId="23">
    <w:abstractNumId w:val="10"/>
  </w:num>
  <w:num w:numId="24">
    <w:abstractNumId w:val="18"/>
  </w:num>
  <w:num w:numId="25">
    <w:abstractNumId w:val="19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93">
    <w:name w:val="Table Grid Light"/>
    <w:basedOn w:val="12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Plain Table 2"/>
    <w:basedOn w:val="12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Plain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Plain Table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Plain Table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1 Light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1 Light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1 Light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1 Light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1 Light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1 Light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1 Light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2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2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2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2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2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2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Grid Table 3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Grid Table 3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Grid Table 3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Grid Table 3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Grid Table 3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Grid Table 3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Grid Table 4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Grid Table 4 - Accent 1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Grid Table 4 - Accent 2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Grid Table 4 - Accent 3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4 - Accent 4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4 - Accent 5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4 - Accent 6"/>
    <w:basedOn w:val="12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5 Dark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5 Dark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5 Dark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5 Dark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5 Dark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5 Dark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5 Dark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6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6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6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6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6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6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6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7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7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7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7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7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7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7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1 Light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1 Light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1 Light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1 Light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1 Light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1 Light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1 Light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2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2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2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2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2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2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st Table 3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st Table 3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st Table 3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st Table 3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st Table 3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st Table 3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st Table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st Table 4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st Table 4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List Table 4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4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4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4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5 Dark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5 Dark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5 Dark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5 Dark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5 Dark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5 Dark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5 Dark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6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6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6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6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6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6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6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7 Colorful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7 Colorful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7 Colorful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7 Colorful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7 Colorful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7 Colorful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7 Colorful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ned - Accent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ned - Accent 1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ned - Accent 2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ned - Accent 3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ned - Accent 4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ned - Accent 5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ned - Accent 6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Bordered &amp; Lined - Accent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Bordered &amp; Lined - Accent 1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Bordered &amp; Lined - Accent 2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Bordered &amp; Lined - Accent 3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Bordered &amp; Lined - Accent 4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Bordered &amp; Lined - Accent 5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Bordered &amp; Lined - Accent 6"/>
    <w:basedOn w:val="12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Bordered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Bordered - Accent 1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Bordered - Accent 2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Bordered - Accent 3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Bordered - Accent 4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Bordered - Accent 5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Bordered - Accent 6"/>
    <w:basedOn w:val="12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17">
    <w:name w:val="Heading 5"/>
    <w:basedOn w:val="1252"/>
    <w:next w:val="1252"/>
    <w:link w:val="12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18">
    <w:name w:val="Heading 6"/>
    <w:basedOn w:val="1252"/>
    <w:next w:val="1252"/>
    <w:link w:val="12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19">
    <w:name w:val="Heading 7"/>
    <w:basedOn w:val="1252"/>
    <w:next w:val="1252"/>
    <w:link w:val="12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20">
    <w:name w:val="Heading 8"/>
    <w:basedOn w:val="1252"/>
    <w:next w:val="1252"/>
    <w:link w:val="122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21">
    <w:name w:val="Heading 9"/>
    <w:basedOn w:val="1252"/>
    <w:next w:val="1252"/>
    <w:link w:val="123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22">
    <w:name w:val="Heading 1 Char"/>
    <w:basedOn w:val="1257"/>
    <w:link w:val="12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23">
    <w:name w:val="Heading 2 Char"/>
    <w:basedOn w:val="1257"/>
    <w:link w:val="12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24">
    <w:name w:val="Heading 3 Char"/>
    <w:basedOn w:val="1257"/>
    <w:link w:val="12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25">
    <w:name w:val="Heading 4 Char"/>
    <w:basedOn w:val="1257"/>
    <w:link w:val="12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26">
    <w:name w:val="Heading 5 Char"/>
    <w:basedOn w:val="1257"/>
    <w:link w:val="12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27">
    <w:name w:val="Heading 6 Char"/>
    <w:basedOn w:val="1257"/>
    <w:link w:val="12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28">
    <w:name w:val="Heading 7 Char"/>
    <w:basedOn w:val="1257"/>
    <w:link w:val="12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29">
    <w:name w:val="Heading 8 Char"/>
    <w:basedOn w:val="1257"/>
    <w:link w:val="12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30">
    <w:name w:val="Heading 9 Char"/>
    <w:basedOn w:val="1257"/>
    <w:link w:val="12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31">
    <w:name w:val="Title Char"/>
    <w:basedOn w:val="1257"/>
    <w:link w:val="12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232">
    <w:name w:val="Subtitle Char"/>
    <w:basedOn w:val="1257"/>
    <w:link w:val="12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33">
    <w:name w:val="Quote Char"/>
    <w:basedOn w:val="1257"/>
    <w:link w:val="12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34">
    <w:name w:val="Intense Quote Char"/>
    <w:basedOn w:val="1257"/>
    <w:link w:val="12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35">
    <w:name w:val="Header Char"/>
    <w:basedOn w:val="1257"/>
    <w:link w:val="1260"/>
    <w:uiPriority w:val="99"/>
    <w:pPr>
      <w:pBdr/>
      <w:spacing/>
      <w:ind/>
    </w:pPr>
  </w:style>
  <w:style w:type="character" w:styleId="1236">
    <w:name w:val="Footer Char"/>
    <w:basedOn w:val="1257"/>
    <w:link w:val="1262"/>
    <w:uiPriority w:val="99"/>
    <w:pPr>
      <w:pBdr/>
      <w:spacing/>
      <w:ind/>
    </w:pPr>
  </w:style>
  <w:style w:type="paragraph" w:styleId="1237">
    <w:name w:val="Caption"/>
    <w:basedOn w:val="1252"/>
    <w:next w:val="12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38">
    <w:name w:val="footnote text"/>
    <w:basedOn w:val="1252"/>
    <w:link w:val="12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39">
    <w:name w:val="Footnote Text Char"/>
    <w:basedOn w:val="1257"/>
    <w:link w:val="1238"/>
    <w:uiPriority w:val="99"/>
    <w:semiHidden/>
    <w:pPr>
      <w:pBdr/>
      <w:spacing/>
      <w:ind/>
    </w:pPr>
    <w:rPr>
      <w:sz w:val="20"/>
      <w:szCs w:val="20"/>
    </w:rPr>
  </w:style>
  <w:style w:type="character" w:styleId="1240">
    <w:name w:val="footnote reference"/>
    <w:basedOn w:val="1257"/>
    <w:uiPriority w:val="99"/>
    <w:semiHidden/>
    <w:unhideWhenUsed/>
    <w:pPr>
      <w:pBdr/>
      <w:spacing/>
      <w:ind/>
    </w:pPr>
    <w:rPr>
      <w:vertAlign w:val="superscript"/>
    </w:rPr>
  </w:style>
  <w:style w:type="paragraph" w:styleId="1241">
    <w:name w:val="endnote text"/>
    <w:basedOn w:val="1252"/>
    <w:link w:val="12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42">
    <w:name w:val="Endnote Text Char"/>
    <w:basedOn w:val="1257"/>
    <w:link w:val="1241"/>
    <w:uiPriority w:val="99"/>
    <w:semiHidden/>
    <w:pPr>
      <w:pBdr/>
      <w:spacing/>
      <w:ind/>
    </w:pPr>
    <w:rPr>
      <w:sz w:val="20"/>
      <w:szCs w:val="20"/>
    </w:rPr>
  </w:style>
  <w:style w:type="character" w:styleId="1243">
    <w:name w:val="endnote reference"/>
    <w:basedOn w:val="1257"/>
    <w:uiPriority w:val="99"/>
    <w:semiHidden/>
    <w:unhideWhenUsed/>
    <w:pPr>
      <w:pBdr/>
      <w:spacing/>
      <w:ind/>
    </w:pPr>
    <w:rPr>
      <w:vertAlign w:val="superscript"/>
    </w:rPr>
  </w:style>
  <w:style w:type="paragraph" w:styleId="1244">
    <w:name w:val="toc 4"/>
    <w:basedOn w:val="1252"/>
    <w:next w:val="1252"/>
    <w:uiPriority w:val="39"/>
    <w:unhideWhenUsed/>
    <w:pPr>
      <w:pBdr/>
      <w:spacing w:after="100"/>
      <w:ind w:left="660"/>
    </w:pPr>
  </w:style>
  <w:style w:type="paragraph" w:styleId="1245">
    <w:name w:val="toc 5"/>
    <w:basedOn w:val="1252"/>
    <w:next w:val="1252"/>
    <w:uiPriority w:val="39"/>
    <w:unhideWhenUsed/>
    <w:pPr>
      <w:pBdr/>
      <w:spacing w:after="100"/>
      <w:ind w:left="880"/>
    </w:pPr>
  </w:style>
  <w:style w:type="paragraph" w:styleId="1246">
    <w:name w:val="toc 6"/>
    <w:basedOn w:val="1252"/>
    <w:next w:val="1252"/>
    <w:uiPriority w:val="39"/>
    <w:unhideWhenUsed/>
    <w:pPr>
      <w:pBdr/>
      <w:spacing w:after="100"/>
      <w:ind w:left="1100"/>
    </w:pPr>
  </w:style>
  <w:style w:type="paragraph" w:styleId="1247">
    <w:name w:val="toc 7"/>
    <w:basedOn w:val="1252"/>
    <w:next w:val="1252"/>
    <w:uiPriority w:val="39"/>
    <w:unhideWhenUsed/>
    <w:pPr>
      <w:pBdr/>
      <w:spacing w:after="100"/>
      <w:ind w:left="1320"/>
    </w:pPr>
  </w:style>
  <w:style w:type="paragraph" w:styleId="1248">
    <w:name w:val="toc 8"/>
    <w:basedOn w:val="1252"/>
    <w:next w:val="1252"/>
    <w:uiPriority w:val="39"/>
    <w:unhideWhenUsed/>
    <w:pPr>
      <w:pBdr/>
      <w:spacing w:after="100"/>
      <w:ind w:left="1540"/>
    </w:pPr>
  </w:style>
  <w:style w:type="paragraph" w:styleId="1249">
    <w:name w:val="toc 9"/>
    <w:basedOn w:val="1252"/>
    <w:next w:val="1252"/>
    <w:uiPriority w:val="39"/>
    <w:unhideWhenUsed/>
    <w:pPr>
      <w:pBdr/>
      <w:spacing w:after="100"/>
      <w:ind w:left="1760"/>
    </w:pPr>
  </w:style>
  <w:style w:type="character" w:styleId="1250">
    <w:name w:val="Placeholder Text"/>
    <w:basedOn w:val="1257"/>
    <w:uiPriority w:val="99"/>
    <w:semiHidden/>
    <w:pPr>
      <w:pBdr/>
      <w:spacing/>
      <w:ind/>
    </w:pPr>
    <w:rPr>
      <w:color w:val="666666"/>
    </w:rPr>
  </w:style>
  <w:style w:type="paragraph" w:styleId="1251">
    <w:name w:val="table of figures"/>
    <w:basedOn w:val="1252"/>
    <w:next w:val="1252"/>
    <w:uiPriority w:val="99"/>
    <w:unhideWhenUsed/>
    <w:pPr>
      <w:pBdr/>
      <w:spacing w:after="0" w:afterAutospacing="0"/>
      <w:ind/>
    </w:pPr>
  </w:style>
  <w:style w:type="paragraph" w:styleId="1252" w:default="1">
    <w:name w:val="Normal"/>
    <w:qFormat/>
    <w:pPr>
      <w:pBdr/>
      <w:spacing/>
      <w:ind/>
    </w:pPr>
    <w:rPr>
      <w:rFonts w:ascii="Montserrat" w:hAnsi="Montserrat"/>
      <w:color w:val="262626" w:themeColor="text1" w:themeTint="D9"/>
    </w:rPr>
  </w:style>
  <w:style w:type="paragraph" w:styleId="1253">
    <w:name w:val="Heading 1"/>
    <w:basedOn w:val="1252"/>
    <w:next w:val="1252"/>
    <w:link w:val="126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b/>
      <w:color w:val="467445"/>
      <w:sz w:val="32"/>
      <w:szCs w:val="32"/>
    </w:rPr>
  </w:style>
  <w:style w:type="paragraph" w:styleId="1254">
    <w:name w:val="Heading 2"/>
    <w:basedOn w:val="1252"/>
    <w:next w:val="1252"/>
    <w:link w:val="1267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eastAsiaTheme="majorEastAsia" w:cstheme="majorBidi"/>
      <w:b/>
      <w:color w:val="79ac2b"/>
      <w:sz w:val="26"/>
      <w:szCs w:val="26"/>
    </w:rPr>
  </w:style>
  <w:style w:type="paragraph" w:styleId="1255">
    <w:name w:val="Heading 3"/>
    <w:basedOn w:val="1252"/>
    <w:next w:val="1252"/>
    <w:link w:val="128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color w:val="dedc00"/>
      <w:sz w:val="24"/>
      <w:szCs w:val="24"/>
    </w:rPr>
  </w:style>
  <w:style w:type="paragraph" w:styleId="1256">
    <w:name w:val="Heading 4"/>
    <w:basedOn w:val="1252"/>
    <w:next w:val="1252"/>
    <w:link w:val="1287"/>
    <w:uiPriority w:val="9"/>
    <w:semiHidden/>
    <w:unhideWhenUsed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1257" w:default="1">
    <w:name w:val="Default Paragraph Font"/>
    <w:uiPriority w:val="1"/>
    <w:semiHidden/>
    <w:unhideWhenUsed/>
    <w:pPr>
      <w:pBdr/>
      <w:spacing/>
      <w:ind/>
    </w:pPr>
  </w:style>
  <w:style w:type="table" w:styleId="125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9" w:default="1">
    <w:name w:val="No List"/>
    <w:uiPriority w:val="99"/>
    <w:semiHidden/>
    <w:unhideWhenUsed/>
    <w:pPr>
      <w:pBdr/>
      <w:spacing/>
      <w:ind/>
    </w:pPr>
  </w:style>
  <w:style w:type="paragraph" w:styleId="1260">
    <w:name w:val="Header"/>
    <w:basedOn w:val="1252"/>
    <w:link w:val="1261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261" w:customStyle="1">
    <w:name w:val="Intestazione Carattere"/>
    <w:basedOn w:val="1257"/>
    <w:link w:val="1260"/>
    <w:uiPriority w:val="99"/>
    <w:pPr>
      <w:pBdr/>
      <w:spacing/>
      <w:ind/>
    </w:pPr>
  </w:style>
  <w:style w:type="paragraph" w:styleId="1262">
    <w:name w:val="Footer"/>
    <w:basedOn w:val="1252"/>
    <w:link w:val="1263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263" w:customStyle="1">
    <w:name w:val="Piè di pagina Carattere"/>
    <w:basedOn w:val="1257"/>
    <w:link w:val="1262"/>
    <w:uiPriority w:val="99"/>
    <w:pPr>
      <w:pBdr/>
      <w:spacing/>
      <w:ind/>
    </w:pPr>
  </w:style>
  <w:style w:type="table" w:styleId="1264">
    <w:name w:val="Table Grid"/>
    <w:basedOn w:val="1258"/>
    <w:uiPriority w:val="39"/>
    <w:pPr>
      <w:pBdr/>
      <w:spacing w:after="0" w:line="240" w:lineRule="auto"/>
      <w:ind/>
    </w:pPr>
    <w:rPr>
      <w:rFonts w:ascii="Montserrat" w:hAnsi="Montserrat"/>
      <w:lang w:val="hr-HR"/>
      <w14:ligatures w14:val="none"/>
    </w:rPr>
    <w:tblPr>
      <w:tblBorders>
        <w:top w:val="single" w:color="467445" w:sz="18" w:space="0"/>
        <w:left w:val="single" w:color="467445" w:sz="18" w:space="0"/>
        <w:bottom w:val="single" w:color="467445" w:sz="18" w:space="0"/>
        <w:right w:val="single" w:color="467445" w:sz="18" w:space="0"/>
        <w:insideH w:val="single" w:color="467445" w:sz="18" w:space="0"/>
        <w:insideV w:val="single" w:color="467445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67445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65">
    <w:name w:val="No Spacing"/>
    <w:uiPriority w:val="1"/>
    <w:qFormat/>
    <w:pPr>
      <w:pBdr/>
      <w:spacing w:after="0" w:line="240" w:lineRule="auto"/>
      <w:ind/>
    </w:pPr>
    <w:rPr>
      <w:rFonts w:ascii="Montserrat" w:hAnsi="Montserrat"/>
      <w:color w:val="262626" w:themeColor="text1" w:themeTint="D9"/>
    </w:rPr>
  </w:style>
  <w:style w:type="character" w:styleId="1266" w:customStyle="1">
    <w:name w:val="Titolo 1 Carattere"/>
    <w:basedOn w:val="1257"/>
    <w:link w:val="1253"/>
    <w:uiPriority w:val="9"/>
    <w:pPr>
      <w:pBdr/>
      <w:spacing/>
      <w:ind/>
    </w:pPr>
    <w:rPr>
      <w:rFonts w:ascii="Montserrat" w:hAnsi="Montserrat" w:eastAsiaTheme="majorEastAsia" w:cstheme="majorBidi"/>
      <w:b/>
      <w:color w:val="467445"/>
      <w:sz w:val="32"/>
      <w:szCs w:val="32"/>
    </w:rPr>
  </w:style>
  <w:style w:type="character" w:styleId="1267" w:customStyle="1">
    <w:name w:val="Titolo 2 Carattere"/>
    <w:basedOn w:val="1257"/>
    <w:link w:val="1254"/>
    <w:uiPriority w:val="9"/>
    <w:pPr>
      <w:pBdr/>
      <w:spacing/>
      <w:ind/>
    </w:pPr>
    <w:rPr>
      <w:rFonts w:ascii="Montserrat" w:hAnsi="Montserrat" w:eastAsiaTheme="majorEastAsia" w:cstheme="majorBidi"/>
      <w:b/>
      <w:color w:val="79ac2b"/>
      <w:sz w:val="26"/>
      <w:szCs w:val="26"/>
    </w:rPr>
  </w:style>
  <w:style w:type="paragraph" w:styleId="1268">
    <w:name w:val="Title"/>
    <w:basedOn w:val="1252"/>
    <w:next w:val="1252"/>
    <w:link w:val="1269"/>
    <w:uiPriority w:val="10"/>
    <w:pPr>
      <w:pBdr/>
      <w:spacing w:after="0" w:line="240" w:lineRule="auto"/>
      <w:ind/>
      <w:contextualSpacing w:val="true"/>
    </w:pPr>
    <w:rPr>
      <w:rFonts w:eastAsiaTheme="majorEastAsia" w:cstheme="majorBidi"/>
      <w:b/>
      <w:color w:val="467445"/>
      <w:spacing w:val="-10"/>
      <w:sz w:val="24"/>
      <w:szCs w:val="56"/>
    </w:rPr>
  </w:style>
  <w:style w:type="character" w:styleId="1269" w:customStyle="1">
    <w:name w:val="Titolo Carattere"/>
    <w:basedOn w:val="1257"/>
    <w:link w:val="1268"/>
    <w:uiPriority w:val="10"/>
    <w:pPr>
      <w:pBdr/>
      <w:spacing/>
      <w:ind/>
    </w:pPr>
    <w:rPr>
      <w:rFonts w:ascii="Montserrat" w:hAnsi="Montserrat" w:eastAsiaTheme="majorEastAsia" w:cstheme="majorBidi"/>
      <w:b/>
      <w:color w:val="467445"/>
      <w:spacing w:val="-10"/>
      <w:sz w:val="24"/>
      <w:szCs w:val="56"/>
    </w:rPr>
  </w:style>
  <w:style w:type="character" w:styleId="1270">
    <w:name w:val="Book Title"/>
    <w:basedOn w:val="1257"/>
    <w:uiPriority w:val="33"/>
    <w:qFormat/>
    <w:pPr>
      <w:pBdr/>
      <w:spacing/>
      <w:ind/>
    </w:pPr>
    <w:rPr>
      <w:rFonts w:ascii="Montserrat" w:hAnsi="Montserrat"/>
      <w:b/>
      <w:bCs/>
      <w:i w:val="0"/>
      <w:iCs/>
      <w:color w:val="467445"/>
      <w:spacing w:val="5"/>
      <w:sz w:val="52"/>
    </w:rPr>
  </w:style>
  <w:style w:type="paragraph" w:styleId="1271">
    <w:name w:val="Subtitle"/>
    <w:basedOn w:val="1252"/>
    <w:next w:val="1252"/>
    <w:link w:val="1272"/>
    <w:uiPriority w:val="11"/>
    <w:qFormat/>
    <w:pPr>
      <w:numPr>
        <w:ilvl w:val="1"/>
      </w:numPr>
      <w:pBdr/>
      <w:spacing/>
      <w:ind/>
      <w:jc w:val="center"/>
    </w:pPr>
    <w:rPr>
      <w:rFonts w:eastAsiaTheme="minorEastAsia"/>
      <w:b/>
      <w:i/>
      <w:color w:val="79ac2b"/>
      <w:spacing w:val="15"/>
    </w:rPr>
  </w:style>
  <w:style w:type="character" w:styleId="1272" w:customStyle="1">
    <w:name w:val="Sottotitolo Carattere"/>
    <w:basedOn w:val="1257"/>
    <w:link w:val="1271"/>
    <w:uiPriority w:val="11"/>
    <w:pPr>
      <w:pBdr/>
      <w:spacing/>
      <w:ind/>
    </w:pPr>
    <w:rPr>
      <w:rFonts w:ascii="Montserrat" w:hAnsi="Montserrat" w:eastAsiaTheme="minorEastAsia"/>
      <w:b/>
      <w:i/>
      <w:color w:val="79ac2b"/>
      <w:spacing w:val="15"/>
    </w:rPr>
  </w:style>
  <w:style w:type="character" w:styleId="1273">
    <w:name w:val="Subtle Emphasis"/>
    <w:basedOn w:val="1257"/>
    <w:uiPriority w:val="19"/>
    <w:qFormat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character" w:styleId="1274">
    <w:name w:val="Emphasis"/>
    <w:basedOn w:val="1257"/>
    <w:uiPriority w:val="20"/>
    <w:qFormat/>
    <w:pPr>
      <w:pBdr/>
      <w:spacing/>
      <w:ind/>
    </w:pPr>
    <w:rPr>
      <w:rFonts w:ascii="Montserrat" w:hAnsi="Montserrat"/>
      <w:i/>
      <w:iCs/>
    </w:rPr>
  </w:style>
  <w:style w:type="character" w:styleId="1275">
    <w:name w:val="Intense Emphasis"/>
    <w:basedOn w:val="1257"/>
    <w:uiPriority w:val="21"/>
    <w:qFormat/>
    <w:pPr>
      <w:pBdr/>
      <w:spacing/>
      <w:ind/>
    </w:pPr>
    <w:rPr>
      <w:rFonts w:ascii="Montserrat" w:hAnsi="Montserrat"/>
      <w:i/>
      <w:iCs/>
      <w:color w:val="467445"/>
    </w:rPr>
  </w:style>
  <w:style w:type="character" w:styleId="1276">
    <w:name w:val="Strong"/>
    <w:basedOn w:val="1257"/>
    <w:uiPriority w:val="22"/>
    <w:qFormat/>
    <w:pPr>
      <w:pBdr/>
      <w:spacing/>
      <w:ind/>
    </w:pPr>
    <w:rPr>
      <w:rFonts w:ascii="Montserrat" w:hAnsi="Montserrat"/>
      <w:b/>
      <w:bCs/>
      <w:color w:val="467445"/>
    </w:rPr>
  </w:style>
  <w:style w:type="paragraph" w:styleId="1277">
    <w:name w:val="Quote"/>
    <w:basedOn w:val="1252"/>
    <w:next w:val="1252"/>
    <w:link w:val="1278"/>
    <w:uiPriority w:val="29"/>
    <w:qFormat/>
    <w:pPr>
      <w:pBdr/>
      <w:spacing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278" w:customStyle="1">
    <w:name w:val="Citazione Carattere"/>
    <w:basedOn w:val="1257"/>
    <w:link w:val="1277"/>
    <w:uiPriority w:val="29"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paragraph" w:styleId="1279">
    <w:name w:val="Intense Quote"/>
    <w:basedOn w:val="1252"/>
    <w:next w:val="1252"/>
    <w:link w:val="1280"/>
    <w:uiPriority w:val="30"/>
    <w:qFormat/>
    <w:pPr>
      <w:pBdr>
        <w:top w:val="single" w:color="79ac2b" w:sz="4" w:space="10"/>
        <w:bottom w:val="single" w:color="79ac2b" w:sz="4" w:space="10"/>
      </w:pBdr>
      <w:spacing w:after="360" w:before="360"/>
      <w:ind w:right="864" w:left="864"/>
      <w:jc w:val="center"/>
    </w:pPr>
    <w:rPr>
      <w:i/>
      <w:iCs/>
      <w:color w:val="79ac2b"/>
    </w:rPr>
  </w:style>
  <w:style w:type="character" w:styleId="1280" w:customStyle="1">
    <w:name w:val="Citazione intensa Carattere"/>
    <w:basedOn w:val="1257"/>
    <w:link w:val="1279"/>
    <w:uiPriority w:val="30"/>
    <w:pPr>
      <w:pBdr/>
      <w:spacing/>
      <w:ind/>
    </w:pPr>
    <w:rPr>
      <w:rFonts w:ascii="Montserrat" w:hAnsi="Montserrat"/>
      <w:i/>
      <w:iCs/>
      <w:color w:val="79ac2b"/>
    </w:rPr>
  </w:style>
  <w:style w:type="character" w:styleId="1281">
    <w:name w:val="Subtle Reference"/>
    <w:basedOn w:val="1257"/>
    <w:uiPriority w:val="31"/>
    <w:qFormat/>
    <w:pPr>
      <w:pBdr/>
      <w:spacing/>
      <w:ind/>
    </w:pPr>
    <w:rPr>
      <w:rFonts w:ascii="Montserrat" w:hAnsi="Montserrat"/>
      <w:smallCaps/>
      <w:color w:val="79ac2b"/>
    </w:rPr>
  </w:style>
  <w:style w:type="character" w:styleId="1282">
    <w:name w:val="Intense Reference"/>
    <w:basedOn w:val="1257"/>
    <w:uiPriority w:val="32"/>
    <w:qFormat/>
    <w:pPr>
      <w:pBdr/>
      <w:spacing/>
      <w:ind/>
    </w:pPr>
    <w:rPr>
      <w:rFonts w:ascii="Montserrat" w:hAnsi="Montserrat"/>
      <w:b/>
      <w:bCs/>
      <w:smallCaps/>
      <w:color w:val="467445"/>
      <w:spacing w:val="5"/>
    </w:rPr>
  </w:style>
  <w:style w:type="paragraph" w:styleId="1283">
    <w:name w:val="List Paragraph"/>
    <w:basedOn w:val="1252"/>
    <w:uiPriority w:val="34"/>
    <w:qFormat/>
    <w:pPr>
      <w:pBdr/>
      <w:spacing/>
      <w:ind w:left="720"/>
      <w:contextualSpacing w:val="true"/>
    </w:pPr>
  </w:style>
  <w:style w:type="character" w:styleId="1284" w:customStyle="1">
    <w:name w:val="Titolo 3 Carattere"/>
    <w:basedOn w:val="1257"/>
    <w:link w:val="1255"/>
    <w:uiPriority w:val="9"/>
    <w:pPr>
      <w:pBdr/>
      <w:spacing/>
      <w:ind/>
    </w:pPr>
    <w:rPr>
      <w:rFonts w:ascii="Montserrat" w:hAnsi="Montserrat" w:eastAsiaTheme="majorEastAsia" w:cstheme="majorBidi"/>
      <w:b/>
      <w:color w:val="dedc00"/>
      <w:sz w:val="24"/>
      <w:szCs w:val="24"/>
    </w:rPr>
  </w:style>
  <w:style w:type="table" w:styleId="1285">
    <w:name w:val="Grid Table Light"/>
    <w:basedOn w:val="1258"/>
    <w:uiPriority w:val="40"/>
    <w:pPr>
      <w:pBdr/>
      <w:spacing w:after="0" w:line="240" w:lineRule="auto"/>
      <w:ind/>
    </w:pPr>
    <w:rPr>
      <w:rFonts w:ascii="Montserrat" w:hAnsi="Montserrat"/>
    </w:rPr>
    <w:tblPr>
      <w:tblBorders>
        <w:top w:val="single" w:color="79ac2b" w:sz="18" w:space="0"/>
        <w:left w:val="single" w:color="79ac2b" w:sz="18" w:space="0"/>
        <w:bottom w:val="single" w:color="79ac2b" w:sz="18" w:space="0"/>
        <w:right w:val="single" w:color="79ac2b" w:sz="18" w:space="0"/>
        <w:insideH w:val="single" w:color="79ac2b" w:sz="18" w:space="0"/>
        <w:insideV w:val="single" w:color="79ac2b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9ac2b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Plain Table 1"/>
    <w:basedOn w:val="1258"/>
    <w:uiPriority w:val="41"/>
    <w:pPr>
      <w:pBdr/>
      <w:spacing w:after="0" w:line="240" w:lineRule="auto"/>
      <w:ind/>
    </w:pPr>
    <w:rPr>
      <w:rFonts w:ascii="Montserrat" w:hAnsi="Montserrat"/>
    </w:rPr>
    <w:tblPr>
      <w:tblStyleRowBandSize w:val="1"/>
      <w:tblStyleColBandSize w:val="1"/>
      <w:tblBorders>
        <w:top w:val="single" w:color="dedc00" w:sz="18" w:space="0"/>
        <w:left w:val="single" w:color="dedc00" w:sz="18" w:space="0"/>
        <w:bottom w:val="single" w:color="dedc00" w:sz="18" w:space="0"/>
        <w:right w:val="single" w:color="dedc00" w:sz="18" w:space="0"/>
        <w:insideH w:val="single" w:color="dedc00" w:sz="18" w:space="0"/>
        <w:insideV w:val="single" w:color="dedc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edc00"/>
        <w:tcBorders/>
      </w:tcPr>
    </w:tblStylePr>
    <w:tblStylePr w:type="lastCol">
      <w:rPr>
        <w:rFonts w:ascii="Montserrat" w:hAnsi="Montserrat"/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87" w:customStyle="1">
    <w:name w:val="Titolo 4 Carattere"/>
    <w:basedOn w:val="1257"/>
    <w:link w:val="125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288">
    <w:name w:val="TOC Heading"/>
    <w:basedOn w:val="1253"/>
    <w:next w:val="1252"/>
    <w:uiPriority w:val="39"/>
    <w:unhideWhenUsed/>
    <w:qFormat/>
    <w:pPr>
      <w:pBdr/>
      <w:spacing/>
      <w:ind/>
      <w:outlineLvl w:val="9"/>
    </w:pPr>
    <w:rPr>
      <w:lang w:eastAsia="it-IT"/>
      <w14:ligatures w14:val="none"/>
    </w:rPr>
  </w:style>
  <w:style w:type="paragraph" w:styleId="1289">
    <w:name w:val="toc 1"/>
    <w:basedOn w:val="1252"/>
    <w:next w:val="1252"/>
    <w:uiPriority w:val="39"/>
    <w:unhideWhenUsed/>
    <w:pPr>
      <w:pBdr/>
      <w:spacing w:after="100"/>
      <w:ind/>
    </w:pPr>
  </w:style>
  <w:style w:type="paragraph" w:styleId="1290">
    <w:name w:val="toc 2"/>
    <w:basedOn w:val="1252"/>
    <w:next w:val="1252"/>
    <w:uiPriority w:val="39"/>
    <w:unhideWhenUsed/>
    <w:pPr>
      <w:pBdr/>
      <w:spacing w:after="100"/>
      <w:ind w:left="220"/>
    </w:pPr>
  </w:style>
  <w:style w:type="paragraph" w:styleId="1291">
    <w:name w:val="toc 3"/>
    <w:basedOn w:val="1252"/>
    <w:next w:val="1252"/>
    <w:uiPriority w:val="39"/>
    <w:unhideWhenUsed/>
    <w:pPr>
      <w:pBdr/>
      <w:spacing w:after="100"/>
      <w:ind w:left="440"/>
    </w:pPr>
  </w:style>
  <w:style w:type="character" w:styleId="1292">
    <w:name w:val="Hyperlink"/>
    <w:basedOn w:val="12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93">
    <w:name w:val="Unresolved Mention"/>
    <w:basedOn w:val="125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294">
    <w:name w:val="FollowedHyperlink"/>
    <w:basedOn w:val="12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customXml" Target="../customXml/item4.xml" /><Relationship Id="rId17" Type="http://schemas.openxmlformats.org/officeDocument/2006/relationships/image" Target="media/image8.png"/><Relationship Id="rId18" Type="http://schemas.openxmlformats.org/officeDocument/2006/relationships/hyperlink" Target="https://ecodigithon.github.io/NetZero/" TargetMode="External"/><Relationship Id="rId19" Type="http://schemas.openxmlformats.org/officeDocument/2006/relationships/image" Target="media/image9.png"/><Relationship Id="rId20" Type="http://schemas.openxmlformats.org/officeDocument/2006/relationships/image" Target="media/media5.svg"/><Relationship Id="rId21" Type="http://schemas.openxmlformats.org/officeDocument/2006/relationships/image" Target="media/image10.jpg"/><Relationship Id="rId22" Type="http://schemas.openxmlformats.org/officeDocument/2006/relationships/image" Target="media/image11.png"/><Relationship Id="rId23" Type="http://schemas.openxmlformats.org/officeDocument/2006/relationships/image" Target="media/image12.jpg"/><Relationship Id="rId24" Type="http://schemas.openxmlformats.org/officeDocument/2006/relationships/image" Target="media/image13.png"/><Relationship Id="rId25" Type="http://schemas.openxmlformats.org/officeDocument/2006/relationships/hyperlink" Target="https://ecodigithon.github.io/NetZero/" TargetMode="External"/><Relationship Id="rId26" Type="http://schemas.openxmlformats.org/officeDocument/2006/relationships/hyperlink" Target="https://github.com/Ecodigithon/NetZero" TargetMode="External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7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Relationship Id="rId3" Type="http://schemas.openxmlformats.org/officeDocument/2006/relationships/image" Target="media/image2.png"/><Relationship Id="rId4" Type="http://schemas.openxmlformats.org/officeDocument/2006/relationships/image" Target="media/media2.sv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media3.svg"/><Relationship Id="rId4" Type="http://schemas.openxmlformats.org/officeDocument/2006/relationships/image" Target="media/image5.png"/><Relationship Id="rId5" Type="http://schemas.openxmlformats.org/officeDocument/2006/relationships/image" Target="media/media4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81f75f-dd87-4481-90d3-c41d5c219361">
      <Terms xmlns="http://schemas.microsoft.com/office/infopath/2007/PartnerControls"/>
    </lcf76f155ced4ddcb4097134ff3c332f>
    <TaxCatchAll xmlns="fa412dd3-1f7f-4fdb-8c27-3f723eda320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6A6CBD6B9FB243BD9C351256684571" ma:contentTypeVersion="18" ma:contentTypeDescription="Crear nuevo documento." ma:contentTypeScope="" ma:versionID="7e08ba167329edd12219bb48d6b51fc3">
  <xsd:schema xmlns:xsd="http://www.w3.org/2001/XMLSchema" xmlns:xs="http://www.w3.org/2001/XMLSchema" xmlns:p="http://schemas.microsoft.com/office/2006/metadata/properties" xmlns:ns2="2781f75f-dd87-4481-90d3-c41d5c219361" xmlns:ns3="fa412dd3-1f7f-4fdb-8c27-3f723eda320f" targetNamespace="http://schemas.microsoft.com/office/2006/metadata/properties" ma:root="true" ma:fieldsID="ac058a23c7b517c861e37528bcb121a2" ns2:_="" ns3:_="">
    <xsd:import namespace="2781f75f-dd87-4481-90d3-c41d5c219361"/>
    <xsd:import namespace="fa412dd3-1f7f-4fdb-8c27-3f723eda3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1f75f-dd87-4481-90d3-c41d5c219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0c6c9a2b-a8ef-429e-936a-3cadeef6e5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412dd3-1f7f-4fdb-8c27-3f723eda320f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c017ae29-a4fb-46a9-baaa-a186b98a44cd}" ma:internalName="TaxCatchAll" ma:showField="CatchAllData" ma:web="fa412dd3-1f7f-4fdb-8c27-3f723eda32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E29D2-1719-4484-895B-8051F2A176EA}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2781f75f-dd87-4481-90d3-c41d5c219361"/>
    <ds:schemaRef ds:uri="fa412dd3-1f7f-4fdb-8c27-3f723eda320f"/>
  </ds:schemaRefs>
</ds:datastoreItem>
</file>

<file path=customXml/itemProps2.xml><?xml version="1.0" encoding="utf-8"?>
<ds:datastoreItem xmlns:ds="http://schemas.openxmlformats.org/officeDocument/2006/customXml" ds:itemID="{0F17D740-A224-40F3-AD14-B7021A5BDE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87EA44-59B4-406E-94A0-B527224E79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1f75f-dd87-4481-90d3-c41d5c219361"/>
    <ds:schemaRef ds:uri="fa412dd3-1f7f-4fdb-8c27-3f723eda3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7D900-857D-4FD1-B29A-F3F25AD70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Egina01</dc:creator>
  <cp:keywords>, docId:65734442AB7744C8036B76536560F3D8</cp:keywords>
  <dc:description/>
  <cp:revision>18</cp:revision>
  <dcterms:created xsi:type="dcterms:W3CDTF">2024-02-06T10:55:00Z</dcterms:created>
  <dcterms:modified xsi:type="dcterms:W3CDTF">2026-03-10T10:45:51Z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0x010100686A6CBD6B9FB243BD9C351256684571</vt:lpwstr>
  </property>
  <property fmtid="{D5CDD505-2E9C-101B-9397-08002B2CF9AE}" pid="3" name="MediaServiceImageTags">
    <vt:lpwstr/>
  </property>
</Properties>
</file>