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QR-P003-2025Q3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项目编号：P003；行业：量子精密测量；轮次：A轮；上海落地：签署上海落地意向并租赁临时办公室，未工商注册。</w:t>
      </w:r>
    </w:p>
    <w:p>
      <w:pPr>
        <w:pStyle w:val="Heading2"/>
      </w:pPr>
      <w:r>
        <w:t>本季度核心进展</w:t>
      </w:r>
    </w:p>
    <w:p>
      <w:r>
        <w:t>NV传感实验室原型完成</w:t>
      </w:r>
    </w:p>
    <w:p>
      <w:pPr>
        <w:pStyle w:val="Heading2"/>
      </w:pPr>
      <w:r>
        <w:t>研发与产品进展</w:t>
      </w:r>
    </w:p>
    <w:p>
      <w:r>
        <w:t>核心技术：NV色心磁测量；核心产品：NV色心磁测量产品。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签署上海落地意向并租赁临时办公室，未工商注册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