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QR-P005-2025Q3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项目编号：P005；行业：新材料；轮次：A轮/战略融资冲突；上海落地：未在上海落地。</w:t>
      </w:r>
    </w:p>
    <w:p>
      <w:pPr>
        <w:pStyle w:val="Heading2"/>
      </w:pPr>
      <w:r>
        <w:t>本季度核心进展</w:t>
      </w:r>
    </w:p>
    <w:p>
      <w:r>
        <w:t>发布材料数据平台2.0</w:t>
      </w:r>
    </w:p>
    <w:p>
      <w:pPr>
        <w:pStyle w:val="Heading2"/>
      </w:pPr>
      <w:r>
        <w:t>研发与产品进展</w:t>
      </w:r>
    </w:p>
    <w:p>
      <w:r>
        <w:t>核心技术：材料科学数据平台；核心产品：材料科学数据平台产品。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当前描述：A轮/战略融资冲突。需区分宣布融资、TS、正式协议、首次交割、全部交割、工商变更。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