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QR-P007-2025Q3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项目编号：P007；行业：半导体；轮次：B轮；上海落地：仅口头计划落地上海。</w:t>
      </w:r>
    </w:p>
    <w:p>
      <w:pPr>
        <w:pStyle w:val="Heading2"/>
      </w:pPr>
      <w:r>
        <w:t>本季度核心进展</w:t>
      </w:r>
    </w:p>
    <w:p>
      <w:r>
        <w:t>MPW流片完成</w:t>
      </w:r>
    </w:p>
    <w:p>
      <w:pPr>
        <w:pStyle w:val="Heading2"/>
      </w:pPr>
      <w:r>
        <w:t>研发与产品进展</w:t>
      </w:r>
    </w:p>
    <w:p>
      <w:r>
        <w:t>核心技术：模拟芯片；核心产品：模拟芯片产品。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当前描述：B轮。需区分宣布融资、TS、正式协议、首次交割、全部交割、工商变更。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仅口头计划落地上海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