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QR-P009-2025Q3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项目编号：P009；行业：合成生物；轮次：Pre-A轮；上海落地：上海子公司工商注册但人员和试生产证明不足。</w:t>
      </w:r>
    </w:p>
    <w:p>
      <w:pPr>
        <w:pStyle w:val="Heading2"/>
      </w:pPr>
      <w:r>
        <w:t>本季度核心进展</w:t>
      </w:r>
    </w:p>
    <w:p>
      <w:r>
        <w:t>酶筛选平台实验室原型</w:t>
      </w:r>
    </w:p>
    <w:p>
      <w:pPr>
        <w:pStyle w:val="Heading2"/>
      </w:pPr>
      <w:r>
        <w:t>研发与产品进展</w:t>
      </w:r>
    </w:p>
    <w:p>
      <w:r>
        <w:t>核心技术：AI酶工程；核心产品：AI酶工程产品。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上海子公司工商注册但人员和试生产证明不足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