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QR-P010-2025Q3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项目编号：P010；行业：医疗器械；轮次：A轮；上海落地：未在上海落地。</w:t>
      </w:r>
    </w:p>
    <w:p>
      <w:pPr>
        <w:pStyle w:val="Heading2"/>
      </w:pPr>
      <w:r>
        <w:t>本季度核心进展</w:t>
      </w:r>
    </w:p>
    <w:p>
      <w:r>
        <w:t>完成临床前样机</w:t>
      </w:r>
    </w:p>
    <w:p>
      <w:pPr>
        <w:pStyle w:val="Heading2"/>
      </w:pPr>
      <w:r>
        <w:t>研发与产品进展</w:t>
      </w:r>
    </w:p>
    <w:p>
      <w:r>
        <w:t>核心技术：多光谱成像器械；核心产品：多光谱成像器械产品。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