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拓界智造2025Q3季度投后报告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QR-P012-2025Q3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P012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拓界智造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2025Q3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2025-10-20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项目编号：P012；行业：智能制造；轮次：战略融资（实为A轮追加）；上海落地：签署上海落地协议但后续延期。</w:t>
      </w:r>
    </w:p>
    <w:p>
      <w:pPr>
        <w:pStyle w:val="Heading2"/>
      </w:pPr>
      <w:r>
        <w:t>本季度核心进展</w:t>
      </w:r>
    </w:p>
    <w:p>
      <w:r>
        <w:t>完成客户试用</w:t>
      </w:r>
    </w:p>
    <w:p>
      <w:pPr>
        <w:pStyle w:val="Heading2"/>
      </w:pPr>
      <w:r>
        <w:t>研发与产品进展</w:t>
      </w:r>
    </w:p>
    <w:p>
      <w:r>
        <w:t>核心技术：产线数字化；核心产品：产线数字化产品。</w:t>
      </w:r>
    </w:p>
    <w:p>
      <w:pPr>
        <w:pStyle w:val="Heading2"/>
      </w:pPr>
      <w:r>
        <w:t>客户与商业化进展</w:t>
      </w:r>
    </w:p>
    <w:p>
      <w:r>
        <w:t>本期收入/确认收入口径：80万元。</w:t>
      </w:r>
    </w:p>
    <w:p>
      <w:pPr>
        <w:pStyle w:val="Heading2"/>
      </w:pPr>
      <w:r>
        <w:t>融资进展</w:t>
      </w:r>
    </w:p>
    <w:p>
      <w:r>
        <w:t>当前描述：战略融资（实为A轮追加）。需区分宣布融资、TS、正式协议、首次交割、全部交割、工商变更。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员工总人数：20人；上海团队以社保或入驻证明核验。</w:t>
      </w:r>
    </w:p>
    <w:p>
      <w:pPr>
        <w:pStyle w:val="Heading2"/>
      </w:pPr>
      <w:r>
        <w:t>上海落地情况</w:t>
      </w:r>
    </w:p>
    <w:p>
      <w:r>
        <w:t>签署上海落地协议但后续延期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