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拓界智造2025Q3季度投后报告（增强版）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QR2-P012-2025Q3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拓界智造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武汉拓界智能制造有限公司投后联系人向GP和未来基金提供，报告期为2025Q3，材料日期为2025-10-20。报告采用企业管理口径，未经审计，收入、订单和人员数据与工商、审计、社保或交割文件可能存在统计时点差异。</w:t>
      </w:r>
    </w:p>
    <w:p>
      <w:r>
        <w:t>报告期内，公司围绕产线数字化推进研发、客户验证和融资沟通。上期计划为：无，上期为投资后首个报告期。本期实际进展为：完成客户试用，使用普通TLS加密传输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2025-10-20，公司在手商机共8项，其中已签测试或PoC文件2项，正式订单0项；本期管理口径收入126万元，已开票金额90万元，现金回款73万元。公司现金余额约1140万元，按照当前月均现金支出110万元估算，可支撑10个月。</w:t>
      </w:r>
    </w:p>
    <w:p>
      <w:r>
        <w:t>客户侧，本期重点跟进张江高科园区、瑞泽医药和瑞泽医药。其中一项为联合测试，一项为框架合作，一项仍处技术交流。不同客户对验收条件、数据接口和交付周期要求不同，不能简单等同为已形成收入。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产线数字化展开。本期研发团队完成需求评审3次、版本发布1次、内部测试用例120条，新增技术文档18份。关键研发工作包括算法/硬件/工艺参数优化、系统稳定性验证、客户环境适配和知识产权整理。</w:t>
      </w:r>
    </w:p>
    <w:p>
      <w:r>
        <w:t>研发过程方面，第1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主产品线：完成阶段性验收节点1个，尚有3个问题项未关闭。</w:t>
      </w:r>
    </w:p>
    <w:p>
      <w:r>
        <w:t>2. 工程化项目：供应商上海低温装备服务有限公司负责部分加工或测试，计划交付日期为2025-11-24。</w:t>
      </w:r>
    </w:p>
    <w:p>
      <w:r>
        <w:t>3. 数据与软件项目：新增样本或工况数据260组，其中约20%来自客户现场，仍需完成脱敏和授权确认。</w:t>
      </w:r>
    </w:p>
    <w:p>
      <w:r>
        <w:t>4. 知识产权：本期提交发明专利1件，授权或进入实审0件；如需用于专题筛选，应以专利受理通知或授权文件为准。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完成客户试用，使用普通TLS加密传输；第二，客户侧已有张江高科园区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下一里程碑计划为2025-12-19前关闭主要问题项，并在下一季度向股东提交附件包。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张江高科园区已完成技术交流并提供样品/测试环境，预计下一阶段签署PoC；瑞泽医药要求补充安全、稳定性或合规材料；瑞泽医药仅完成高层拜访。公司另与中科院上海高研院保持沟通。</w:t>
      </w:r>
    </w:p>
    <w:p>
      <w:r>
        <w:t>订单方面，本期新增意向金额378万元，已签合同金额176万元，满足收入确认条件的金额为126万元。部分合同包含验收、试运行或监管注册前置条件，因此新闻或路演口径中的“签约”不能直接等同于确认收入。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本期收入采用管理口径，包含已验收收入、阶段性服务收入和少量未开票收入。已确认收入126万元，合同负债44万元，应收账款78万元，其中账龄超过90天的15万元。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公司本期仍按战略融资（实为A轮追加）对外沟通。管理层称潜在投资人已进入尽调，但是否构成正式融资节点，应以TS、投资协议、交割确认和工商变更为准。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截至期末，公司累计收入126万元，累计研发费用420万元，销售及市场费用90万元，管理费用130万元。人员薪酬为最大支出项，占经营性现金流出约42%；设备采购和外协测试占比约18%。</w:t>
      </w:r>
    </w:p>
    <w:p>
      <w:r>
        <w:t>公司本期预算收入186万元，实际完成率67.7%；预算研发支出400万元，实际支出420万元，偏差原因包括外协测试排期、客户现场适配和新增人员招聘。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期初现金余额约1320万元，本期经营性现金流出180万元，投资性现金流出80万元，融资性流入0万元。募集资金主要用于研发人员、样机设备、云算力或测试服务、客户现场支持和上海落地费用。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期末员工总数26人，其中研发人员16人，销售及交付4人，职能人员6人。上海团队按企业统计为8人，但严格口径应查看劳动合同、社保缴纳、办公门禁或实际项目分工。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公司当前上海相关状态：签署上海落地协议但后续延期。企业口径下，上海事项包括工商登记、园区协议、办公租赁、人员入驻、采购付款和业务收入等多个层次。</w:t>
      </w:r>
    </w:p>
    <w:p>
      <w:r>
        <w:t>本期上海相关支出约40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产线数字化产品版本迭代；推动张江高科园区或瑞泽医药形成正式验收；补充融资交割或工商变更材料；更新资金使用台账；提交上海人员、采购或租赁证明；召开一次投后专题会议。计划完成日期集中在2025-12-04至2026-01-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