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辰析生物2025Q4季度投后报告（增强版）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QR2-P004-2025Q4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辰析生物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杭州辰析生物科技有限公司投后联系人向GP和未来基金提供，报告期为2025Q4，材料日期为2026-01-22。报告采用企业管理口径，未经审计，收入、订单和人员数据与工商、审计、社保或交割文件可能存在统计时点差异。</w:t>
      </w:r>
    </w:p>
    <w:p>
      <w:r>
        <w:t>报告期内，公司围绕AI蛋白设计推进研发、客户验证和融资沟通。上期计划为：湿实验平台搭建，完成蛋白突变体库一期。本期实际进展为：进入首个药企PoC，形成联合实验计划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-01-22，公司在手商机共7项，其中已签测试或PoC文件3项，正式订单0项；本期管理口径收入267万元，已开票金额192万元，现金回款154万元。公司现金余额约1300万元，按照当前月均现金支出128万元估算，可支撑10个月。</w:t>
      </w:r>
    </w:p>
    <w:p>
      <w:r>
        <w:t>客户侧，本期重点跟进瑞泽医药、某三甲医院影像科和海启医药。其中一项为联合测试，一项为框架合作，一项仍处技术交流。不同客户对验收条件、数据接口和交付周期要求不同，不能简单等同为已形成收入。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AI蛋白设计展开。本期研发团队完成需求评审4次、版本发布2次、内部测试用例155条，新增技术文档22份。关键研发工作包括算法/硬件/工艺参数优化、系统稳定性验证、客户环境适配和知识产权整理。</w:t>
      </w:r>
    </w:p>
    <w:p>
      <w:r>
        <w:t>研发过程方面，第1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主产品线：完成阶段性验收节点2个，尚有2个问题项未关闭。</w:t>
      </w:r>
    </w:p>
    <w:p>
      <w:r>
        <w:t>2. 工程化项目：供应商苏州精密加工厂负责部分加工或测试，计划交付日期为2026-02-26。</w:t>
      </w:r>
    </w:p>
    <w:p>
      <w:r>
        <w:t>3. 数据与软件项目：新增样本或工况数据350组，其中约25%来自客户现场，仍需完成脱敏和授权确认。</w:t>
      </w:r>
    </w:p>
    <w:p>
      <w:r>
        <w:t>4. 知识产权：本期提交发明专利2件，授权或进入实审1件；如需用于专题筛选，应以专利受理通知或授权文件为准。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进入首个药企PoC，形成联合实验计划；第二，客户侧已有瑞泽医药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下一里程碑计划为2026-03-23前关闭主要问题项，并在下一季度向股东提交附件包。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瑞泽医药已完成技术交流并提供样品/测试环境，预计下一阶段签署PoC；某三甲医院影像科要求补充安全、稳定性或合规材料；海启医药仅完成高层拜访。公司另与某三甲医院影像科保持沟通。</w:t>
      </w:r>
    </w:p>
    <w:p>
      <w:r>
        <w:t>订单方面，本期新增意向金额801万元，已签合同金额373万元，满足收入确认条件的金额为267万元。部分合同包含验收、试运行或监管注册前置条件，因此新闻或路演口径中的“签约”不能直接等同于确认收入。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本期收入采用管理口径，包含已验收收入、阶段性服务收入和少量未开票收入。已确认收入267万元，合同负债93万元，应收账款165万元，其中账龄超过90天的32万元。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公司本期仍按A+轮对外沟通。管理层称潜在投资人已进入尽调，但是否构成正式融资节点，应以TS、投资协议、交割确认和工商变更为准。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截至期末，公司累计收入534万元，累计研发费用580万元，销售及市场费用135万元，管理费用160万元。人员薪酬为最大支出项，占经营性现金流出约43%；设备采购和外协测试占比约20%。</w:t>
      </w:r>
    </w:p>
    <w:p>
      <w:r>
        <w:t>公司本期预算收入327万元，实际完成率81.7%；预算研发支出520万元，实际支出580万元，偏差原因包括外协测试排期、客户现场适配和新增人员招聘。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期初现金余额约1480万元，本期经营性现金流出215万元，投资性现金流出120万元，融资性流入0万元。募集资金主要用于研发人员、样机设备、云算力或测试服务、客户现场支持和上海落地费用。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期末员工总数34人，其中研发人员21人，销售及交付6人，职能人员7人。上海团队按企业统计为0人，但严格口径应查看劳动合同、社保缴纳、办公门禁或实际项目分工。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公司当前上海相关状态：上海张江联合实验室，未设独立法人。企业口径下，上海事项包括工商登记、园区协议、办公租赁、人员入驻、采购付款和业务收入等多个层次。</w:t>
      </w:r>
    </w:p>
    <w:p>
      <w:r>
        <w:t>本期上海相关支出约75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AI蛋白设计产品版本迭代；推动瑞泽医药或某三甲医院影像科形成正式验收；补充融资交割或工商变更材料；更新资金使用台账；提交上海人员、采购或租赁证明；召开一次投后专题会议。计划完成日期集中在2026-03-08至2026-04-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