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QR-P005-2025Q4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项目编号：P005；行业：新材料；轮次：A轮/战略融资冲突；上海落地：未在上海落地。</w:t>
      </w:r>
    </w:p>
    <w:p>
      <w:pPr>
        <w:pStyle w:val="Heading2"/>
      </w:pPr>
      <w:r>
        <w:t>本季度核心进展</w:t>
      </w:r>
    </w:p>
    <w:p>
      <w:r>
        <w:t>商业计划书称将加入AI预测模块</w:t>
      </w:r>
    </w:p>
    <w:p>
      <w:pPr>
        <w:pStyle w:val="Heading2"/>
      </w:pPr>
      <w:r>
        <w:t>研发与产品进展</w:t>
      </w:r>
    </w:p>
    <w:p>
      <w:r>
        <w:t>核心技术：材料科学数据平台；核心产品：材料科学数据平台产品。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当前描述：A轮/战略融资冲突。需区分宣布融资、TS、正式协议、首次交割、全部交割、工商变更。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