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深材智能2025Q4GP季度投后报告（增强版）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GP2-P005-2025Q4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P005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2026-01-22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本报告由陈序及GP投后团队基于企业季度报告、电话访谈、附件材料和公开信息整理，提供给未来基金用于投后例会。GP未对所有数据执行审计程序，已区分企业自述、已取得证明和待核实事项。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上期重点事项为发布材料数据平台2.0，主要为实验数据管理。本期新增信息为商业计划书称将加入AI预测模块。与企业自报材料相比，GP重点关注证明材料是否足以支撑结论，而非仅看管理层表述。</w:t>
      </w:r>
    </w:p>
    <w:p>
      <w:r>
        <w:t>GP核验方面，第1项记录来自深材智能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深材智能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深材智能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深材智能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需要未来基金关注：科学研究平台但AI非核心证据不足；BP过期；融资口径冲突。GP建议将融资节点、上海落地、关键人员、收入确认和协议履约材料分开追踪，避免用单一积极表述覆盖多个法律或管理口径。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r>
        <w:t>核验补充2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r>
        <w:t>核验补充3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r>
        <w:t>核验补充4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r>
        <w:t>核验补充6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r>
        <w:t>核验补充7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r>
        <w:t>核验补充8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深材智能，本期需持续关注：科学研究平台但AI非核心证据不足；BP过期；融资口径冲突。GP建议发出书面问询，要求企业按字段提供证明，包括材料名称、形成日期、是否盖章、是否外部公开、是否可与其他来源交叉验证。</w:t>
      </w:r>
    </w:p>
    <w:p>
      <w:r>
        <w:t>核验补充9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r>
        <w:t>核验补充10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r>
        <w:t>核验补充11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