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QR-P007-2025Q4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极微半导体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项目编号：P007；行业：半导体；轮次：B轮；上海落地：仅口头计划落地上海。</w:t>
      </w:r>
    </w:p>
    <w:p>
      <w:pPr>
        <w:pStyle w:val="Heading2"/>
      </w:pPr>
      <w:r>
        <w:t>本季度核心进展</w:t>
      </w:r>
    </w:p>
    <w:p>
      <w:r>
        <w:t>沿用上一季度数据，无新增有效更新</w:t>
      </w:r>
    </w:p>
    <w:p>
      <w:r>
        <w:t>注意：本报告沿用上一季度旧数据。</w:t>
      </w:r>
    </w:p>
    <w:p>
      <w:pPr>
        <w:pStyle w:val="Heading2"/>
      </w:pPr>
      <w:r>
        <w:t>研发与产品进展</w:t>
      </w:r>
    </w:p>
    <w:p>
      <w:r>
        <w:t>核心技术：模拟芯片；核心产品：模拟芯片产品。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当前描述：B轮。需区分宣布融资、TS、正式协议、首次交割、全部交割、工商变更。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仅口头计划落地上海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