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灵枢机器人2025Q4季度投后报告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QR-P008-2025Q4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灵枢机器人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项目编号：P008；行业：工业机器人；轮次：A轮；上海落地：上海总部和研发人员。</w:t>
      </w:r>
    </w:p>
    <w:p>
      <w:pPr>
        <w:pStyle w:val="Heading2"/>
      </w:pPr>
      <w:r>
        <w:t>本季度核心进展</w:t>
      </w:r>
    </w:p>
    <w:p>
      <w:r>
        <w:t>启动汽车零部件客户现场验证</w:t>
      </w:r>
    </w:p>
    <w:p>
      <w:pPr>
        <w:pStyle w:val="Heading2"/>
      </w:pPr>
      <w:r>
        <w:t>研发与产品进展</w:t>
      </w:r>
    </w:p>
    <w:p>
      <w:r>
        <w:t>核心技术：柔性装配机器人；核心产品：柔性装配机器人产品。</w:t>
      </w:r>
    </w:p>
    <w:p>
      <w:pPr>
        <w:pStyle w:val="Heading2"/>
      </w:pPr>
      <w:r>
        <w:t>客户与商业化进展</w:t>
      </w:r>
    </w:p>
    <w:p>
      <w:r>
        <w:t>本期收入/确认收入口径：180万元。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员工总人数：25人；上海团队以社保或入驻证明核验。</w:t>
      </w:r>
    </w:p>
    <w:p>
      <w:pPr>
        <w:pStyle w:val="Heading2"/>
      </w:pPr>
      <w:r>
        <w:t>上海落地情况</w:t>
      </w:r>
    </w:p>
    <w:p>
      <w:r>
        <w:t>上海总部和研发人员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