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QR2-P008-2025Q4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灵枢机器人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灵枢工业机器人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柔性装配机器人推进研发、客户验证和融资沟通。上期计划为：完成工程样机，导入汽车零部件工装场景。本期实际进展为：启动汽车零部件客户现场验证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7项，其中已签测试或PoC文件3项，正式订单0项；本期管理口径收入359万元，已开票金额258万元，现金回款208万元。公司现金余额约1780万元，按照当前月均现金支出128万元估算，可支撑13个月。</w:t>
      </w:r>
    </w:p>
    <w:p>
      <w:r>
        <w:t>客户侧，本期重点跟进华东汽车电子厂、上汽零部件联合实验室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柔性装配机器人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灵枢机器人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启动汽车零部件客户现场验证；第二，客户侧已有华东汽车电子厂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汽车电子厂已完成技术交流并提供样品/测试环境，预计下一阶段签署PoC；上汽零部件联合实验室要求补充安全、稳定性或合规材料；海启医药仅完成高层拜访。公司另与某三甲医院影像科保持沟通。</w:t>
      </w:r>
    </w:p>
    <w:p>
      <w:r>
        <w:t>订单方面，本期新增意向金额1077万元，已签合同金额502万元，满足收入确认条件的金额为359万元。部分合同包含验收、试运行或监管注册前置条件，因此新闻或路演口径中的“签约”不能直接等同于确认收入。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本期收入采用管理口径，包含已验收收入、阶段性服务收入和少量未开票收入。已确认收入359万元，合同负债125万元，应收账款222万元，其中账龄超过90天的43万元。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截至期末，公司累计收入718万元，累计研发费用580万元，销售及市场费用135万元，管理费用160万元。人员薪酬为最大支出项，占经营性现金流出约43%；设备采购和外协测试占比约20%。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公司本期预算收入419万元，实际完成率85.7%；预算研发支出520万元，实际支出580万元，偏差原因包括外协测试排期、客户现场适配和新增人员招聘。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期初现金余额约1960万元，本期经营性现金流出215万元，投资性现金流出120万元，融资性流入0万元。募集资金主要用于研发人员、样机设备、云算力或测试服务、客户现场支持和上海落地费用。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期末员工总数38人，其中研发人员23人，销售及交付6人，职能人员8人。上海团队按企业统计为14人，但严格口径应查看劳动合同、社保缴纳、办公门禁或实际项目分工。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公司当前上海相关状态：上海总部和研发人员。企业口径下，上海事项包括工商登记、园区协议、办公租赁、人员入驻、采购付款和业务收入等多个层次。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柔性装配机器人产品版本迭代；推动华东汽车电子厂或上汽零部件联合实验室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