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谱元生物2025Q4季度投后报告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QR-P009-2025Q4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谱元生物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项目编号：P009；行业：合成生物；轮次：Pre-A轮；上海落地：上海子公司工商注册但人员和试生产证明不足。</w:t>
      </w:r>
    </w:p>
    <w:p>
      <w:pPr>
        <w:pStyle w:val="Heading2"/>
      </w:pPr>
      <w:r>
        <w:t>本季度核心进展</w:t>
      </w:r>
    </w:p>
    <w:p>
      <w:r>
        <w:t>签署上海奉贤子公司设立协议</w:t>
      </w:r>
    </w:p>
    <w:p>
      <w:pPr>
        <w:pStyle w:val="Heading2"/>
      </w:pPr>
      <w:r>
        <w:t>研发与产品进展</w:t>
      </w:r>
    </w:p>
    <w:p>
      <w:r>
        <w:t>核心技术：AI酶工程；核心产品：AI酶工程产品。</w:t>
      </w:r>
    </w:p>
    <w:p>
      <w:pPr>
        <w:pStyle w:val="Heading2"/>
      </w:pPr>
      <w:r>
        <w:t>客户与商业化进展</w:t>
      </w:r>
    </w:p>
    <w:p>
      <w:r>
        <w:t>本期收入/确认收入口径：180万元。</w:t>
      </w:r>
    </w:p>
    <w:p>
      <w:pPr>
        <w:pStyle w:val="Heading2"/>
      </w:pPr>
      <w:r>
        <w:t>融资进展</w:t>
      </w:r>
    </w:p>
    <w:p>
      <w:r>
        <w:t>当前描述：Pre-A轮。需区分宣布融资、TS、正式协议、首次交割、全部交割、工商变更。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员工总人数：25人；上海团队以社保或入驻证明核验。</w:t>
      </w:r>
    </w:p>
    <w:p>
      <w:pPr>
        <w:pStyle w:val="Heading2"/>
      </w:pPr>
      <w:r>
        <w:t>上海落地情况</w:t>
      </w:r>
    </w:p>
    <w:p>
      <w:r>
        <w:t>上海子公司工商注册但人员和试生产证明不足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