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棱镜医疗2025Q4季度投后报告（增强版）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QR2-P010-2025Q4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P010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棱镜医疗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成都棱镜医疗科技有限公司投后联系人向GP和未来基金提供，报告期为2025Q4，材料日期为2026-01-22。报告采用企业管理口径，未经审计，收入、订单和人员数据与工商、审计、社保或交割文件可能存在统计时点差异。</w:t>
      </w:r>
    </w:p>
    <w:p>
      <w:r>
        <w:t>报告期内，公司围绕多光谱成像器械推进研发、客户验证和融资沟通。上期计划为：完成临床前样机，准备型检资料。本期实际进展为：启动医院客户验证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2026-01-22，公司在手商机共7项，其中已签测试或PoC文件3项，正式订单0项；本期管理口径收入175万元，已开票金额126万元，现金回款101万元。公司现金余额约820万元，按照当前月均现金支出128万元估算，可支撑6个月。</w:t>
      </w:r>
    </w:p>
    <w:p>
      <w:r>
        <w:t>客户侧，本期重点跟进复旦大学先进材料中心、华东理工大学课题组和海启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多光谱成像器械展开。本期研发团队完成需求评审4次、版本发布2次、内部测试用例155条，新增技术文档22份。关键研发工作包括算法/硬件/工艺参数优化、系统稳定性验证、客户环境适配和知识产权整理。</w:t>
      </w:r>
    </w:p>
    <w:p>
      <w:r>
        <w:t>研发过程方面，第1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棱镜医疗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主产品线：完成阶段性验收节点2个，尚有2个问题项未关闭。</w:t>
      </w:r>
    </w:p>
    <w:p>
      <w:r>
        <w:t>2. 工程化项目：供应商苏州精密加工厂负责部分加工或测试，计划交付日期为2026-02-26。</w:t>
      </w:r>
    </w:p>
    <w:p>
      <w:r>
        <w:t>3. 数据与软件项目：新增样本或工况数据350组，其中约25%来自客户现场，仍需完成脱敏和授权确认。</w:t>
      </w:r>
    </w:p>
    <w:p>
      <w:r>
        <w:t>4. 知识产权：本期提交发明专利2件，授权或进入实审1件；如需用于专题筛选，应以专利受理通知或授权文件为准。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启动医院客户验证；第二，客户侧已有复旦大学先进材料中心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下一里程碑计划为2026-03-23前关闭主要问题项，并在下一季度向股东提交附件包。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复旦大学先进材料中心已完成技术交流并提供样品/测试环境，预计下一阶段签署PoC；华东理工大学课题组要求补充安全、稳定性或合规材料；海启医药仅完成高层拜访。公司另与某三甲医院影像科保持沟通。</w:t>
      </w:r>
    </w:p>
    <w:p>
      <w:r>
        <w:t>订单方面，本期新增意向金额525万元，已签合同金额244万元，满足收入确认条件的金额为175万元。部分合同包含验收、试运行或监管注册前置条件，因此新闻或路演口径中的“签约”不能直接等同于确认收入。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本期收入采用管理口径，包含已验收收入、阶段性服务收入和少量未开票收入。已确认收入175万元，合同负债61万元，应收账款108万元，其中账龄超过90天的21万元。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截至期末，公司累计收入350万元，累计研发费用580万元，销售及市场费用135万元，管理费用160万元。人员薪酬为最大支出项，占经营性现金流出约43%；设备采购和外协测试占比约20%。</w:t>
      </w:r>
    </w:p>
    <w:p>
      <w:r>
        <w:t>公司本期预算收入235万元，实际完成率74.5%；预算研发支出520万元，实际支出580万元，偏差原因包括外协测试排期、客户现场适配和新增人员招聘。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期初现金余额约1000万元，本期经营性现金流出215万元，投资性现金流出120万元，融资性流入0万元。募集资金主要用于研发人员、样机设备、云算力或测试服务、客户现场支持和上海落地费用。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期末员工总数30人，其中研发人员18人，销售及交付5人，职能人员6人。上海团队按企业统计为0人，但严格口径应查看劳动合同、社保缴纳、办公门禁或实际项目分工。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公司当前上海相关状态：未在上海落地。企业口径下，上海事项包括工商登记、园区协议、办公租赁、人员入驻、采购付款和业务收入等多个层次。</w:t>
      </w:r>
    </w:p>
    <w:p>
      <w:r>
        <w:t>本期上海相关支出约75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多光谱成像器械产品版本迭代；推动复旦大学先进材料中心或华东理工大学课题组形成正式验收；补充融资交割或工商变更材料；更新资金使用台账；提交上海人员、采购或租赁证明；召开一次投后专题会议。计划完成日期集中在2026-03-08至2026-04-12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