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序智软件2025Q4季度投后报告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QR-P011-2025Q4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P011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序智软件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项目编号：P011；行业：企业软件；轮次：A轮；上海落地：总部已注册在上海并实际经营。</w:t>
      </w:r>
    </w:p>
    <w:p>
      <w:pPr>
        <w:pStyle w:val="Heading2"/>
      </w:pPr>
      <w:r>
        <w:t>本季度核心进展</w:t>
      </w:r>
    </w:p>
    <w:p>
      <w:r>
        <w:t>企业称使用AI做办公效率和市场分析</w:t>
      </w:r>
    </w:p>
    <w:p>
      <w:pPr>
        <w:pStyle w:val="Heading2"/>
      </w:pPr>
      <w:r>
        <w:t>研发与产品进展</w:t>
      </w:r>
    </w:p>
    <w:p>
      <w:r>
        <w:t>核心技术：PLM知识图谱；核心产品：PLM知识图谱产品。</w:t>
      </w:r>
    </w:p>
    <w:p>
      <w:pPr>
        <w:pStyle w:val="Heading2"/>
      </w:pPr>
      <w:r>
        <w:t>客户与商业化进展</w:t>
      </w:r>
    </w:p>
    <w:p>
      <w:r>
        <w:t>本期收入/确认收入口径：180万元。</w:t>
      </w:r>
    </w:p>
    <w:p>
      <w:pPr>
        <w:pStyle w:val="Heading2"/>
      </w:pPr>
      <w:r>
        <w:t>融资进展</w:t>
      </w:r>
    </w:p>
    <w:p>
      <w:r>
        <w:t>当前描述：A轮。需区分宣布融资、TS、正式协议、首次交割、全部交割、工商变更。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员工总人数：25人；上海团队以社保或入驻证明核验。</w:t>
      </w:r>
    </w:p>
    <w:p>
      <w:pPr>
        <w:pStyle w:val="Heading2"/>
      </w:pPr>
      <w:r>
        <w:t>上海落地情况</w:t>
      </w:r>
    </w:p>
    <w:p>
      <w:r>
        <w:t>总部已注册在上海并实际经营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