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项目编号：P012；行业：智能制造；轮次：战略融资（实为A轮追加）；上海落地：签署上海落地协议但后续延期。</w:t>
      </w:r>
    </w:p>
    <w:p>
      <w:pPr>
        <w:pStyle w:val="Heading2"/>
      </w:pPr>
      <w:r>
        <w:t>本季度核心进展</w:t>
      </w:r>
    </w:p>
    <w:p>
      <w:r>
        <w:t>签署上海临港落地协议</w:t>
      </w:r>
    </w:p>
    <w:p>
      <w:pPr>
        <w:pStyle w:val="Heading2"/>
      </w:pPr>
      <w:r>
        <w:t>研发与产品进展</w:t>
      </w:r>
    </w:p>
    <w:p>
      <w:r>
        <w:t>核心技术：产线数字化；核心产品：产线数字化产品。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当前描述：战略融资（实为A轮追加）。需区分宣布融资、TS、正式协议、首次交割、全部交割、工商变更。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签署上海落地协议但后续延期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