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星澜计算2026Q1季度投后报告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QR-P001-2026Q1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星澜计算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项目编号：P001；行业：AI for Science；轮次：Pre-A轮；上海落地：总部已注册在上海并实际经营。</w:t>
      </w:r>
    </w:p>
    <w:p>
      <w:pPr>
        <w:pStyle w:val="Heading2"/>
      </w:pPr>
      <w:r>
        <w:t>本季度核心进展</w:t>
      </w:r>
    </w:p>
    <w:p>
      <w:r>
        <w:t>工程样机计划2026年5月完成</w:t>
      </w:r>
    </w:p>
    <w:p>
      <w:pPr>
        <w:pStyle w:val="Heading2"/>
      </w:pPr>
      <w:r>
        <w:t>研发与产品进展</w:t>
      </w:r>
    </w:p>
    <w:p>
      <w:r>
        <w:t>核心技术：AI材料模拟；核心产品：AI材料模拟产品。</w:t>
      </w:r>
    </w:p>
    <w:p>
      <w:pPr>
        <w:pStyle w:val="Heading2"/>
      </w:pPr>
      <w:r>
        <w:t>客户与商业化进展</w:t>
      </w:r>
    </w:p>
    <w:p>
      <w:r>
        <w:t>本期收入/确认收入口径：280万元。</w:t>
      </w:r>
    </w:p>
    <w:p>
      <w:pPr>
        <w:pStyle w:val="Heading2"/>
      </w:pPr>
      <w:r>
        <w:t>融资进展</w:t>
      </w:r>
    </w:p>
    <w:p>
      <w:r>
        <w:t>当前描述：Pre-A轮。需区分宣布融资、TS、正式协议、首次交割、全部交割、工商变更。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员工总人数：30人；上海团队以社保或入驻证明核验。</w:t>
      </w:r>
    </w:p>
    <w:p>
      <w:pPr>
        <w:pStyle w:val="Heading2"/>
      </w:pPr>
      <w:r>
        <w:t>上海落地情况</w:t>
      </w:r>
    </w:p>
    <w:p>
      <w:r>
        <w:t>总部已注册在上海并实际经营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