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量衡精密2026Q1季度投后报告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QR-P003-2026Q1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P003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量衡精密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项目编号：P003；行业：量子精密测量；轮次：A轮；上海落地：签署上海落地意向并租赁临时办公室，未工商注册。</w:t>
      </w:r>
    </w:p>
    <w:p>
      <w:pPr>
        <w:pStyle w:val="Heading2"/>
      </w:pPr>
      <w:r>
        <w:t>本季度核心进展</w:t>
      </w:r>
    </w:p>
    <w:p>
      <w:r>
        <w:t>原计划3月完成样机，实际仍处方案设计</w:t>
      </w:r>
    </w:p>
    <w:p>
      <w:pPr>
        <w:pStyle w:val="Heading2"/>
      </w:pPr>
      <w:r>
        <w:t>研发与产品进展</w:t>
      </w:r>
    </w:p>
    <w:p>
      <w:r>
        <w:t>核心技术：NV色心磁测量；核心产品：NV色心磁测量产品。</w:t>
      </w:r>
    </w:p>
    <w:p>
      <w:pPr>
        <w:pStyle w:val="Heading2"/>
      </w:pPr>
      <w:r>
        <w:t>客户与商业化进展</w:t>
      </w:r>
    </w:p>
    <w:p>
      <w:r>
        <w:t>本期收入/确认收入口径：280万元。</w:t>
      </w:r>
    </w:p>
    <w:p>
      <w:pPr>
        <w:pStyle w:val="Heading2"/>
      </w:pPr>
      <w:r>
        <w:t>融资进展</w:t>
      </w:r>
    </w:p>
    <w:p>
      <w:r>
        <w:t>当前描述：A轮。需区分宣布融资、TS、正式协议、首次交割、全部交割、工商变更。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员工总人数：30人；上海团队以社保或入驻证明核验。</w:t>
      </w:r>
    </w:p>
    <w:p>
      <w:pPr>
        <w:pStyle w:val="Heading2"/>
      </w:pPr>
      <w:r>
        <w:t>上海落地情况</w:t>
      </w:r>
    </w:p>
    <w:p>
      <w:r>
        <w:t>签署上海落地意向并租赁临时办公室，未工商注册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