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QR-P004-2026Q1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项目编号：P004；行业：AI制药；轮次：A+轮；上海落地：上海张江联合实验室，未设独立法人。</w:t>
      </w:r>
    </w:p>
    <w:p>
      <w:pPr>
        <w:pStyle w:val="Heading2"/>
      </w:pPr>
      <w:r>
        <w:t>本季度核心进展</w:t>
      </w:r>
    </w:p>
    <w:p>
      <w:r>
        <w:t>完成客户现场验证，确认收入820万元</w:t>
      </w:r>
    </w:p>
    <w:p>
      <w:pPr>
        <w:pStyle w:val="Heading2"/>
      </w:pPr>
      <w:r>
        <w:t>研发与产品进展</w:t>
      </w:r>
    </w:p>
    <w:p>
      <w:r>
        <w:t>核心技术：AI蛋白设计；核心产品：AI蛋白设计产品。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当前描述：A+轮。需区分宣布融资、TS、正式协议、首次交割、全部交割、工商变更。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上海张江联合实验室，未设独立法人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