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QR-P005-2026Q1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项目编号：P005；行业：新材料；轮次：A轮/战略融资冲突；上海落地：未在上海落地。</w:t>
      </w:r>
    </w:p>
    <w:p>
      <w:pPr>
        <w:pStyle w:val="Heading2"/>
      </w:pPr>
      <w:r>
        <w:t>本季度核心进展</w:t>
      </w:r>
    </w:p>
    <w:p>
      <w:r>
        <w:t>季度报告称A轮，新闻稿称战略融资</w:t>
      </w:r>
    </w:p>
    <w:p>
      <w:pPr>
        <w:pStyle w:val="Heading2"/>
      </w:pPr>
      <w:r>
        <w:t>研发与产品进展</w:t>
      </w:r>
    </w:p>
    <w:p>
      <w:r>
        <w:t>核心技术：材料科学数据平台；核心产品：材料科学数据平台产品。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当前描述：A轮/战略融资冲突。需区分宣布融资、TS、正式协议、首次交割、全部交割、工商变更。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